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91F" w:rsidRDefault="0057291F" w:rsidP="0057291F">
      <w:pPr>
        <w:pStyle w:val="Portada1"/>
      </w:pPr>
      <w:bookmarkStart w:id="0" w:name="_GoBack"/>
      <w:bookmarkEnd w:id="0"/>
      <w:r>
        <w:t>TRIBUNAL CONSTITUCIONAL</w:t>
      </w:r>
    </w:p>
    <w:p w:rsidR="00FE0907" w:rsidRDefault="00FE0907" w:rsidP="0057291F">
      <w:pPr>
        <w:pStyle w:val="Portada1"/>
      </w:pPr>
    </w:p>
    <w:p w:rsidR="0057291F" w:rsidRDefault="0057291F" w:rsidP="0057291F">
      <w:pPr>
        <w:pStyle w:val="Portada2"/>
      </w:pPr>
      <w:r>
        <w:t>SECRETARÍA GENERAL</w:t>
      </w: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2"/>
      </w:pPr>
    </w:p>
    <w:p w:rsidR="0057291F" w:rsidRDefault="0057291F" w:rsidP="0057291F">
      <w:pPr>
        <w:pStyle w:val="PortadaPrincipal"/>
      </w:pPr>
      <w:r>
        <w:t>JURISPRUDENCIA</w:t>
      </w:r>
    </w:p>
    <w:p w:rsidR="0057291F" w:rsidRDefault="0057291F" w:rsidP="0057291F">
      <w:pPr>
        <w:pStyle w:val="PortadaPrincipal"/>
      </w:pPr>
      <w:r>
        <w:t>CONSTITUCIONAL</w:t>
      </w:r>
    </w:p>
    <w:p w:rsidR="0057291F" w:rsidRDefault="0057291F" w:rsidP="0057291F">
      <w:pPr>
        <w:pStyle w:val="PortadaPrincipal"/>
      </w:pPr>
    </w:p>
    <w:p w:rsidR="0057291F" w:rsidRPr="0057291F" w:rsidRDefault="0057291F" w:rsidP="0057291F">
      <w:pPr>
        <w:pStyle w:val="Portada1"/>
        <w:rPr>
          <w:b/>
        </w:rPr>
      </w:pPr>
      <w:r w:rsidRPr="0057291F">
        <w:rPr>
          <w:b/>
        </w:rPr>
        <w:t>TOMO TRIGÉSIMO SEGUNDO</w:t>
      </w:r>
    </w:p>
    <w:p w:rsidR="0057291F" w:rsidRPr="0057291F" w:rsidRDefault="0057291F" w:rsidP="0057291F">
      <w:pPr>
        <w:pStyle w:val="Portada1"/>
        <w:rPr>
          <w:b/>
        </w:rPr>
      </w:pPr>
      <w:r w:rsidRPr="0057291F">
        <w:rPr>
          <w:b/>
        </w:rPr>
        <w:t>(enero - abril 1992)</w:t>
      </w:r>
    </w:p>
    <w:p w:rsidR="0057291F" w:rsidRDefault="0057291F" w:rsidP="0057291F">
      <w:pPr>
        <w:pStyle w:val="Portada1"/>
      </w:pPr>
    </w:p>
    <w:p w:rsidR="0057291F" w:rsidRDefault="0057291F" w:rsidP="0057291F">
      <w:pPr>
        <w:pStyle w:val="Portada1"/>
      </w:pPr>
    </w:p>
    <w:p w:rsidR="0057291F" w:rsidRDefault="0057291F" w:rsidP="0057291F">
      <w:pPr>
        <w:pStyle w:val="Portada1"/>
      </w:pPr>
    </w:p>
    <w:p w:rsidR="0057291F" w:rsidRDefault="0057291F" w:rsidP="0057291F">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57291F" w:rsidRDefault="0057291F" w:rsidP="0057291F">
      <w:pPr>
        <w:pStyle w:val="Portada1"/>
      </w:pPr>
    </w:p>
    <w:p w:rsidR="0057291F" w:rsidRDefault="0057291F" w:rsidP="0057291F">
      <w:pPr>
        <w:pStyle w:val="Portada1"/>
      </w:pPr>
    </w:p>
    <w:p w:rsidR="0057291F" w:rsidRDefault="0057291F" w:rsidP="0057291F">
      <w:pPr>
        <w:pStyle w:val="Portada1"/>
      </w:pPr>
    </w:p>
    <w:p w:rsidR="0057291F" w:rsidRDefault="0057291F" w:rsidP="0057291F">
      <w:pPr>
        <w:pStyle w:val="Portada1"/>
      </w:pPr>
    </w:p>
    <w:p w:rsidR="0057291F" w:rsidRDefault="0057291F" w:rsidP="0057291F">
      <w:pPr>
        <w:pStyle w:val="Portada1"/>
      </w:pPr>
    </w:p>
    <w:p w:rsidR="0057291F" w:rsidRDefault="0057291F" w:rsidP="0057291F">
      <w:pPr>
        <w:pStyle w:val="Portada2"/>
      </w:pPr>
      <w:r>
        <w:t>MADRID 1992</w:t>
      </w:r>
    </w:p>
    <w:p w:rsidR="001751D3" w:rsidRDefault="001751D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751D3" w:rsidRDefault="001751D3" w:rsidP="001751D3">
      <w:pPr>
        <w:pStyle w:val="CabeceraApartadoDerecha"/>
      </w:pPr>
      <w:r>
        <w:lastRenderedPageBreak/>
        <w:t>CONTENIDO</w:t>
      </w:r>
    </w:p>
    <w:p w:rsidR="00FE0907" w:rsidRDefault="00FE0907" w:rsidP="001751D3">
      <w:pPr>
        <w:pStyle w:val="CabeceraApartadoDerecha"/>
      </w:pPr>
    </w:p>
    <w:p w:rsidR="001751D3" w:rsidRDefault="001751D3" w:rsidP="001751D3">
      <w:pPr>
        <w:pStyle w:val="EntradandiceSumario"/>
        <w:keepNext w:val="0"/>
      </w:pPr>
      <w:r>
        <w:t>1. SENTENCIAS: STC 1/1992 A STC 68/1992</w:t>
      </w:r>
      <w:r>
        <w:tab/>
      </w:r>
      <w:r>
        <w:tab/>
      </w:r>
      <w:r>
        <w:fldChar w:fldCharType="begin"/>
      </w:r>
      <w:r>
        <w:instrText xml:space="preserve"> PAGEREF SUMARIOSENTENCIAS \h </w:instrText>
      </w:r>
      <w:r>
        <w:fldChar w:fldCharType="separate"/>
      </w:r>
      <w:r w:rsidR="002964F1">
        <w:rPr>
          <w:noProof/>
        </w:rPr>
        <w:t>3</w:t>
      </w:r>
      <w:r>
        <w:fldChar w:fldCharType="end"/>
      </w:r>
    </w:p>
    <w:p w:rsidR="001751D3" w:rsidRDefault="001751D3" w:rsidP="001751D3">
      <w:pPr>
        <w:pStyle w:val="EntradandiceSumario"/>
        <w:keepNext w:val="0"/>
      </w:pPr>
    </w:p>
    <w:p w:rsidR="001751D3" w:rsidRDefault="001751D3" w:rsidP="001751D3">
      <w:pPr>
        <w:pStyle w:val="EntradandiceSumario"/>
        <w:keepNext w:val="0"/>
      </w:pPr>
      <w:bookmarkStart w:id="1" w:name="SUMARIOSINDICES"/>
      <w:r>
        <w:t>2. AUTOS: ATC 1/1992 A ATC 114/1992</w:t>
      </w:r>
      <w:r>
        <w:tab/>
      </w:r>
      <w:r>
        <w:tab/>
      </w:r>
      <w:r>
        <w:fldChar w:fldCharType="begin"/>
      </w:r>
      <w:r>
        <w:instrText xml:space="preserve"> PAGEREF SUMARIOSAUTOS \h </w:instrText>
      </w:r>
      <w:r>
        <w:fldChar w:fldCharType="separate"/>
      </w:r>
      <w:r w:rsidR="002964F1">
        <w:rPr>
          <w:noProof/>
        </w:rPr>
        <w:t>13</w:t>
      </w:r>
      <w:r>
        <w:fldChar w:fldCharType="end"/>
      </w:r>
    </w:p>
    <w:bookmarkEnd w:id="1"/>
    <w:p w:rsidR="001751D3" w:rsidRDefault="001751D3" w:rsidP="001751D3">
      <w:pPr>
        <w:pStyle w:val="EntradandiceSumario"/>
        <w:keepNext w:val="0"/>
      </w:pPr>
    </w:p>
    <w:p w:rsidR="001751D3" w:rsidRDefault="009B4005" w:rsidP="001751D3">
      <w:pPr>
        <w:pStyle w:val="EntradandiceSumario"/>
        <w:keepNext w:val="0"/>
      </w:pPr>
      <w:r>
        <w:t>3.</w:t>
      </w:r>
      <w:r w:rsidR="00CC1839">
        <w:t xml:space="preserve"> ÍNDICE DE DISPOSICIONES CON FUERZA DE LEY IMPUGNADAS</w:t>
      </w:r>
      <w:r w:rsidR="001751D3">
        <w:t>:</w:t>
      </w:r>
    </w:p>
    <w:p w:rsidR="001751D3" w:rsidRDefault="001751D3" w:rsidP="001751D3">
      <w:pPr>
        <w:pStyle w:val="EntradandiceSumario"/>
        <w:keepNext w:val="0"/>
      </w:pPr>
    </w:p>
    <w:p w:rsidR="001751D3" w:rsidRDefault="00AA3AB7" w:rsidP="001751D3">
      <w:pPr>
        <w:pStyle w:val="EntradandiceSumarioNivel2"/>
        <w:keepNext w:val="0"/>
      </w:pPr>
      <w:r>
        <w:t>A) Disposiciones con fuerza de ley del Estado</w:t>
      </w:r>
      <w:r w:rsidR="001751D3">
        <w:tab/>
      </w:r>
      <w:r w:rsidR="001751D3">
        <w:tab/>
      </w:r>
      <w:r w:rsidR="001751D3">
        <w:fldChar w:fldCharType="begin"/>
      </w:r>
      <w:r w:rsidR="001751D3">
        <w:instrText xml:space="preserve"> PAGEREF INDICE22802 \h </w:instrText>
      </w:r>
      <w:r w:rsidR="001751D3">
        <w:fldChar w:fldCharType="separate"/>
      </w:r>
      <w:r w:rsidR="002964F1">
        <w:rPr>
          <w:noProof/>
        </w:rPr>
        <w:t>1093</w:t>
      </w:r>
      <w:r w:rsidR="001751D3">
        <w:fldChar w:fldCharType="end"/>
      </w:r>
    </w:p>
    <w:p w:rsidR="001751D3" w:rsidRDefault="005841EA" w:rsidP="001751D3">
      <w:pPr>
        <w:pStyle w:val="EntradandiceSumarioNivel2"/>
        <w:keepNext w:val="0"/>
      </w:pPr>
      <w:r>
        <w:t>B) Disposiciones con fuerza de ley de las Comunidades Autónomas</w:t>
      </w:r>
      <w:r w:rsidR="001751D3">
        <w:tab/>
      </w:r>
      <w:r w:rsidR="001751D3">
        <w:tab/>
      </w:r>
      <w:r w:rsidR="001751D3">
        <w:fldChar w:fldCharType="begin"/>
      </w:r>
      <w:r w:rsidR="001751D3">
        <w:instrText xml:space="preserve"> PAGEREF INDICE22806 \h </w:instrText>
      </w:r>
      <w:r w:rsidR="001751D3">
        <w:fldChar w:fldCharType="separate"/>
      </w:r>
      <w:r w:rsidR="002964F1">
        <w:rPr>
          <w:noProof/>
        </w:rPr>
        <w:t>1094</w:t>
      </w:r>
      <w:r w:rsidR="001751D3">
        <w:fldChar w:fldCharType="end"/>
      </w:r>
    </w:p>
    <w:p w:rsidR="001751D3" w:rsidRDefault="001751D3" w:rsidP="001751D3"/>
    <w:p w:rsidR="001751D3" w:rsidRDefault="002D0A82" w:rsidP="001751D3">
      <w:pPr>
        <w:pStyle w:val="EntradandiceSumario"/>
        <w:keepNext w:val="0"/>
      </w:pPr>
      <w:r>
        <w:t>4. ÍNDICE DE DISPOSICIONES GENERALES IMPUGNADAS</w:t>
      </w:r>
      <w:r w:rsidR="001751D3">
        <w:t>:</w:t>
      </w:r>
    </w:p>
    <w:p w:rsidR="001751D3" w:rsidRDefault="001751D3" w:rsidP="001751D3">
      <w:pPr>
        <w:pStyle w:val="EntradandiceSumario"/>
        <w:keepNext w:val="0"/>
      </w:pPr>
    </w:p>
    <w:p w:rsidR="001751D3" w:rsidRDefault="001751D3" w:rsidP="001751D3">
      <w:pPr>
        <w:pStyle w:val="EntradandiceSumarioNivel2"/>
        <w:keepNext w:val="0"/>
      </w:pPr>
      <w:r>
        <w:t>A) Disposiciones del Estado</w:t>
      </w:r>
      <w:r>
        <w:tab/>
      </w:r>
      <w:r>
        <w:tab/>
      </w:r>
      <w:r>
        <w:fldChar w:fldCharType="begin"/>
      </w:r>
      <w:r>
        <w:instrText xml:space="preserve"> PAGEREF INDICE22803 \h </w:instrText>
      </w:r>
      <w:r>
        <w:fldChar w:fldCharType="separate"/>
      </w:r>
      <w:r w:rsidR="002964F1">
        <w:rPr>
          <w:noProof/>
        </w:rPr>
        <w:t>1095</w:t>
      </w:r>
      <w:r>
        <w:fldChar w:fldCharType="end"/>
      </w:r>
    </w:p>
    <w:p w:rsidR="001751D3" w:rsidRDefault="001751D3" w:rsidP="001751D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964F1">
        <w:rPr>
          <w:noProof/>
        </w:rPr>
        <w:t>1095</w:t>
      </w:r>
      <w:r>
        <w:fldChar w:fldCharType="end"/>
      </w:r>
    </w:p>
    <w:p w:rsidR="001751D3" w:rsidRDefault="001751D3" w:rsidP="001751D3"/>
    <w:p w:rsidR="001751D3" w:rsidRDefault="001751D3" w:rsidP="001751D3">
      <w:pPr>
        <w:pStyle w:val="EntradandiceSumario"/>
        <w:keepNext w:val="0"/>
      </w:pPr>
      <w:r>
        <w:t>5. ÍNDICE DE DISPOSICIONES CITADAS:</w:t>
      </w:r>
    </w:p>
    <w:p w:rsidR="001751D3" w:rsidRDefault="001751D3" w:rsidP="001751D3">
      <w:pPr>
        <w:pStyle w:val="EntradandiceSumario"/>
        <w:keepNext w:val="0"/>
      </w:pPr>
    </w:p>
    <w:p w:rsidR="001751D3" w:rsidRDefault="001751D3" w:rsidP="001751D3">
      <w:pPr>
        <w:pStyle w:val="EntradandiceSumarioNivel2"/>
        <w:keepNext w:val="0"/>
      </w:pPr>
      <w:r>
        <w:t>A) Constitución</w:t>
      </w:r>
      <w:r>
        <w:tab/>
      </w:r>
      <w:r>
        <w:tab/>
      </w:r>
      <w:r>
        <w:fldChar w:fldCharType="begin"/>
      </w:r>
      <w:r>
        <w:instrText xml:space="preserve"> PAGEREF INDICE22804 \h </w:instrText>
      </w:r>
      <w:r>
        <w:fldChar w:fldCharType="separate"/>
      </w:r>
      <w:r w:rsidR="002964F1">
        <w:rPr>
          <w:noProof/>
        </w:rPr>
        <w:t>1098</w:t>
      </w:r>
      <w:r>
        <w:fldChar w:fldCharType="end"/>
      </w:r>
    </w:p>
    <w:p w:rsidR="001751D3" w:rsidRDefault="001751D3" w:rsidP="001751D3">
      <w:pPr>
        <w:pStyle w:val="EntradandiceSumarioNivel2"/>
        <w:keepNext w:val="0"/>
      </w:pPr>
      <w:r>
        <w:t>B) Tribunal Constitucional</w:t>
      </w:r>
      <w:r>
        <w:tab/>
      </w:r>
      <w:r>
        <w:tab/>
      </w:r>
      <w:r>
        <w:fldChar w:fldCharType="begin"/>
      </w:r>
      <w:r>
        <w:instrText xml:space="preserve"> PAGEREF INDICE22843 \h </w:instrText>
      </w:r>
      <w:r>
        <w:fldChar w:fldCharType="separate"/>
      </w:r>
      <w:r w:rsidR="002964F1">
        <w:rPr>
          <w:noProof/>
        </w:rPr>
        <w:t>1101</w:t>
      </w:r>
      <w:r>
        <w:fldChar w:fldCharType="end"/>
      </w:r>
    </w:p>
    <w:p w:rsidR="001751D3" w:rsidRDefault="001751D3" w:rsidP="001751D3">
      <w:pPr>
        <w:pStyle w:val="EntradandiceSumarioNivel2"/>
        <w:keepNext w:val="0"/>
      </w:pPr>
      <w:r>
        <w:t>C) Cortes Generales</w:t>
      </w:r>
      <w:r>
        <w:tab/>
      </w:r>
      <w:r>
        <w:tab/>
      </w:r>
      <w:r>
        <w:fldChar w:fldCharType="begin"/>
      </w:r>
      <w:r>
        <w:instrText xml:space="preserve"> PAGEREF INDICE22844 \h </w:instrText>
      </w:r>
      <w:r>
        <w:fldChar w:fldCharType="separate"/>
      </w:r>
      <w:r w:rsidR="002964F1">
        <w:rPr>
          <w:noProof/>
        </w:rPr>
        <w:t>1103</w:t>
      </w:r>
      <w:r>
        <w:fldChar w:fldCharType="end"/>
      </w:r>
    </w:p>
    <w:p w:rsidR="001751D3" w:rsidRDefault="001751D3" w:rsidP="001751D3">
      <w:pPr>
        <w:pStyle w:val="EntradandiceSumarioNivel2"/>
        <w:keepNext w:val="0"/>
      </w:pPr>
      <w:r>
        <w:t>D) Leyes Orgánicas</w:t>
      </w:r>
      <w:r>
        <w:tab/>
      </w:r>
      <w:r>
        <w:tab/>
      </w:r>
      <w:r>
        <w:fldChar w:fldCharType="begin"/>
      </w:r>
      <w:r>
        <w:instrText xml:space="preserve"> PAGEREF INDICE22845 \h </w:instrText>
      </w:r>
      <w:r>
        <w:fldChar w:fldCharType="separate"/>
      </w:r>
      <w:r w:rsidR="002964F1">
        <w:rPr>
          <w:noProof/>
        </w:rPr>
        <w:t>1103</w:t>
      </w:r>
      <w:r>
        <w:fldChar w:fldCharType="end"/>
      </w:r>
    </w:p>
    <w:p w:rsidR="001751D3" w:rsidRDefault="001751D3" w:rsidP="001751D3">
      <w:pPr>
        <w:pStyle w:val="EntradandiceSumarioNivel2"/>
        <w:keepNext w:val="0"/>
      </w:pPr>
      <w:r>
        <w:t>E) Leyes de las Cortes Generales</w:t>
      </w:r>
      <w:r>
        <w:tab/>
      </w:r>
      <w:r>
        <w:tab/>
      </w:r>
      <w:r>
        <w:fldChar w:fldCharType="begin"/>
      </w:r>
      <w:r>
        <w:instrText xml:space="preserve"> PAGEREF INDICE22846 \h </w:instrText>
      </w:r>
      <w:r>
        <w:fldChar w:fldCharType="separate"/>
      </w:r>
      <w:r w:rsidR="002964F1">
        <w:rPr>
          <w:noProof/>
        </w:rPr>
        <w:t>1105</w:t>
      </w:r>
      <w:r>
        <w:fldChar w:fldCharType="end"/>
      </w:r>
    </w:p>
    <w:p w:rsidR="001751D3" w:rsidRDefault="001751D3" w:rsidP="001751D3">
      <w:pPr>
        <w:pStyle w:val="EntradandiceSumarioNivel2"/>
        <w:keepNext w:val="0"/>
      </w:pPr>
      <w:r>
        <w:t>F) Reales Decretos Legislativos</w:t>
      </w:r>
      <w:r>
        <w:tab/>
      </w:r>
      <w:r>
        <w:tab/>
      </w:r>
      <w:r>
        <w:fldChar w:fldCharType="begin"/>
      </w:r>
      <w:r>
        <w:instrText xml:space="preserve"> PAGEREF INDICE22847 \h </w:instrText>
      </w:r>
      <w:r>
        <w:fldChar w:fldCharType="separate"/>
      </w:r>
      <w:r w:rsidR="002964F1">
        <w:rPr>
          <w:noProof/>
        </w:rPr>
        <w:t>1109</w:t>
      </w:r>
      <w:r>
        <w:fldChar w:fldCharType="end"/>
      </w:r>
    </w:p>
    <w:p w:rsidR="001751D3" w:rsidRDefault="001751D3" w:rsidP="001751D3">
      <w:pPr>
        <w:pStyle w:val="EntradandiceSumarioNivel2"/>
        <w:keepNext w:val="0"/>
      </w:pPr>
      <w:r>
        <w:t>G) Reales Decretos-leyes</w:t>
      </w:r>
      <w:r>
        <w:tab/>
      </w:r>
      <w:r>
        <w:tab/>
      </w:r>
      <w:r>
        <w:fldChar w:fldCharType="begin"/>
      </w:r>
      <w:r>
        <w:instrText xml:space="preserve"> PAGEREF INDICE22848 \h </w:instrText>
      </w:r>
      <w:r>
        <w:fldChar w:fldCharType="separate"/>
      </w:r>
      <w:r w:rsidR="002964F1">
        <w:rPr>
          <w:noProof/>
        </w:rPr>
        <w:t>1111</w:t>
      </w:r>
      <w:r>
        <w:fldChar w:fldCharType="end"/>
      </w:r>
    </w:p>
    <w:p w:rsidR="001751D3" w:rsidRDefault="001751D3" w:rsidP="001751D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964F1">
        <w:rPr>
          <w:noProof/>
        </w:rPr>
        <w:t>1111</w:t>
      </w:r>
      <w:r>
        <w:fldChar w:fldCharType="end"/>
      </w:r>
    </w:p>
    <w:p w:rsidR="001751D3" w:rsidRDefault="001751D3" w:rsidP="001751D3">
      <w:pPr>
        <w:pStyle w:val="EntradandiceSumarioNivel2"/>
        <w:keepNext w:val="0"/>
      </w:pPr>
      <w:r>
        <w:t>I) Legislación preconstitucional</w:t>
      </w:r>
      <w:r>
        <w:tab/>
      </w:r>
      <w:r>
        <w:tab/>
      </w:r>
      <w:r>
        <w:fldChar w:fldCharType="begin"/>
      </w:r>
      <w:r>
        <w:instrText xml:space="preserve"> PAGEREF INDICE22850 \h </w:instrText>
      </w:r>
      <w:r>
        <w:fldChar w:fldCharType="separate"/>
      </w:r>
      <w:r w:rsidR="002964F1">
        <w:rPr>
          <w:noProof/>
        </w:rPr>
        <w:t>1118</w:t>
      </w:r>
      <w:r>
        <w:fldChar w:fldCharType="end"/>
      </w:r>
    </w:p>
    <w:p w:rsidR="001751D3" w:rsidRDefault="001751D3" w:rsidP="001751D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964F1">
        <w:rPr>
          <w:noProof/>
        </w:rPr>
        <w:t>1127</w:t>
      </w:r>
      <w:r>
        <w:fldChar w:fldCharType="end"/>
      </w:r>
    </w:p>
    <w:p w:rsidR="001751D3" w:rsidRDefault="001751D3" w:rsidP="001751D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964F1">
        <w:rPr>
          <w:noProof/>
        </w:rPr>
        <w:t>1134</w:t>
      </w:r>
      <w:r>
        <w:fldChar w:fldCharType="end"/>
      </w:r>
    </w:p>
    <w:p w:rsidR="001751D3" w:rsidRDefault="001751D3" w:rsidP="001751D3">
      <w:pPr>
        <w:pStyle w:val="EntradandiceSumarioNivel2"/>
        <w:keepNext w:val="0"/>
      </w:pPr>
      <w:r>
        <w:t>M) Unión Europea</w:t>
      </w:r>
      <w:r>
        <w:tab/>
      </w:r>
      <w:r>
        <w:tab/>
      </w:r>
      <w:r>
        <w:fldChar w:fldCharType="begin"/>
      </w:r>
      <w:r>
        <w:instrText xml:space="preserve"> PAGEREF INDICE22871 \h </w:instrText>
      </w:r>
      <w:r>
        <w:fldChar w:fldCharType="separate"/>
      </w:r>
      <w:r w:rsidR="002964F1">
        <w:rPr>
          <w:noProof/>
        </w:rPr>
        <w:t>1134</w:t>
      </w:r>
      <w:r>
        <w:fldChar w:fldCharType="end"/>
      </w:r>
    </w:p>
    <w:p w:rsidR="001751D3" w:rsidRDefault="001751D3" w:rsidP="001751D3">
      <w:pPr>
        <w:pStyle w:val="EntradandiceSumarioNivel2"/>
        <w:keepNext w:val="0"/>
      </w:pPr>
      <w:r>
        <w:t>N) Consejo de Europa</w:t>
      </w:r>
      <w:r>
        <w:tab/>
      </w:r>
      <w:r>
        <w:tab/>
      </w:r>
      <w:r>
        <w:fldChar w:fldCharType="begin"/>
      </w:r>
      <w:r>
        <w:instrText xml:space="preserve"> PAGEREF INDICE27994 \h </w:instrText>
      </w:r>
      <w:r>
        <w:fldChar w:fldCharType="separate"/>
      </w:r>
      <w:r w:rsidR="002964F1">
        <w:rPr>
          <w:noProof/>
        </w:rPr>
        <w:t>1134</w:t>
      </w:r>
      <w:r>
        <w:fldChar w:fldCharType="end"/>
      </w:r>
    </w:p>
    <w:p w:rsidR="001751D3" w:rsidRDefault="001751D3" w:rsidP="001751D3"/>
    <w:p w:rsidR="001751D3" w:rsidRDefault="000D65D0" w:rsidP="001751D3">
      <w:pPr>
        <w:pStyle w:val="EntradandiceSumario"/>
        <w:keepNext w:val="0"/>
      </w:pPr>
      <w:r>
        <w:t>6.</w:t>
      </w:r>
      <w:r w:rsidR="00727FC3">
        <w:t xml:space="preserve"> ÍNDICE DE RESOLUCIONES JUDICIALES DE OTROS TRIBUNALES CITADAS</w:t>
      </w:r>
      <w:r w:rsidR="001751D3">
        <w:t>:</w:t>
      </w:r>
    </w:p>
    <w:p w:rsidR="001751D3" w:rsidRDefault="001751D3" w:rsidP="001751D3">
      <w:pPr>
        <w:pStyle w:val="EntradandiceSumario"/>
        <w:keepNext w:val="0"/>
      </w:pPr>
    </w:p>
    <w:p w:rsidR="001751D3" w:rsidRDefault="001751D3" w:rsidP="001751D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2964F1">
        <w:rPr>
          <w:noProof/>
        </w:rPr>
        <w:t>1136</w:t>
      </w:r>
      <w:r>
        <w:fldChar w:fldCharType="end"/>
      </w:r>
    </w:p>
    <w:p w:rsidR="001751D3" w:rsidRDefault="001751D3" w:rsidP="001751D3">
      <w:pPr>
        <w:pStyle w:val="EntradandiceSumarioNivel2"/>
        <w:keepNext w:val="0"/>
      </w:pPr>
      <w:r>
        <w:t>C) Tribunal Supremo</w:t>
      </w:r>
      <w:r>
        <w:tab/>
      </w:r>
      <w:r>
        <w:tab/>
      </w:r>
      <w:r>
        <w:fldChar w:fldCharType="begin"/>
      </w:r>
      <w:r>
        <w:instrText xml:space="preserve"> PAGEREF INDICE22925 \h </w:instrText>
      </w:r>
      <w:r>
        <w:fldChar w:fldCharType="separate"/>
      </w:r>
      <w:r w:rsidR="002964F1">
        <w:rPr>
          <w:noProof/>
        </w:rPr>
        <w:t>1137</w:t>
      </w:r>
      <w:r>
        <w:fldChar w:fldCharType="end"/>
      </w:r>
    </w:p>
    <w:p w:rsidR="001751D3" w:rsidRDefault="001751D3" w:rsidP="001751D3"/>
    <w:p w:rsidR="001751D3" w:rsidRDefault="001751D3" w:rsidP="001751D3">
      <w:pPr>
        <w:pStyle w:val="EntradandiceSumario"/>
        <w:keepNext w:val="0"/>
      </w:pPr>
      <w:r>
        <w:t>7. ÍNDICE ANALÍTICO</w:t>
      </w:r>
      <w:r>
        <w:tab/>
      </w:r>
      <w:r>
        <w:tab/>
      </w:r>
      <w:r>
        <w:fldChar w:fldCharType="begin"/>
      </w:r>
      <w:r>
        <w:instrText xml:space="preserve"> PAGEREF INDICE5ALFABETICO \h </w:instrText>
      </w:r>
      <w:r>
        <w:fldChar w:fldCharType="separate"/>
      </w:r>
      <w:r w:rsidR="002964F1">
        <w:rPr>
          <w:noProof/>
        </w:rPr>
        <w:t>1138</w:t>
      </w:r>
      <w:r>
        <w:fldChar w:fldCharType="end"/>
      </w:r>
    </w:p>
    <w:p w:rsidR="001751D3" w:rsidRDefault="001751D3" w:rsidP="001751D3"/>
    <w:p w:rsidR="001751D3" w:rsidRDefault="001751D3" w:rsidP="001751D3">
      <w:pPr>
        <w:pStyle w:val="EntradandiceSumario"/>
        <w:keepNext w:val="0"/>
      </w:pPr>
      <w:r>
        <w:t>8. ABREVIATURAS Y ACRÓNIMOS</w:t>
      </w:r>
      <w:r>
        <w:tab/>
      </w:r>
      <w:r>
        <w:tab/>
      </w:r>
      <w:r>
        <w:fldChar w:fldCharType="begin"/>
      </w:r>
      <w:r>
        <w:instrText xml:space="preserve"> PAGEREF ACRONIMOS \h </w:instrText>
      </w:r>
      <w:r>
        <w:fldChar w:fldCharType="separate"/>
      </w:r>
      <w:r w:rsidR="002964F1">
        <w:rPr>
          <w:noProof/>
        </w:rPr>
        <w:t>1155</w:t>
      </w:r>
      <w:r>
        <w:fldChar w:fldCharType="end"/>
      </w:r>
    </w:p>
    <w:p w:rsidR="001751D3" w:rsidRDefault="001751D3">
      <w:pPr>
        <w:rPr>
          <w:rFonts w:ascii="Times New Roman" w:eastAsia="Times New Roman" w:hAnsi="Times New Roman" w:cs="Times New Roman"/>
          <w:sz w:val="24"/>
          <w:szCs w:val="24"/>
          <w:lang w:eastAsia="es-ES"/>
        </w:rPr>
      </w:pPr>
      <w:r>
        <w:br w:type="page"/>
      </w:r>
    </w:p>
    <w:p w:rsidR="001751D3" w:rsidRDefault="001751D3" w:rsidP="001751D3">
      <w:pPr>
        <w:pStyle w:val="EntradandiceSumario"/>
        <w:keepNext w:val="0"/>
      </w:pPr>
    </w:p>
    <w:p w:rsidR="001751D3" w:rsidRDefault="001751D3" w:rsidP="001751D3"/>
    <w:p w:rsidR="001751D3" w:rsidRDefault="001751D3" w:rsidP="001751D3"/>
    <w:p w:rsidR="001751D3" w:rsidRDefault="001751D3" w:rsidP="001751D3">
      <w:pPr>
        <w:pStyle w:val="Ttulondice"/>
      </w:pPr>
      <w:bookmarkStart w:id="2" w:name="SUMARIOSENTENCIAS"/>
      <w:r>
        <w:t>1. SENTENCIAS: STC 1/1992 A STC 68/1992</w:t>
      </w:r>
    </w:p>
    <w:bookmarkEnd w:id="2"/>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EntradandiceSentencia"/>
      </w:pPr>
      <w:r>
        <w:t>Sala Segunda. Sentencia 1/1992, de 13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795/1989. </w:t>
      </w:r>
      <w:r w:rsidRPr="001751D3">
        <w:rPr>
          <w:rStyle w:val="TextoNormalCursivaCaracter"/>
        </w:rPr>
        <w:t xml:space="preserve"> Vulneración del derecho a la tutela judicial efectiva: no admisión del recibimiento del juicio a prueba</w:t>
      </w:r>
      <w:r>
        <w:tab/>
      </w:r>
      <w:r>
        <w:tab/>
      </w:r>
      <w:r>
        <w:fldChar w:fldCharType="begin"/>
      </w:r>
      <w:r>
        <w:instrText xml:space="preserve"> PAGEREF SENTENCIA_1992_1 \h </w:instrText>
      </w:r>
      <w:r>
        <w:fldChar w:fldCharType="separate"/>
      </w:r>
      <w:r w:rsidR="002964F1">
        <w:rPr>
          <w:noProof/>
        </w:rPr>
        <w:t>25</w:t>
      </w:r>
      <w:r>
        <w:fldChar w:fldCharType="end"/>
      </w:r>
    </w:p>
    <w:p w:rsidR="00FE0907" w:rsidRDefault="00FE0907" w:rsidP="001751D3"/>
    <w:p w:rsidR="001751D3" w:rsidRDefault="001751D3" w:rsidP="001751D3">
      <w:pPr>
        <w:pStyle w:val="EntradandiceSentencia"/>
      </w:pPr>
      <w:r>
        <w:t>Sala Segunda. Sentencia 2/1992, de 13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1.406/1989. </w:t>
      </w:r>
      <w:r w:rsidRPr="001751D3">
        <w:rPr>
          <w:rStyle w:val="TextoNormalCursivaCaracter"/>
        </w:rPr>
        <w:t xml:space="preserve"> Vulneración del derecho a la igualdad ante la Ley: tratamiento diferenciado del trabajador por concurrencia de relación familiar con el empleador</w:t>
      </w:r>
      <w:r>
        <w:tab/>
      </w:r>
      <w:r>
        <w:tab/>
      </w:r>
      <w:r>
        <w:fldChar w:fldCharType="begin"/>
      </w:r>
      <w:r>
        <w:instrText xml:space="preserve"> PAGEREF SENTENCIA_1992_2 \h </w:instrText>
      </w:r>
      <w:r>
        <w:fldChar w:fldCharType="separate"/>
      </w:r>
      <w:r w:rsidR="002964F1">
        <w:rPr>
          <w:noProof/>
        </w:rPr>
        <w:t>32</w:t>
      </w:r>
      <w:r>
        <w:fldChar w:fldCharType="end"/>
      </w:r>
    </w:p>
    <w:p w:rsidR="001751D3" w:rsidRDefault="001751D3" w:rsidP="001751D3"/>
    <w:p w:rsidR="001751D3" w:rsidRDefault="001751D3" w:rsidP="001751D3">
      <w:pPr>
        <w:pStyle w:val="EntradandiceSentencia"/>
      </w:pPr>
      <w:r>
        <w:t>Sala Segunda. Sentencia 3/1992, de 13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1.564/1989. </w:t>
      </w:r>
      <w:r w:rsidRPr="001751D3">
        <w:rPr>
          <w:rStyle w:val="TextoNormalCursivaCaracter"/>
        </w:rPr>
        <w:t xml:space="preserve"> Supuesta vulneración de los derechos a la tutela judicial efectiva y a la libertad</w:t>
      </w:r>
      <w:r>
        <w:tab/>
      </w:r>
      <w:r>
        <w:tab/>
      </w:r>
      <w:r>
        <w:fldChar w:fldCharType="begin"/>
      </w:r>
      <w:r>
        <w:instrText xml:space="preserve"> PAGEREF SENTENCIA_1992_3 \h </w:instrText>
      </w:r>
      <w:r>
        <w:fldChar w:fldCharType="separate"/>
      </w:r>
      <w:r w:rsidR="002964F1">
        <w:rPr>
          <w:noProof/>
        </w:rPr>
        <w:t>42</w:t>
      </w:r>
      <w:r>
        <w:fldChar w:fldCharType="end"/>
      </w:r>
    </w:p>
    <w:p w:rsidR="001751D3" w:rsidRDefault="001751D3" w:rsidP="001751D3"/>
    <w:p w:rsidR="001751D3" w:rsidRDefault="001751D3" w:rsidP="001751D3">
      <w:pPr>
        <w:pStyle w:val="EntradandiceSentencia"/>
      </w:pPr>
      <w:r>
        <w:t>Sala Segunda. Sentencia 4/1992, de 13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1.724/1991. </w:t>
      </w:r>
      <w:r w:rsidRPr="001751D3">
        <w:rPr>
          <w:rStyle w:val="TextoNormalCursivaCaracter"/>
        </w:rPr>
        <w:t xml:space="preserve"> Supuesta vulneración del derecho de acceso a los cargos públicos</w:t>
      </w:r>
      <w:r>
        <w:tab/>
      </w:r>
      <w:r>
        <w:tab/>
      </w:r>
      <w:r>
        <w:fldChar w:fldCharType="begin"/>
      </w:r>
      <w:r>
        <w:instrText xml:space="preserve"> PAGEREF SENTENCIA_1992_4 \h </w:instrText>
      </w:r>
      <w:r>
        <w:fldChar w:fldCharType="separate"/>
      </w:r>
      <w:r w:rsidR="002964F1">
        <w:rPr>
          <w:noProof/>
        </w:rPr>
        <w:t>54</w:t>
      </w:r>
      <w:r>
        <w:fldChar w:fldCharType="end"/>
      </w:r>
    </w:p>
    <w:p w:rsidR="001751D3" w:rsidRDefault="001751D3" w:rsidP="001751D3"/>
    <w:p w:rsidR="001751D3" w:rsidRDefault="001751D3" w:rsidP="001751D3">
      <w:pPr>
        <w:pStyle w:val="EntradandiceSentencia"/>
      </w:pPr>
      <w:r>
        <w:t>Pleno. Sentencia 5/1992,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Cuestión de inconstitucionalidad 425/1986. </w:t>
      </w:r>
      <w:r w:rsidRPr="001751D3">
        <w:rPr>
          <w:rStyle w:val="TextoNormalCursivaCaracter"/>
        </w:rPr>
        <w:t xml:space="preserve"> </w:t>
      </w:r>
      <w:r>
        <w:tab/>
      </w:r>
      <w:r>
        <w:tab/>
      </w:r>
      <w:r>
        <w:fldChar w:fldCharType="begin"/>
      </w:r>
      <w:r>
        <w:instrText xml:space="preserve"> PAGEREF SENTENCIA_1992_5 \h </w:instrText>
      </w:r>
      <w:r>
        <w:fldChar w:fldCharType="separate"/>
      </w:r>
      <w:r w:rsidR="002964F1">
        <w:rPr>
          <w:noProof/>
        </w:rPr>
        <w:t>67</w:t>
      </w:r>
      <w:r>
        <w:fldChar w:fldCharType="end"/>
      </w:r>
    </w:p>
    <w:p w:rsidR="001751D3" w:rsidRDefault="001751D3" w:rsidP="001751D3"/>
    <w:p w:rsidR="001751D3" w:rsidRDefault="001751D3" w:rsidP="001751D3">
      <w:pPr>
        <w:pStyle w:val="EntradandiceSentencia"/>
      </w:pPr>
      <w:r>
        <w:lastRenderedPageBreak/>
        <w:t>Sala Primera. Sentencia 6/1992,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1.317/1988. </w:t>
      </w:r>
      <w:r w:rsidRPr="001751D3">
        <w:rPr>
          <w:rStyle w:val="TextoNormalCursivaCaracter"/>
        </w:rPr>
        <w:t xml:space="preserve"> Vulneración del derecho a la tutela judicial efectiva: indefensión causada por la resolución de desalojo de la recurrente-inquilina sin haber sido oída en el procedimiento</w:t>
      </w:r>
      <w:r>
        <w:tab/>
      </w:r>
      <w:r>
        <w:tab/>
      </w:r>
      <w:r>
        <w:fldChar w:fldCharType="begin"/>
      </w:r>
      <w:r>
        <w:instrText xml:space="preserve"> PAGEREF SENTENCIA_1992_6 \h </w:instrText>
      </w:r>
      <w:r>
        <w:fldChar w:fldCharType="separate"/>
      </w:r>
      <w:r w:rsidR="002964F1">
        <w:rPr>
          <w:noProof/>
        </w:rPr>
        <w:t>78</w:t>
      </w:r>
      <w:r>
        <w:fldChar w:fldCharType="end"/>
      </w:r>
    </w:p>
    <w:p w:rsidR="001751D3" w:rsidRDefault="001751D3" w:rsidP="001751D3"/>
    <w:p w:rsidR="001751D3" w:rsidRDefault="001751D3" w:rsidP="001751D3">
      <w:pPr>
        <w:pStyle w:val="EntradandiceSentencia"/>
      </w:pPr>
      <w:r>
        <w:t>Sala Primera. Sentencia 7/1992,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1.377/1988. </w:t>
      </w:r>
      <w:r w:rsidRPr="001751D3">
        <w:rPr>
          <w:rStyle w:val="TextoNormalCursivaCaracter"/>
        </w:rPr>
        <w:t xml:space="preserve"> Vulneración del derecho a permanecer en los cargos públicos: remoción indebida de Diputado como consecuencia de las penas accesorias impuestas por Sentencia de la Audiencia Provincial de Huesca</w:t>
      </w:r>
      <w:r>
        <w:tab/>
      </w:r>
      <w:r>
        <w:tab/>
      </w:r>
      <w:r>
        <w:fldChar w:fldCharType="begin"/>
      </w:r>
      <w:r>
        <w:instrText xml:space="preserve"> PAGEREF SENTENCIA_1992_7 \h </w:instrText>
      </w:r>
      <w:r>
        <w:fldChar w:fldCharType="separate"/>
      </w:r>
      <w:r w:rsidR="002964F1">
        <w:rPr>
          <w:noProof/>
        </w:rPr>
        <w:t>90</w:t>
      </w:r>
      <w:r>
        <w:fldChar w:fldCharType="end"/>
      </w:r>
    </w:p>
    <w:p w:rsidR="001751D3" w:rsidRDefault="001751D3" w:rsidP="001751D3"/>
    <w:p w:rsidR="001751D3" w:rsidRDefault="001751D3" w:rsidP="001751D3">
      <w:pPr>
        <w:pStyle w:val="EntradandiceSentencia"/>
      </w:pPr>
      <w:r>
        <w:t>Sala Primera. Sentencia 8/1992,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1.809/1988. </w:t>
      </w:r>
      <w:r w:rsidRPr="001751D3">
        <w:rPr>
          <w:rStyle w:val="TextoNormalCursivaCaracter"/>
        </w:rPr>
        <w:t xml:space="preserve"> Vulneración del derecho a la huelga</w:t>
      </w:r>
      <w:r>
        <w:tab/>
      </w:r>
      <w:r>
        <w:tab/>
      </w:r>
      <w:r>
        <w:fldChar w:fldCharType="begin"/>
      </w:r>
      <w:r>
        <w:instrText xml:space="preserve"> PAGEREF SENTENCIA_1992_8 \h </w:instrText>
      </w:r>
      <w:r>
        <w:fldChar w:fldCharType="separate"/>
      </w:r>
      <w:r w:rsidR="002964F1">
        <w:rPr>
          <w:noProof/>
        </w:rPr>
        <w:t>105</w:t>
      </w:r>
      <w:r>
        <w:fldChar w:fldCharType="end"/>
      </w:r>
    </w:p>
    <w:p w:rsidR="001751D3" w:rsidRDefault="001751D3" w:rsidP="001751D3"/>
    <w:p w:rsidR="001751D3" w:rsidRDefault="001751D3" w:rsidP="001751D3">
      <w:pPr>
        <w:pStyle w:val="EntradandiceSentencia"/>
      </w:pPr>
      <w:r>
        <w:t>Sala Primera. Sentencia 9/1992,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1.888/1988. </w:t>
      </w:r>
      <w:r w:rsidRPr="001751D3">
        <w:rPr>
          <w:rStyle w:val="TextoNormalCursivaCaracter"/>
        </w:rPr>
        <w:t xml:space="preserve"> Supuesta vulneración del derecho a la tutela judicial efectiva: derecho a los recursos</w:t>
      </w:r>
      <w:r>
        <w:tab/>
      </w:r>
      <w:r>
        <w:tab/>
      </w:r>
      <w:r>
        <w:fldChar w:fldCharType="begin"/>
      </w:r>
      <w:r>
        <w:instrText xml:space="preserve"> PAGEREF SENTENCIA_1992_9 \h </w:instrText>
      </w:r>
      <w:r>
        <w:fldChar w:fldCharType="separate"/>
      </w:r>
      <w:r w:rsidR="002964F1">
        <w:rPr>
          <w:noProof/>
        </w:rPr>
        <w:t>119</w:t>
      </w:r>
      <w:r>
        <w:fldChar w:fldCharType="end"/>
      </w:r>
    </w:p>
    <w:p w:rsidR="001751D3" w:rsidRDefault="001751D3" w:rsidP="001751D3"/>
    <w:p w:rsidR="001751D3" w:rsidRDefault="001751D3" w:rsidP="001751D3">
      <w:pPr>
        <w:pStyle w:val="EntradandiceSentencia"/>
      </w:pPr>
      <w:r>
        <w:t>Sala Primera. Sentencia 10/1992, de 16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1.935/1988. </w:t>
      </w:r>
      <w:r w:rsidRPr="001751D3">
        <w:rPr>
          <w:rStyle w:val="TextoNormalCursivaCaracter"/>
        </w:rPr>
        <w:t xml:space="preserve"> Vulneración del derecho a la tutela judicial efectiva: ausencia de actividad probatoria de cargo</w:t>
      </w:r>
      <w:r>
        <w:tab/>
      </w:r>
      <w:r>
        <w:tab/>
      </w:r>
      <w:r>
        <w:fldChar w:fldCharType="begin"/>
      </w:r>
      <w:r>
        <w:instrText xml:space="preserve"> PAGEREF SENTENCIA_1992_10 \h </w:instrText>
      </w:r>
      <w:r>
        <w:fldChar w:fldCharType="separate"/>
      </w:r>
      <w:r w:rsidR="002964F1">
        <w:rPr>
          <w:noProof/>
        </w:rPr>
        <w:t>127</w:t>
      </w:r>
      <w:r>
        <w:fldChar w:fldCharType="end"/>
      </w:r>
    </w:p>
    <w:p w:rsidR="001751D3" w:rsidRDefault="001751D3" w:rsidP="001751D3"/>
    <w:p w:rsidR="001751D3" w:rsidRDefault="001751D3" w:rsidP="001751D3">
      <w:pPr>
        <w:pStyle w:val="EntradandiceSentencia"/>
      </w:pPr>
      <w:r>
        <w:t>Sala Segunda. Sentencia 11/1992, de 27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945/1989. </w:t>
      </w:r>
      <w:r w:rsidRPr="001751D3">
        <w:rPr>
          <w:rStyle w:val="TextoNormalCursivaCaracter"/>
        </w:rPr>
        <w:t xml:space="preserve"> Vulneración del derecho a la tutela judicial efectiva: infracción del principio acusatorio en juicio de faltas</w:t>
      </w:r>
      <w:r>
        <w:tab/>
      </w:r>
      <w:r>
        <w:tab/>
      </w:r>
      <w:r>
        <w:fldChar w:fldCharType="begin"/>
      </w:r>
      <w:r>
        <w:instrText xml:space="preserve"> PAGEREF SENTENCIA_1992_11 \h </w:instrText>
      </w:r>
      <w:r>
        <w:fldChar w:fldCharType="separate"/>
      </w:r>
      <w:r w:rsidR="002964F1">
        <w:rPr>
          <w:noProof/>
        </w:rPr>
        <w:t>135</w:t>
      </w:r>
      <w:r>
        <w:fldChar w:fldCharType="end"/>
      </w:r>
    </w:p>
    <w:p w:rsidR="001751D3" w:rsidRDefault="001751D3" w:rsidP="001751D3"/>
    <w:p w:rsidR="001751D3" w:rsidRDefault="001751D3" w:rsidP="001751D3">
      <w:pPr>
        <w:pStyle w:val="EntradandiceSentencia"/>
      </w:pPr>
      <w:r>
        <w:t>Sala Segunda. Sentencia 12/1992, de 27 de enero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965/1989. </w:t>
      </w:r>
      <w:r w:rsidRPr="001751D3">
        <w:rPr>
          <w:rStyle w:val="TextoNormalCursivaCaracter"/>
        </w:rPr>
        <w:t xml:space="preserve"> Vulneración del derecho a la tutela judicial efectiva: interpretación rigurosa y desproporcionada del requisito de la consignación previa para recurrir</w:t>
      </w:r>
      <w:r>
        <w:tab/>
      </w:r>
      <w:r>
        <w:tab/>
      </w:r>
      <w:r>
        <w:fldChar w:fldCharType="begin"/>
      </w:r>
      <w:r>
        <w:instrText xml:space="preserve"> PAGEREF SENTENCIA_1992_12 \h </w:instrText>
      </w:r>
      <w:r>
        <w:fldChar w:fldCharType="separate"/>
      </w:r>
      <w:r w:rsidR="002964F1">
        <w:rPr>
          <w:noProof/>
        </w:rPr>
        <w:t>143</w:t>
      </w:r>
      <w:r>
        <w:fldChar w:fldCharType="end"/>
      </w:r>
    </w:p>
    <w:p w:rsidR="001751D3" w:rsidRDefault="001751D3" w:rsidP="001751D3"/>
    <w:p w:rsidR="001751D3" w:rsidRDefault="001751D3" w:rsidP="001751D3">
      <w:pPr>
        <w:pStyle w:val="EntradandiceSentencia"/>
      </w:pPr>
      <w:r>
        <w:lastRenderedPageBreak/>
        <w:t>Pleno. Sentencia 13/1992, de 6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inconstitucionalidad 542/1988 573/1989 (acumulados). </w:t>
      </w:r>
      <w:r w:rsidRPr="001751D3">
        <w:rPr>
          <w:rStyle w:val="TextoNormalCursivaCaracter"/>
        </w:rPr>
        <w:t xml:space="preserve"> </w:t>
      </w:r>
      <w:r>
        <w:tab/>
      </w:r>
      <w:r>
        <w:tab/>
      </w:r>
      <w:r>
        <w:fldChar w:fldCharType="begin"/>
      </w:r>
      <w:r>
        <w:instrText xml:space="preserve"> PAGEREF SENTENCIA_1992_13 \h </w:instrText>
      </w:r>
      <w:r>
        <w:fldChar w:fldCharType="separate"/>
      </w:r>
      <w:r w:rsidR="002964F1">
        <w:rPr>
          <w:noProof/>
        </w:rPr>
        <w:t>154</w:t>
      </w:r>
      <w:r>
        <w:fldChar w:fldCharType="end"/>
      </w:r>
    </w:p>
    <w:p w:rsidR="001751D3" w:rsidRDefault="001751D3" w:rsidP="001751D3"/>
    <w:p w:rsidR="001751D3" w:rsidRDefault="001751D3" w:rsidP="001751D3">
      <w:pPr>
        <w:pStyle w:val="EntradandiceSentencia"/>
      </w:pPr>
      <w:r>
        <w:t>Pleno. Sentencia 14/1992, de 10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Cuestión de inconstitucionalidad 1.219/1988 682/1990 701/1990 853/1990 2.382/1990 2.407/1990 2.436/1990 2.437/1990 2.438/1990 2.842/1990 1.078/1991 1.320/1991 1.472/1991 1.519/1991 1.532/1991 1.623/1991 1.885/1991 1.886/1991 1.901/1991 1.903/1991 (acumuladas). </w:t>
      </w:r>
      <w:r w:rsidRPr="001751D3">
        <w:rPr>
          <w:rStyle w:val="TextoNormalCursivaCaracter"/>
        </w:rPr>
        <w:t xml:space="preserve"> </w:t>
      </w:r>
      <w:r>
        <w:tab/>
      </w:r>
      <w:r>
        <w:tab/>
      </w:r>
      <w:r>
        <w:fldChar w:fldCharType="begin"/>
      </w:r>
      <w:r>
        <w:instrText xml:space="preserve"> PAGEREF SENTENCIA_1992_14 \h </w:instrText>
      </w:r>
      <w:r>
        <w:fldChar w:fldCharType="separate"/>
      </w:r>
      <w:r w:rsidR="002964F1">
        <w:rPr>
          <w:noProof/>
        </w:rPr>
        <w:t>233</w:t>
      </w:r>
      <w:r>
        <w:fldChar w:fldCharType="end"/>
      </w:r>
    </w:p>
    <w:p w:rsidR="001751D3" w:rsidRDefault="001751D3" w:rsidP="001751D3"/>
    <w:p w:rsidR="001751D3" w:rsidRDefault="001751D3" w:rsidP="001751D3">
      <w:pPr>
        <w:pStyle w:val="EntradandiceSentencia"/>
      </w:pPr>
      <w:r>
        <w:t>Sala Segunda. Sentencia 15/1992, de 10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883/1989. </w:t>
      </w:r>
      <w:r w:rsidRPr="001751D3">
        <w:rPr>
          <w:rStyle w:val="TextoNormalCursivaCaracter"/>
        </w:rPr>
        <w:t xml:space="preserve"> Vulneración del derecho a la permanencia en las funciones y cargos públicos en condiciones de igualdad sin perturbaciones ilegítimas</w:t>
      </w:r>
      <w:r>
        <w:tab/>
      </w:r>
      <w:r>
        <w:tab/>
      </w:r>
      <w:r>
        <w:fldChar w:fldCharType="begin"/>
      </w:r>
      <w:r>
        <w:instrText xml:space="preserve"> PAGEREF SENTENCIA_1992_15 \h </w:instrText>
      </w:r>
      <w:r>
        <w:fldChar w:fldCharType="separate"/>
      </w:r>
      <w:r w:rsidR="002964F1">
        <w:rPr>
          <w:noProof/>
        </w:rPr>
        <w:t>273</w:t>
      </w:r>
      <w:r>
        <w:fldChar w:fldCharType="end"/>
      </w:r>
    </w:p>
    <w:p w:rsidR="001751D3" w:rsidRDefault="001751D3" w:rsidP="001751D3"/>
    <w:p w:rsidR="001751D3" w:rsidRDefault="001751D3" w:rsidP="001751D3">
      <w:pPr>
        <w:pStyle w:val="EntradandiceSentencia"/>
      </w:pPr>
      <w:r>
        <w:t>Sala Segunda. Sentencia 16/1992, de 10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1.165/1989. </w:t>
      </w:r>
      <w:r w:rsidRPr="001751D3">
        <w:rPr>
          <w:rStyle w:val="TextoNormalCursivaCaracter"/>
        </w:rPr>
        <w:t xml:space="preserve"> Supuesta vulneración del derecho a la tutela judicial efectiva: derecho a los recursos</w:t>
      </w:r>
      <w:r>
        <w:tab/>
      </w:r>
      <w:r>
        <w:tab/>
      </w:r>
      <w:r>
        <w:fldChar w:fldCharType="begin"/>
      </w:r>
      <w:r>
        <w:instrText xml:space="preserve"> PAGEREF SENTENCIA_1992_16 \h </w:instrText>
      </w:r>
      <w:r>
        <w:fldChar w:fldCharType="separate"/>
      </w:r>
      <w:r w:rsidR="002964F1">
        <w:rPr>
          <w:noProof/>
        </w:rPr>
        <w:t>280</w:t>
      </w:r>
      <w:r>
        <w:fldChar w:fldCharType="end"/>
      </w:r>
    </w:p>
    <w:p w:rsidR="001751D3" w:rsidRDefault="001751D3" w:rsidP="001751D3"/>
    <w:p w:rsidR="001751D3" w:rsidRDefault="001751D3" w:rsidP="001751D3">
      <w:pPr>
        <w:pStyle w:val="EntradandiceSentencia"/>
      </w:pPr>
      <w:r>
        <w:t>Sala Segunda. Sentencia 17/1992, de 10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1.282/1989. </w:t>
      </w:r>
      <w:r w:rsidRPr="001751D3">
        <w:rPr>
          <w:rStyle w:val="TextoNormalCursivaCaracter"/>
        </w:rPr>
        <w:t xml:space="preserve"> Supuesta vulneración del derecho a la tutela judicial efectiva: actos procesales de comunicación</w:t>
      </w:r>
      <w:r>
        <w:tab/>
      </w:r>
      <w:r>
        <w:tab/>
      </w:r>
      <w:r>
        <w:fldChar w:fldCharType="begin"/>
      </w:r>
      <w:r>
        <w:instrText xml:space="preserve"> PAGEREF SENTENCIA_1992_17 \h </w:instrText>
      </w:r>
      <w:r>
        <w:fldChar w:fldCharType="separate"/>
      </w:r>
      <w:r w:rsidR="002964F1">
        <w:rPr>
          <w:noProof/>
        </w:rPr>
        <w:t>287</w:t>
      </w:r>
      <w:r>
        <w:fldChar w:fldCharType="end"/>
      </w:r>
    </w:p>
    <w:p w:rsidR="001751D3" w:rsidRDefault="001751D3" w:rsidP="001751D3"/>
    <w:p w:rsidR="001751D3" w:rsidRDefault="001751D3" w:rsidP="001751D3">
      <w:pPr>
        <w:pStyle w:val="EntradandiceSentencia"/>
      </w:pPr>
      <w:r>
        <w:t>Sala Segunda. Sentencia 18/1992, de 10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1.610/1989. </w:t>
      </w:r>
      <w:r w:rsidRPr="001751D3">
        <w:rPr>
          <w:rStyle w:val="TextoNormalCursivaCaracter"/>
        </w:rPr>
        <w:t xml:space="preserve"> Extemporaneidad de la acción</w:t>
      </w:r>
      <w:r>
        <w:tab/>
      </w:r>
      <w:r>
        <w:tab/>
      </w:r>
      <w:r>
        <w:fldChar w:fldCharType="begin"/>
      </w:r>
      <w:r>
        <w:instrText xml:space="preserve"> PAGEREF SENTENCIA_1992_18 \h </w:instrText>
      </w:r>
      <w:r>
        <w:fldChar w:fldCharType="separate"/>
      </w:r>
      <w:r w:rsidR="002964F1">
        <w:rPr>
          <w:noProof/>
        </w:rPr>
        <w:t>296</w:t>
      </w:r>
      <w:r>
        <w:fldChar w:fldCharType="end"/>
      </w:r>
    </w:p>
    <w:p w:rsidR="001751D3" w:rsidRDefault="001751D3" w:rsidP="001751D3"/>
    <w:p w:rsidR="001751D3" w:rsidRDefault="001751D3" w:rsidP="001751D3">
      <w:pPr>
        <w:pStyle w:val="EntradandiceSentencia"/>
      </w:pPr>
      <w:r>
        <w:t>Sala Primera. Sentencia 19/1992,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1.685/1988. </w:t>
      </w:r>
      <w:r w:rsidRPr="001751D3">
        <w:rPr>
          <w:rStyle w:val="TextoNormalCursivaCaracter"/>
        </w:rPr>
        <w:t xml:space="preserve"> Vulneración del derecho a la tutela judicial efectiva: "reformatio in peius" (revisión indebida de la declaración relativa al nacimiento de la acción civil)</w:t>
      </w:r>
      <w:r>
        <w:tab/>
      </w:r>
      <w:r>
        <w:tab/>
      </w:r>
      <w:r>
        <w:fldChar w:fldCharType="begin"/>
      </w:r>
      <w:r>
        <w:instrText xml:space="preserve"> PAGEREF SENTENCIA_1992_19 \h </w:instrText>
      </w:r>
      <w:r>
        <w:fldChar w:fldCharType="separate"/>
      </w:r>
      <w:r w:rsidR="002964F1">
        <w:rPr>
          <w:noProof/>
        </w:rPr>
        <w:t>307</w:t>
      </w:r>
      <w:r>
        <w:fldChar w:fldCharType="end"/>
      </w:r>
    </w:p>
    <w:p w:rsidR="001751D3" w:rsidRDefault="001751D3" w:rsidP="001751D3"/>
    <w:p w:rsidR="001751D3" w:rsidRDefault="001751D3" w:rsidP="001751D3">
      <w:pPr>
        <w:pStyle w:val="EntradandiceSentencia"/>
      </w:pPr>
      <w:r>
        <w:lastRenderedPageBreak/>
        <w:t>Sala Primera. Sentencia 20/1992,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1.696/1988. </w:t>
      </w:r>
      <w:r w:rsidRPr="001751D3">
        <w:rPr>
          <w:rStyle w:val="TextoNormalCursivaCaracter"/>
        </w:rPr>
        <w:t xml:space="preserve"> Supuesta vulneración del derecho a difundir libremente información: lesión del derecho a la intimidad personal y familiar</w:t>
      </w:r>
      <w:r>
        <w:tab/>
      </w:r>
      <w:r>
        <w:tab/>
      </w:r>
      <w:r>
        <w:fldChar w:fldCharType="begin"/>
      </w:r>
      <w:r>
        <w:instrText xml:space="preserve"> PAGEREF SENTENCIA_1992_20 \h </w:instrText>
      </w:r>
      <w:r>
        <w:fldChar w:fldCharType="separate"/>
      </w:r>
      <w:r w:rsidR="002964F1">
        <w:rPr>
          <w:noProof/>
        </w:rPr>
        <w:t>316</w:t>
      </w:r>
      <w:r>
        <w:fldChar w:fldCharType="end"/>
      </w:r>
    </w:p>
    <w:p w:rsidR="001751D3" w:rsidRDefault="001751D3" w:rsidP="001751D3"/>
    <w:p w:rsidR="001751D3" w:rsidRDefault="001751D3" w:rsidP="001751D3">
      <w:pPr>
        <w:pStyle w:val="EntradandiceSentencia"/>
      </w:pPr>
      <w:r>
        <w:t>Sala Primera. Sentencia 21/1992,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1.821/1988. </w:t>
      </w:r>
      <w:r w:rsidRPr="001751D3">
        <w:rPr>
          <w:rStyle w:val="TextoNormalCursivaCaracter"/>
        </w:rPr>
        <w:t xml:space="preserve"> Supuesta vulneración de los arts. 14 y 28.1 C.E.: despido improcedente</w:t>
      </w:r>
      <w:r>
        <w:tab/>
      </w:r>
      <w:r>
        <w:tab/>
      </w:r>
      <w:r>
        <w:fldChar w:fldCharType="begin"/>
      </w:r>
      <w:r>
        <w:instrText xml:space="preserve"> PAGEREF SENTENCIA_1992_21 \h </w:instrText>
      </w:r>
      <w:r>
        <w:fldChar w:fldCharType="separate"/>
      </w:r>
      <w:r w:rsidR="002964F1">
        <w:rPr>
          <w:noProof/>
        </w:rPr>
        <w:t>325</w:t>
      </w:r>
      <w:r>
        <w:fldChar w:fldCharType="end"/>
      </w:r>
    </w:p>
    <w:p w:rsidR="001751D3" w:rsidRDefault="001751D3" w:rsidP="001751D3"/>
    <w:p w:rsidR="001751D3" w:rsidRDefault="001751D3" w:rsidP="001751D3">
      <w:pPr>
        <w:pStyle w:val="EntradandiceSentencia"/>
      </w:pPr>
      <w:r>
        <w:t>Sala Primera. Sentencia 22/1992,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2.024/1988. </w:t>
      </w:r>
      <w:r w:rsidRPr="001751D3">
        <w:rPr>
          <w:rStyle w:val="TextoNormalCursivaCaracter"/>
        </w:rPr>
        <w:t xml:space="preserve"> Supuesta vulneración del derecho a la tutela judicial efectiva: recurso meramente dilatorio</w:t>
      </w:r>
      <w:r>
        <w:tab/>
      </w:r>
      <w:r>
        <w:tab/>
      </w:r>
      <w:r>
        <w:fldChar w:fldCharType="begin"/>
      </w:r>
      <w:r>
        <w:instrText xml:space="preserve"> PAGEREF SENTENCIA_1992_22 \h </w:instrText>
      </w:r>
      <w:r>
        <w:fldChar w:fldCharType="separate"/>
      </w:r>
      <w:r w:rsidR="002964F1">
        <w:rPr>
          <w:noProof/>
        </w:rPr>
        <w:t>334</w:t>
      </w:r>
      <w:r>
        <w:fldChar w:fldCharType="end"/>
      </w:r>
    </w:p>
    <w:p w:rsidR="001751D3" w:rsidRDefault="001751D3" w:rsidP="001751D3"/>
    <w:p w:rsidR="001751D3" w:rsidRDefault="001751D3" w:rsidP="001751D3">
      <w:pPr>
        <w:pStyle w:val="EntradandiceSentencia"/>
      </w:pPr>
      <w:r>
        <w:t>Sala Primera. Sentencia 23/1992,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2.044/1988. </w:t>
      </w:r>
      <w:r w:rsidRPr="001751D3">
        <w:rPr>
          <w:rStyle w:val="TextoNormalCursivaCaracter"/>
        </w:rPr>
        <w:t xml:space="preserve"> Vulneración del derecho a la tutela judicial efectiva: interpretación restrictiva de los requisitos legales para el acceso al recurso</w:t>
      </w:r>
      <w:r>
        <w:tab/>
      </w:r>
      <w:r>
        <w:tab/>
      </w:r>
      <w:r>
        <w:fldChar w:fldCharType="begin"/>
      </w:r>
      <w:r>
        <w:instrText xml:space="preserve"> PAGEREF SENTENCIA_1992_23 \h </w:instrText>
      </w:r>
      <w:r>
        <w:fldChar w:fldCharType="separate"/>
      </w:r>
      <w:r w:rsidR="002964F1">
        <w:rPr>
          <w:noProof/>
        </w:rPr>
        <w:t>341</w:t>
      </w:r>
      <w:r>
        <w:fldChar w:fldCharType="end"/>
      </w:r>
    </w:p>
    <w:p w:rsidR="001751D3" w:rsidRDefault="001751D3" w:rsidP="001751D3"/>
    <w:p w:rsidR="001751D3" w:rsidRDefault="001751D3" w:rsidP="001751D3">
      <w:pPr>
        <w:pStyle w:val="EntradandiceSentencia"/>
      </w:pPr>
      <w:r>
        <w:t>Sala Primera. Sentencia 24/1992, de 14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542/1989. </w:t>
      </w:r>
      <w:r w:rsidRPr="001751D3">
        <w:rPr>
          <w:rStyle w:val="TextoNormalCursivaCaracter"/>
        </w:rPr>
        <w:t xml:space="preserve"> Supuesta vulneración del derecho a la presunción de inocencia: actividad probatoria</w:t>
      </w:r>
      <w:r>
        <w:tab/>
      </w:r>
      <w:r>
        <w:tab/>
      </w:r>
      <w:r>
        <w:fldChar w:fldCharType="begin"/>
      </w:r>
      <w:r>
        <w:instrText xml:space="preserve"> PAGEREF SENTENCIA_1992_24 \h </w:instrText>
      </w:r>
      <w:r>
        <w:fldChar w:fldCharType="separate"/>
      </w:r>
      <w:r w:rsidR="002964F1">
        <w:rPr>
          <w:noProof/>
        </w:rPr>
        <w:t>350</w:t>
      </w:r>
      <w:r>
        <w:fldChar w:fldCharType="end"/>
      </w:r>
    </w:p>
    <w:p w:rsidR="001751D3" w:rsidRDefault="001751D3" w:rsidP="001751D3"/>
    <w:p w:rsidR="001751D3" w:rsidRDefault="001751D3" w:rsidP="001751D3">
      <w:pPr>
        <w:pStyle w:val="EntradandiceSentencia"/>
      </w:pPr>
      <w:r>
        <w:t>Sala Segunda. Sentencia 25/1992, de 24 de febrero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electoral 456/1992. </w:t>
      </w:r>
      <w:r w:rsidRPr="001751D3">
        <w:rPr>
          <w:rStyle w:val="TextoNormalCursivaCaracter"/>
        </w:rPr>
        <w:t xml:space="preserve"> Supuesta vulneración de los arts. 14 y 23.2 C.E.: requisitos para el ejercicio de sufragio activo y pasivo</w:t>
      </w:r>
      <w:r>
        <w:tab/>
      </w:r>
      <w:r>
        <w:tab/>
      </w:r>
      <w:r>
        <w:fldChar w:fldCharType="begin"/>
      </w:r>
      <w:r>
        <w:instrText xml:space="preserve"> PAGEREF SENTENCIA_1992_25 \h </w:instrText>
      </w:r>
      <w:r>
        <w:fldChar w:fldCharType="separate"/>
      </w:r>
      <w:r w:rsidR="002964F1">
        <w:rPr>
          <w:noProof/>
        </w:rPr>
        <w:t>358</w:t>
      </w:r>
      <w:r>
        <w:fldChar w:fldCharType="end"/>
      </w:r>
    </w:p>
    <w:p w:rsidR="001751D3" w:rsidRDefault="001751D3" w:rsidP="001751D3"/>
    <w:p w:rsidR="001751D3" w:rsidRDefault="001751D3" w:rsidP="001751D3">
      <w:pPr>
        <w:pStyle w:val="EntradandiceSentencia"/>
      </w:pPr>
      <w:r>
        <w:t>Pleno. Sentencia 26/1992, de 5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Cuestión de inconstitucionalidad 2.132/1991 2.562/1991 222/1992 (acumuladas). </w:t>
      </w:r>
      <w:r w:rsidRPr="001751D3">
        <w:rPr>
          <w:rStyle w:val="TextoNormalCursivaCaracter"/>
        </w:rPr>
        <w:t xml:space="preserve"> </w:t>
      </w:r>
      <w:r>
        <w:tab/>
      </w:r>
      <w:r>
        <w:tab/>
      </w:r>
      <w:r>
        <w:fldChar w:fldCharType="begin"/>
      </w:r>
      <w:r>
        <w:instrText xml:space="preserve"> PAGEREF SENTENCIA_1992_26 \h </w:instrText>
      </w:r>
      <w:r>
        <w:fldChar w:fldCharType="separate"/>
      </w:r>
      <w:r w:rsidR="002964F1">
        <w:rPr>
          <w:noProof/>
        </w:rPr>
        <w:t>361</w:t>
      </w:r>
      <w:r>
        <w:fldChar w:fldCharType="end"/>
      </w:r>
    </w:p>
    <w:p w:rsidR="001751D3" w:rsidRDefault="001751D3" w:rsidP="001751D3"/>
    <w:p w:rsidR="001751D3" w:rsidRDefault="001751D3" w:rsidP="001751D3">
      <w:pPr>
        <w:pStyle w:val="EntradandiceSentencia"/>
      </w:pPr>
      <w:r>
        <w:lastRenderedPageBreak/>
        <w:t>Sala Segunda. Sentencia 27/1992, de 9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901/1989. </w:t>
      </w:r>
      <w:r w:rsidRPr="001751D3">
        <w:rPr>
          <w:rStyle w:val="TextoNormalCursivaCaracter"/>
        </w:rPr>
        <w:t xml:space="preserve"> Vulneración del derecho a la tutela judicial efectiva: falta de motivación de la resolución judicial impugnada</w:t>
      </w:r>
      <w:r>
        <w:tab/>
      </w:r>
      <w:r>
        <w:tab/>
      </w:r>
      <w:r>
        <w:fldChar w:fldCharType="begin"/>
      </w:r>
      <w:r>
        <w:instrText xml:space="preserve"> PAGEREF SENTENCIA_1992_27 \h </w:instrText>
      </w:r>
      <w:r>
        <w:fldChar w:fldCharType="separate"/>
      </w:r>
      <w:r w:rsidR="002964F1">
        <w:rPr>
          <w:noProof/>
        </w:rPr>
        <w:t>365</w:t>
      </w:r>
      <w:r>
        <w:fldChar w:fldCharType="end"/>
      </w:r>
    </w:p>
    <w:p w:rsidR="001751D3" w:rsidRDefault="001751D3" w:rsidP="001751D3"/>
    <w:p w:rsidR="001751D3" w:rsidRDefault="001751D3" w:rsidP="001751D3">
      <w:pPr>
        <w:pStyle w:val="EntradandiceSentencia"/>
      </w:pPr>
      <w:r>
        <w:t>Sala Segunda. Sentencia 28/1992, de 9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1.191/1989. </w:t>
      </w:r>
      <w:r w:rsidRPr="001751D3">
        <w:rPr>
          <w:rStyle w:val="TextoNormalCursivaCaracter"/>
        </w:rPr>
        <w:t xml:space="preserve"> Supuesta vulneración del principio de igualdad: plus de trabajo nocturno no discriminatorio por razón de sexo</w:t>
      </w:r>
      <w:r>
        <w:tab/>
      </w:r>
      <w:r>
        <w:tab/>
      </w:r>
      <w:r>
        <w:fldChar w:fldCharType="begin"/>
      </w:r>
      <w:r>
        <w:instrText xml:space="preserve"> PAGEREF SENTENCIA_1992_28 \h </w:instrText>
      </w:r>
      <w:r>
        <w:fldChar w:fldCharType="separate"/>
      </w:r>
      <w:r w:rsidR="002964F1">
        <w:rPr>
          <w:noProof/>
        </w:rPr>
        <w:t>375</w:t>
      </w:r>
      <w:r>
        <w:fldChar w:fldCharType="end"/>
      </w:r>
    </w:p>
    <w:p w:rsidR="001751D3" w:rsidRDefault="001751D3" w:rsidP="001751D3"/>
    <w:p w:rsidR="001751D3" w:rsidRDefault="001751D3" w:rsidP="001751D3">
      <w:pPr>
        <w:pStyle w:val="EntradandiceSentencia"/>
      </w:pPr>
      <w:r>
        <w:t>Sala Segunda. Sentencia 29/1992, de 9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1.759/1989. </w:t>
      </w:r>
      <w:r w:rsidRPr="001751D3">
        <w:rPr>
          <w:rStyle w:val="TextoNormalCursivaCaracter"/>
        </w:rPr>
        <w:t xml:space="preserve"> Supuesta vulneración del principio de igualdad: derecho a pensión de viudedad derivado de convivencia extramatrimonial</w:t>
      </w:r>
      <w:r>
        <w:tab/>
      </w:r>
      <w:r>
        <w:tab/>
      </w:r>
      <w:r>
        <w:fldChar w:fldCharType="begin"/>
      </w:r>
      <w:r>
        <w:instrText xml:space="preserve"> PAGEREF SENTENCIA_1992_29 \h </w:instrText>
      </w:r>
      <w:r>
        <w:fldChar w:fldCharType="separate"/>
      </w:r>
      <w:r w:rsidR="002964F1">
        <w:rPr>
          <w:noProof/>
        </w:rPr>
        <w:t>384</w:t>
      </w:r>
      <w:r>
        <w:fldChar w:fldCharType="end"/>
      </w:r>
    </w:p>
    <w:p w:rsidR="001751D3" w:rsidRDefault="001751D3" w:rsidP="001751D3"/>
    <w:p w:rsidR="001751D3" w:rsidRDefault="001751D3" w:rsidP="001751D3">
      <w:pPr>
        <w:pStyle w:val="EntradandiceSentencia"/>
      </w:pPr>
      <w:r>
        <w:t>Sala Primera. Sentencia 30/1992, de 18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1.764/1988. </w:t>
      </w:r>
      <w:r w:rsidRPr="001751D3">
        <w:rPr>
          <w:rStyle w:val="TextoNormalCursivaCaracter"/>
        </w:rPr>
        <w:t xml:space="preserve"> Supuesta vulneración del derecho de libertad sindical: titularidad del derecho de audiencia consagrado por el art. 10.3.3. L.O.L.S</w:t>
      </w:r>
      <w:r>
        <w:tab/>
      </w:r>
      <w:r>
        <w:tab/>
      </w:r>
      <w:r>
        <w:fldChar w:fldCharType="begin"/>
      </w:r>
      <w:r>
        <w:instrText xml:space="preserve"> PAGEREF SENTENCIA_1992_30 \h </w:instrText>
      </w:r>
      <w:r>
        <w:fldChar w:fldCharType="separate"/>
      </w:r>
      <w:r w:rsidR="002964F1">
        <w:rPr>
          <w:noProof/>
        </w:rPr>
        <w:t>391</w:t>
      </w:r>
      <w:r>
        <w:fldChar w:fldCharType="end"/>
      </w:r>
    </w:p>
    <w:p w:rsidR="001751D3" w:rsidRDefault="001751D3" w:rsidP="001751D3"/>
    <w:p w:rsidR="001751D3" w:rsidRDefault="001751D3" w:rsidP="001751D3">
      <w:pPr>
        <w:pStyle w:val="EntradandiceSentencia"/>
      </w:pPr>
      <w:r>
        <w:t>Sala Primera. Sentencia 31/1992, de 18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1.949/1988. </w:t>
      </w:r>
      <w:r w:rsidRPr="001751D3">
        <w:rPr>
          <w:rStyle w:val="TextoNormalCursivaCaracter"/>
        </w:rPr>
        <w:t xml:space="preserve"> Vulneración del derecho a la tutela judicial efectiva: interpretación excesivamente rigurosa de lo dispuesto por el art. 148.4 de la Ley de Arrendamientos Urbanos</w:t>
      </w:r>
      <w:r>
        <w:tab/>
      </w:r>
      <w:r>
        <w:tab/>
      </w:r>
      <w:r>
        <w:fldChar w:fldCharType="begin"/>
      </w:r>
      <w:r>
        <w:instrText xml:space="preserve"> PAGEREF SENTENCIA_1992_31 \h </w:instrText>
      </w:r>
      <w:r>
        <w:fldChar w:fldCharType="separate"/>
      </w:r>
      <w:r w:rsidR="002964F1">
        <w:rPr>
          <w:noProof/>
        </w:rPr>
        <w:t>402</w:t>
      </w:r>
      <w:r>
        <w:fldChar w:fldCharType="end"/>
      </w:r>
    </w:p>
    <w:p w:rsidR="001751D3" w:rsidRDefault="001751D3" w:rsidP="001751D3"/>
    <w:p w:rsidR="001751D3" w:rsidRDefault="001751D3" w:rsidP="001751D3">
      <w:pPr>
        <w:pStyle w:val="EntradandiceSentencia"/>
      </w:pPr>
      <w:r>
        <w:t>Sala Primera. Sentencia 32/1992, de 18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2.078/1988. </w:t>
      </w:r>
      <w:r w:rsidRPr="001751D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SENTENCIA_1992_32 \h </w:instrText>
      </w:r>
      <w:r>
        <w:fldChar w:fldCharType="separate"/>
      </w:r>
      <w:r w:rsidR="002964F1">
        <w:rPr>
          <w:noProof/>
        </w:rPr>
        <w:t>411</w:t>
      </w:r>
      <w:r>
        <w:fldChar w:fldCharType="end"/>
      </w:r>
    </w:p>
    <w:p w:rsidR="001751D3" w:rsidRDefault="001751D3" w:rsidP="001751D3"/>
    <w:p w:rsidR="001751D3" w:rsidRDefault="001751D3" w:rsidP="001751D3">
      <w:pPr>
        <w:pStyle w:val="EntradandiceSentencia"/>
      </w:pPr>
      <w:r>
        <w:t>Sala Primera. Sentencia 33/1992, de 18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2.094/1988. </w:t>
      </w:r>
      <w:r w:rsidRPr="001751D3">
        <w:rPr>
          <w:rStyle w:val="TextoNormalCursivaCaracter"/>
        </w:rPr>
        <w:t xml:space="preserve"> Supuesta vulneración de los derechos a la tutela judicial efectiva, a la presunción de inocencia y a la utilización de los medios de prueba pertinentes</w:t>
      </w:r>
      <w:r>
        <w:tab/>
      </w:r>
      <w:r>
        <w:tab/>
      </w:r>
      <w:r>
        <w:fldChar w:fldCharType="begin"/>
      </w:r>
      <w:r>
        <w:instrText xml:space="preserve"> PAGEREF SENTENCIA_1992_33 \h </w:instrText>
      </w:r>
      <w:r>
        <w:fldChar w:fldCharType="separate"/>
      </w:r>
      <w:r w:rsidR="002964F1">
        <w:rPr>
          <w:noProof/>
        </w:rPr>
        <w:t>418</w:t>
      </w:r>
      <w:r>
        <w:fldChar w:fldCharType="end"/>
      </w:r>
    </w:p>
    <w:p w:rsidR="001751D3" w:rsidRDefault="001751D3" w:rsidP="001751D3"/>
    <w:p w:rsidR="001751D3" w:rsidRDefault="001751D3" w:rsidP="001751D3">
      <w:pPr>
        <w:pStyle w:val="EntradandiceSentencia"/>
      </w:pPr>
      <w:r>
        <w:lastRenderedPageBreak/>
        <w:t>Sala Primera. Sentencia 34/1992, de 18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970/1989. </w:t>
      </w:r>
      <w:r w:rsidRPr="001751D3">
        <w:rPr>
          <w:rStyle w:val="TextoNormalCursivaCaracter"/>
        </w:rPr>
        <w:t xml:space="preserve"> Vulneración del derecho a la tutela judicial efectiva: falta de motivación de la Sentencia recurrida</w:t>
      </w:r>
      <w:r>
        <w:tab/>
      </w:r>
      <w:r>
        <w:tab/>
      </w:r>
      <w:r>
        <w:fldChar w:fldCharType="begin"/>
      </w:r>
      <w:r>
        <w:instrText xml:space="preserve"> PAGEREF SENTENCIA_1992_34 \h </w:instrText>
      </w:r>
      <w:r>
        <w:fldChar w:fldCharType="separate"/>
      </w:r>
      <w:r w:rsidR="002964F1">
        <w:rPr>
          <w:noProof/>
        </w:rPr>
        <w:t>431</w:t>
      </w:r>
      <w:r>
        <w:fldChar w:fldCharType="end"/>
      </w:r>
    </w:p>
    <w:p w:rsidR="001751D3" w:rsidRDefault="001751D3" w:rsidP="001751D3"/>
    <w:p w:rsidR="001751D3" w:rsidRDefault="001751D3" w:rsidP="001751D3">
      <w:pPr>
        <w:pStyle w:val="EntradandiceSentencia"/>
      </w:pPr>
      <w:r>
        <w:t>Pleno. Sentencia 35/1992, de 23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1.154/1985. </w:t>
      </w:r>
      <w:r w:rsidRPr="001751D3">
        <w:rPr>
          <w:rStyle w:val="TextoNormalCursivaCaracter"/>
        </w:rPr>
        <w:t xml:space="preserve"> </w:t>
      </w:r>
      <w:r>
        <w:tab/>
      </w:r>
      <w:r>
        <w:tab/>
      </w:r>
      <w:r>
        <w:fldChar w:fldCharType="begin"/>
      </w:r>
      <w:r>
        <w:instrText xml:space="preserve"> PAGEREF SENTENCIA_1992_35 \h </w:instrText>
      </w:r>
      <w:r>
        <w:fldChar w:fldCharType="separate"/>
      </w:r>
      <w:r w:rsidR="002964F1">
        <w:rPr>
          <w:noProof/>
        </w:rPr>
        <w:t>437</w:t>
      </w:r>
      <w:r>
        <w:fldChar w:fldCharType="end"/>
      </w:r>
    </w:p>
    <w:p w:rsidR="001751D3" w:rsidRDefault="001751D3" w:rsidP="001751D3"/>
    <w:p w:rsidR="001751D3" w:rsidRDefault="001751D3" w:rsidP="001751D3">
      <w:pPr>
        <w:pStyle w:val="EntradandiceSentencia"/>
      </w:pPr>
      <w:r>
        <w:t>Pleno. Sentencia 36/1992, de 23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17/1986. </w:t>
      </w:r>
      <w:r w:rsidRPr="001751D3">
        <w:rPr>
          <w:rStyle w:val="TextoNormalCursivaCaracter"/>
        </w:rPr>
        <w:t xml:space="preserve"> </w:t>
      </w:r>
      <w:r>
        <w:tab/>
      </w:r>
      <w:r>
        <w:tab/>
      </w:r>
      <w:r>
        <w:fldChar w:fldCharType="begin"/>
      </w:r>
      <w:r>
        <w:instrText xml:space="preserve"> PAGEREF SENTENCIA_1992_36 \h </w:instrText>
      </w:r>
      <w:r>
        <w:fldChar w:fldCharType="separate"/>
      </w:r>
      <w:r w:rsidR="002964F1">
        <w:rPr>
          <w:noProof/>
        </w:rPr>
        <w:t>456</w:t>
      </w:r>
      <w:r>
        <w:fldChar w:fldCharType="end"/>
      </w:r>
    </w:p>
    <w:p w:rsidR="001751D3" w:rsidRDefault="001751D3" w:rsidP="001751D3"/>
    <w:p w:rsidR="001751D3" w:rsidRDefault="001751D3" w:rsidP="001751D3">
      <w:pPr>
        <w:pStyle w:val="EntradandiceSentencia"/>
      </w:pPr>
      <w:r>
        <w:t>Pleno. Sentencia 37/1992, de 23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negativo de competencia 699/1986. </w:t>
      </w:r>
      <w:r w:rsidRPr="001751D3">
        <w:rPr>
          <w:rStyle w:val="TextoNormalCursivaCaracter"/>
        </w:rPr>
        <w:t xml:space="preserve"> Inexistencia de objeto de conflicto competencial</w:t>
      </w:r>
      <w:r>
        <w:tab/>
      </w:r>
      <w:r>
        <w:tab/>
      </w:r>
      <w:r>
        <w:fldChar w:fldCharType="begin"/>
      </w:r>
      <w:r>
        <w:instrText xml:space="preserve"> PAGEREF SENTENCIA_1992_37 \h </w:instrText>
      </w:r>
      <w:r>
        <w:fldChar w:fldCharType="separate"/>
      </w:r>
      <w:r w:rsidR="002964F1">
        <w:rPr>
          <w:noProof/>
        </w:rPr>
        <w:t>464</w:t>
      </w:r>
      <w:r>
        <w:fldChar w:fldCharType="end"/>
      </w:r>
    </w:p>
    <w:p w:rsidR="001751D3" w:rsidRDefault="001751D3" w:rsidP="001751D3"/>
    <w:p w:rsidR="001751D3" w:rsidRDefault="001751D3" w:rsidP="001751D3">
      <w:pPr>
        <w:pStyle w:val="EntradandiceSentencia"/>
      </w:pPr>
      <w:r>
        <w:t>Pleno. Sentencia 38/1992, de 23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986/1986. </w:t>
      </w:r>
      <w:r w:rsidRPr="001751D3">
        <w:rPr>
          <w:rStyle w:val="TextoNormalCursivaCaracter"/>
        </w:rPr>
        <w:t xml:space="preserve"> </w:t>
      </w:r>
      <w:r>
        <w:tab/>
      </w:r>
      <w:r>
        <w:tab/>
      </w:r>
      <w:r>
        <w:fldChar w:fldCharType="begin"/>
      </w:r>
      <w:r>
        <w:instrText xml:space="preserve"> PAGEREF SENTENCIA_1992_38 \h </w:instrText>
      </w:r>
      <w:r>
        <w:fldChar w:fldCharType="separate"/>
      </w:r>
      <w:r w:rsidR="002964F1">
        <w:rPr>
          <w:noProof/>
        </w:rPr>
        <w:t>471</w:t>
      </w:r>
      <w:r>
        <w:fldChar w:fldCharType="end"/>
      </w:r>
    </w:p>
    <w:p w:rsidR="001751D3" w:rsidRDefault="001751D3" w:rsidP="001751D3"/>
    <w:p w:rsidR="001751D3" w:rsidRDefault="001751D3" w:rsidP="001751D3">
      <w:pPr>
        <w:pStyle w:val="EntradandiceSentencia"/>
      </w:pPr>
      <w:r>
        <w:t>Sala Segunda. Sentencia 39/1992, de 30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981/1989. </w:t>
      </w:r>
      <w:r w:rsidRPr="001751D3">
        <w:rPr>
          <w:rStyle w:val="TextoNormalCursivaCaracter"/>
        </w:rPr>
        <w:t xml:space="preserve"> Supuesta vulneración del principio de igualdad: doble cotización por la prestación de asistencia sanitaria</w:t>
      </w:r>
      <w:r>
        <w:tab/>
      </w:r>
      <w:r>
        <w:tab/>
      </w:r>
      <w:r>
        <w:fldChar w:fldCharType="begin"/>
      </w:r>
      <w:r>
        <w:instrText xml:space="preserve"> PAGEREF SENTENCIA_1992_39 \h </w:instrText>
      </w:r>
      <w:r>
        <w:fldChar w:fldCharType="separate"/>
      </w:r>
      <w:r w:rsidR="002964F1">
        <w:rPr>
          <w:noProof/>
        </w:rPr>
        <w:t>482</w:t>
      </w:r>
      <w:r>
        <w:fldChar w:fldCharType="end"/>
      </w:r>
    </w:p>
    <w:p w:rsidR="001751D3" w:rsidRDefault="001751D3" w:rsidP="001751D3"/>
    <w:p w:rsidR="001751D3" w:rsidRDefault="001751D3" w:rsidP="001751D3">
      <w:pPr>
        <w:pStyle w:val="EntradandiceSentencia"/>
      </w:pPr>
      <w:r>
        <w:t>Sala Segunda. Sentencia 40/1992, de 30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1.306/1989. </w:t>
      </w:r>
      <w:r w:rsidRPr="001751D3">
        <w:rPr>
          <w:rStyle w:val="TextoNormalCursivaCaracter"/>
        </w:rPr>
        <w:t xml:space="preserve"> </w:t>
      </w:r>
      <w:r>
        <w:tab/>
      </w:r>
      <w:r>
        <w:tab/>
      </w:r>
      <w:r>
        <w:fldChar w:fldCharType="begin"/>
      </w:r>
      <w:r>
        <w:instrText xml:space="preserve"> PAGEREF SENTENCIA_1992_40 \h </w:instrText>
      </w:r>
      <w:r>
        <w:fldChar w:fldCharType="separate"/>
      </w:r>
      <w:r w:rsidR="002964F1">
        <w:rPr>
          <w:noProof/>
        </w:rPr>
        <w:t>497</w:t>
      </w:r>
      <w:r>
        <w:fldChar w:fldCharType="end"/>
      </w:r>
    </w:p>
    <w:p w:rsidR="001751D3" w:rsidRDefault="001751D3" w:rsidP="001751D3"/>
    <w:p w:rsidR="001751D3" w:rsidRDefault="001751D3" w:rsidP="001751D3">
      <w:pPr>
        <w:pStyle w:val="EntradandiceSentencia"/>
      </w:pPr>
      <w:r>
        <w:t>Sala Segunda. Sentencia 41/1992, de 30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1.913/1989. </w:t>
      </w:r>
      <w:r w:rsidRPr="001751D3">
        <w:rPr>
          <w:rStyle w:val="TextoNormalCursivaCaracter"/>
        </w:rPr>
        <w:t xml:space="preserve"> Supuesta vulneración del derecho a la tutela judicial efectiva: alcance de la omisión de firma de Procurador</w:t>
      </w:r>
      <w:r>
        <w:tab/>
      </w:r>
      <w:r>
        <w:tab/>
      </w:r>
      <w:r>
        <w:fldChar w:fldCharType="begin"/>
      </w:r>
      <w:r>
        <w:instrText xml:space="preserve"> PAGEREF SENTENCIA_1992_41 \h </w:instrText>
      </w:r>
      <w:r>
        <w:fldChar w:fldCharType="separate"/>
      </w:r>
      <w:r w:rsidR="002964F1">
        <w:rPr>
          <w:noProof/>
        </w:rPr>
        <w:t>509</w:t>
      </w:r>
      <w:r>
        <w:fldChar w:fldCharType="end"/>
      </w:r>
    </w:p>
    <w:p w:rsidR="001751D3" w:rsidRDefault="001751D3" w:rsidP="001751D3"/>
    <w:p w:rsidR="001751D3" w:rsidRDefault="001751D3" w:rsidP="001751D3">
      <w:pPr>
        <w:pStyle w:val="EntradandiceSentencia"/>
      </w:pPr>
      <w:r>
        <w:lastRenderedPageBreak/>
        <w:t>Sala Segunda. Sentencia 42/1992, de 30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2.123/1989. </w:t>
      </w:r>
      <w:r w:rsidRPr="001751D3">
        <w:rPr>
          <w:rStyle w:val="TextoNormalCursivaCaracter"/>
        </w:rPr>
        <w:t xml:space="preserve"> Supuesta vulneración del derecho a la tutela judicial efectiva: derecho a los recursos</w:t>
      </w:r>
      <w:r>
        <w:tab/>
      </w:r>
      <w:r>
        <w:tab/>
      </w:r>
      <w:r>
        <w:fldChar w:fldCharType="begin"/>
      </w:r>
      <w:r>
        <w:instrText xml:space="preserve"> PAGEREF SENTENCIA_1992_42 \h </w:instrText>
      </w:r>
      <w:r>
        <w:fldChar w:fldCharType="separate"/>
      </w:r>
      <w:r w:rsidR="002964F1">
        <w:rPr>
          <w:noProof/>
        </w:rPr>
        <w:t>518</w:t>
      </w:r>
      <w:r>
        <w:fldChar w:fldCharType="end"/>
      </w:r>
    </w:p>
    <w:p w:rsidR="001751D3" w:rsidRDefault="001751D3" w:rsidP="001751D3"/>
    <w:p w:rsidR="001751D3" w:rsidRDefault="001751D3" w:rsidP="001751D3">
      <w:pPr>
        <w:pStyle w:val="EntradandiceSentencia"/>
      </w:pPr>
      <w:r>
        <w:t>Sala Segunda. Sentencia 43/1992, de 30 de marzo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582/1990. </w:t>
      </w:r>
      <w:r w:rsidRPr="001751D3">
        <w:rPr>
          <w:rStyle w:val="TextoNormalCursivaCaracter"/>
        </w:rPr>
        <w:t xml:space="preserve"> Vulneración del derecho a la tutela judicial efectiva: inadmisión indebida del recurso de alzada</w:t>
      </w:r>
      <w:r>
        <w:tab/>
      </w:r>
      <w:r>
        <w:tab/>
      </w:r>
      <w:r>
        <w:fldChar w:fldCharType="begin"/>
      </w:r>
      <w:r>
        <w:instrText xml:space="preserve"> PAGEREF SENTENCIA_1992_43 \h </w:instrText>
      </w:r>
      <w:r>
        <w:fldChar w:fldCharType="separate"/>
      </w:r>
      <w:r w:rsidR="002964F1">
        <w:rPr>
          <w:noProof/>
        </w:rPr>
        <w:t>526</w:t>
      </w:r>
      <w:r>
        <w:fldChar w:fldCharType="end"/>
      </w:r>
    </w:p>
    <w:p w:rsidR="001751D3" w:rsidRDefault="001751D3" w:rsidP="001751D3"/>
    <w:p w:rsidR="001751D3" w:rsidRDefault="001751D3" w:rsidP="001751D3">
      <w:pPr>
        <w:pStyle w:val="EntradandiceSentencia"/>
      </w:pPr>
      <w:r>
        <w:t>Pleno. Sentencia 44/1992,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inconstitucionalidad 614/1986. </w:t>
      </w:r>
      <w:r w:rsidRPr="001751D3">
        <w:rPr>
          <w:rStyle w:val="TextoNormalCursivaCaracter"/>
        </w:rPr>
        <w:t xml:space="preserve"> </w:t>
      </w:r>
      <w:r>
        <w:tab/>
      </w:r>
      <w:r>
        <w:tab/>
      </w:r>
      <w:r>
        <w:fldChar w:fldCharType="begin"/>
      </w:r>
      <w:r>
        <w:instrText xml:space="preserve"> PAGEREF SENTENCIA_1992_44 \h </w:instrText>
      </w:r>
      <w:r>
        <w:fldChar w:fldCharType="separate"/>
      </w:r>
      <w:r w:rsidR="002964F1">
        <w:rPr>
          <w:noProof/>
        </w:rPr>
        <w:t>536</w:t>
      </w:r>
      <w:r>
        <w:fldChar w:fldCharType="end"/>
      </w:r>
    </w:p>
    <w:p w:rsidR="001751D3" w:rsidRDefault="001751D3" w:rsidP="001751D3"/>
    <w:p w:rsidR="001751D3" w:rsidRDefault="001751D3" w:rsidP="001751D3">
      <w:pPr>
        <w:pStyle w:val="EntradandiceSentencia"/>
      </w:pPr>
      <w:r>
        <w:t>Pleno. Sentencia 45/1992,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inconstitucionalidad 365/1987. </w:t>
      </w:r>
      <w:r w:rsidRPr="001751D3">
        <w:rPr>
          <w:rStyle w:val="TextoNormalCursivaCaracter"/>
        </w:rPr>
        <w:t xml:space="preserve"> </w:t>
      </w:r>
      <w:r>
        <w:tab/>
      </w:r>
      <w:r>
        <w:tab/>
      </w:r>
      <w:r>
        <w:fldChar w:fldCharType="begin"/>
      </w:r>
      <w:r>
        <w:instrText xml:space="preserve"> PAGEREF SENTENCIA_1992_45 \h </w:instrText>
      </w:r>
      <w:r>
        <w:fldChar w:fldCharType="separate"/>
      </w:r>
      <w:r w:rsidR="002964F1">
        <w:rPr>
          <w:noProof/>
        </w:rPr>
        <w:t>545</w:t>
      </w:r>
      <w:r>
        <w:fldChar w:fldCharType="end"/>
      </w:r>
    </w:p>
    <w:p w:rsidR="001751D3" w:rsidRDefault="001751D3" w:rsidP="001751D3"/>
    <w:p w:rsidR="001751D3" w:rsidRDefault="001751D3" w:rsidP="001751D3">
      <w:pPr>
        <w:pStyle w:val="EntradandiceSentencia"/>
      </w:pPr>
      <w:r>
        <w:t>Pleno. Sentencia 46/1992,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Cuestión de inconstitucionalidad 1.173/1987 1.288/1987 624/1988 1.515/1988 (acumuladas). </w:t>
      </w:r>
      <w:r w:rsidRPr="001751D3">
        <w:rPr>
          <w:rStyle w:val="TextoNormalCursivaCaracter"/>
        </w:rPr>
        <w:t xml:space="preserve"> </w:t>
      </w:r>
      <w:r>
        <w:tab/>
      </w:r>
      <w:r>
        <w:tab/>
      </w:r>
      <w:r>
        <w:fldChar w:fldCharType="begin"/>
      </w:r>
      <w:r>
        <w:instrText xml:space="preserve"> PAGEREF SENTENCIA_1992_46 \h </w:instrText>
      </w:r>
      <w:r>
        <w:fldChar w:fldCharType="separate"/>
      </w:r>
      <w:r w:rsidR="002964F1">
        <w:rPr>
          <w:noProof/>
        </w:rPr>
        <w:t>552</w:t>
      </w:r>
      <w:r>
        <w:fldChar w:fldCharType="end"/>
      </w:r>
    </w:p>
    <w:p w:rsidR="001751D3" w:rsidRDefault="001751D3" w:rsidP="001751D3"/>
    <w:p w:rsidR="001751D3" w:rsidRDefault="001751D3" w:rsidP="001751D3">
      <w:pPr>
        <w:pStyle w:val="EntradandiceSentencia"/>
      </w:pPr>
      <w:r>
        <w:t>Sala Primera. Sentencia 47/1992,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1.517/1988. </w:t>
      </w:r>
      <w:r w:rsidRPr="001751D3">
        <w:rPr>
          <w:rStyle w:val="TextoNormalCursivaCaracter"/>
        </w:rPr>
        <w:t xml:space="preserve"> Supuesta vulneración del derecho a la tutela judicial efectiva: constitucionalidad previamente declarada por este Tribunal del art. 1.435 L.E.C.</w:t>
      </w:r>
      <w:r>
        <w:tab/>
      </w:r>
      <w:r>
        <w:tab/>
      </w:r>
      <w:r>
        <w:fldChar w:fldCharType="begin"/>
      </w:r>
      <w:r>
        <w:instrText xml:space="preserve"> PAGEREF SENTENCIA_1992_47 \h </w:instrText>
      </w:r>
      <w:r>
        <w:fldChar w:fldCharType="separate"/>
      </w:r>
      <w:r w:rsidR="002964F1">
        <w:rPr>
          <w:noProof/>
        </w:rPr>
        <w:t>560</w:t>
      </w:r>
      <w:r>
        <w:fldChar w:fldCharType="end"/>
      </w:r>
    </w:p>
    <w:p w:rsidR="001751D3" w:rsidRDefault="001751D3" w:rsidP="001751D3"/>
    <w:p w:rsidR="001751D3" w:rsidRDefault="001751D3" w:rsidP="001751D3">
      <w:pPr>
        <w:pStyle w:val="EntradandiceSentencia"/>
      </w:pPr>
      <w:r>
        <w:t>Sala Primera. Sentencia 48/1992,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1.633/1988 467/1989 (acumulados). </w:t>
      </w:r>
      <w:r w:rsidRPr="001751D3">
        <w:rPr>
          <w:rStyle w:val="TextoNormalCursivaCaracter"/>
        </w:rPr>
        <w:t xml:space="preserve"> Supuesta vulneración del derecho fundamental a la igualdad: diferencia de trato normativo de situaciones funcionariales diversas</w:t>
      </w:r>
      <w:r>
        <w:tab/>
      </w:r>
      <w:r>
        <w:tab/>
      </w:r>
      <w:r>
        <w:fldChar w:fldCharType="begin"/>
      </w:r>
      <w:r>
        <w:instrText xml:space="preserve"> PAGEREF SENTENCIA_1992_48 \h </w:instrText>
      </w:r>
      <w:r>
        <w:fldChar w:fldCharType="separate"/>
      </w:r>
      <w:r w:rsidR="002964F1">
        <w:rPr>
          <w:noProof/>
        </w:rPr>
        <w:t>567</w:t>
      </w:r>
      <w:r>
        <w:fldChar w:fldCharType="end"/>
      </w:r>
    </w:p>
    <w:p w:rsidR="001751D3" w:rsidRDefault="001751D3" w:rsidP="001751D3"/>
    <w:p w:rsidR="001751D3" w:rsidRDefault="001751D3" w:rsidP="001751D3">
      <w:pPr>
        <w:pStyle w:val="EntradandiceSentencia"/>
      </w:pPr>
      <w:r>
        <w:lastRenderedPageBreak/>
        <w:t>Sala Primera. Sentencia 49/1992,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1.840/1988. </w:t>
      </w:r>
      <w:r w:rsidRPr="001751D3">
        <w:rPr>
          <w:rStyle w:val="TextoNormalCursivaCaracter"/>
        </w:rPr>
        <w:t xml:space="preserve"> Vulneración del derecho a la tutela judicial efectiva: omisión por la Sentencia recurrida del escrito de impugnación articulado por la recurrente</w:t>
      </w:r>
      <w:r>
        <w:tab/>
      </w:r>
      <w:r>
        <w:tab/>
      </w:r>
      <w:r>
        <w:fldChar w:fldCharType="begin"/>
      </w:r>
      <w:r>
        <w:instrText xml:space="preserve"> PAGEREF SENTENCIA_1992_49 \h </w:instrText>
      </w:r>
      <w:r>
        <w:fldChar w:fldCharType="separate"/>
      </w:r>
      <w:r w:rsidR="002964F1">
        <w:rPr>
          <w:noProof/>
        </w:rPr>
        <w:t>575</w:t>
      </w:r>
      <w:r>
        <w:fldChar w:fldCharType="end"/>
      </w:r>
    </w:p>
    <w:p w:rsidR="001751D3" w:rsidRDefault="001751D3" w:rsidP="001751D3"/>
    <w:p w:rsidR="001751D3" w:rsidRDefault="001751D3" w:rsidP="001751D3">
      <w:pPr>
        <w:pStyle w:val="EntradandiceSentencia"/>
      </w:pPr>
      <w:r>
        <w:t>Sala Primera. Sentencia 50/1992,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2.106/1988. </w:t>
      </w:r>
      <w:r w:rsidRPr="001751D3">
        <w:rPr>
          <w:rStyle w:val="TextoNormalCursivaCaracter"/>
        </w:rPr>
        <w:t xml:space="preserve"> Supuesta vulneración del derecho a la presunción de inocencia: actividad probatoria</w:t>
      </w:r>
      <w:r>
        <w:tab/>
      </w:r>
      <w:r>
        <w:tab/>
      </w:r>
      <w:r>
        <w:fldChar w:fldCharType="begin"/>
      </w:r>
      <w:r>
        <w:instrText xml:space="preserve"> PAGEREF SENTENCIA_1992_50 \h </w:instrText>
      </w:r>
      <w:r>
        <w:fldChar w:fldCharType="separate"/>
      </w:r>
      <w:r w:rsidR="002964F1">
        <w:rPr>
          <w:noProof/>
        </w:rPr>
        <w:t>583</w:t>
      </w:r>
      <w:r>
        <w:fldChar w:fldCharType="end"/>
      </w:r>
    </w:p>
    <w:p w:rsidR="001751D3" w:rsidRDefault="001751D3" w:rsidP="001751D3"/>
    <w:p w:rsidR="001751D3" w:rsidRDefault="001751D3" w:rsidP="001751D3">
      <w:pPr>
        <w:pStyle w:val="EntradandiceSentencia"/>
      </w:pPr>
      <w:r>
        <w:t>Sala Primera. Sentencia 51/1992, de 2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1.077/1989. </w:t>
      </w:r>
      <w:r w:rsidRPr="001751D3">
        <w:rPr>
          <w:rStyle w:val="TextoNormalCursivaCaracter"/>
        </w:rPr>
        <w:t xml:space="preserve"> Supuesta vulneración del derecho a la tutela judicial efectiva: derecho a los recursos</w:t>
      </w:r>
      <w:r>
        <w:tab/>
      </w:r>
      <w:r>
        <w:tab/>
      </w:r>
      <w:r>
        <w:fldChar w:fldCharType="begin"/>
      </w:r>
      <w:r>
        <w:instrText xml:space="preserve"> PAGEREF SENTENCIA_1992_51 \h </w:instrText>
      </w:r>
      <w:r>
        <w:fldChar w:fldCharType="separate"/>
      </w:r>
      <w:r w:rsidR="002964F1">
        <w:rPr>
          <w:noProof/>
        </w:rPr>
        <w:t>592</w:t>
      </w:r>
      <w:r>
        <w:fldChar w:fldCharType="end"/>
      </w:r>
    </w:p>
    <w:p w:rsidR="001751D3" w:rsidRDefault="001751D3" w:rsidP="001751D3"/>
    <w:p w:rsidR="001751D3" w:rsidRDefault="001751D3" w:rsidP="001751D3">
      <w:pPr>
        <w:pStyle w:val="EntradandiceSentencia"/>
      </w:pPr>
      <w:r>
        <w:t>Sala Primera. Sentencia 52/1992, de 8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1.733/1988. </w:t>
      </w:r>
      <w:r w:rsidRPr="001751D3">
        <w:rPr>
          <w:rStyle w:val="TextoNormalCursivaCaracter"/>
        </w:rPr>
        <w:t xml:space="preserve"> Supuesta vulneración de la libertad sindical y del principio de igualdad: diferenciación de trato justificada</w:t>
      </w:r>
      <w:r>
        <w:tab/>
      </w:r>
      <w:r>
        <w:tab/>
      </w:r>
      <w:r>
        <w:fldChar w:fldCharType="begin"/>
      </w:r>
      <w:r>
        <w:instrText xml:space="preserve"> PAGEREF SENTENCIA_1992_52 \h </w:instrText>
      </w:r>
      <w:r>
        <w:fldChar w:fldCharType="separate"/>
      </w:r>
      <w:r w:rsidR="002964F1">
        <w:rPr>
          <w:noProof/>
        </w:rPr>
        <w:t>598</w:t>
      </w:r>
      <w:r>
        <w:fldChar w:fldCharType="end"/>
      </w:r>
    </w:p>
    <w:p w:rsidR="001751D3" w:rsidRDefault="001751D3" w:rsidP="001751D3"/>
    <w:p w:rsidR="001751D3" w:rsidRDefault="001751D3" w:rsidP="001751D3">
      <w:pPr>
        <w:pStyle w:val="EntradandiceSentencia"/>
      </w:pPr>
      <w:r>
        <w:t>Sala Primera. Sentencia 53/1992, de 8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1.746/1988. </w:t>
      </w:r>
      <w:r w:rsidRPr="001751D3">
        <w:rPr>
          <w:rStyle w:val="TextoNormalCursivaCaracter"/>
        </w:rPr>
        <w:t xml:space="preserve"> Vulneración de la tutela judicial efectiva (derecho a los recursos), así como del derecho a la defensa (privación al actor de la oportunidad de alegar sobre el motivo de inadmisión invocado)</w:t>
      </w:r>
      <w:r>
        <w:tab/>
      </w:r>
      <w:r>
        <w:tab/>
      </w:r>
      <w:r>
        <w:fldChar w:fldCharType="begin"/>
      </w:r>
      <w:r>
        <w:instrText xml:space="preserve"> PAGEREF SENTENCIA_1992_53 \h </w:instrText>
      </w:r>
      <w:r>
        <w:fldChar w:fldCharType="separate"/>
      </w:r>
      <w:r w:rsidR="002964F1">
        <w:rPr>
          <w:noProof/>
        </w:rPr>
        <w:t>608</w:t>
      </w:r>
      <w:r>
        <w:fldChar w:fldCharType="end"/>
      </w:r>
    </w:p>
    <w:p w:rsidR="001751D3" w:rsidRDefault="001751D3" w:rsidP="001751D3"/>
    <w:p w:rsidR="001751D3" w:rsidRDefault="001751D3" w:rsidP="001751D3">
      <w:pPr>
        <w:pStyle w:val="EntradandiceSentencia"/>
      </w:pPr>
      <w:r>
        <w:t>Sala Primera. Sentencia 54/1992, de 8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2.121/1988. </w:t>
      </w:r>
      <w:r w:rsidRPr="001751D3">
        <w:rPr>
          <w:rStyle w:val="TextoNormalCursivaCaracter"/>
        </w:rPr>
        <w:t xml:space="preserve"> Vulneración a la tutela judicial efectiva (falta de motivación de las Resoluciones judiciales) y a no sufrir indefensión (derecho alos recursos)</w:t>
      </w:r>
      <w:r>
        <w:tab/>
      </w:r>
      <w:r>
        <w:tab/>
      </w:r>
      <w:r>
        <w:fldChar w:fldCharType="begin"/>
      </w:r>
      <w:r>
        <w:instrText xml:space="preserve"> PAGEREF SENTENCIA_1992_54 \h </w:instrText>
      </w:r>
      <w:r>
        <w:fldChar w:fldCharType="separate"/>
      </w:r>
      <w:r w:rsidR="002964F1">
        <w:rPr>
          <w:noProof/>
        </w:rPr>
        <w:t>619</w:t>
      </w:r>
      <w:r>
        <w:fldChar w:fldCharType="end"/>
      </w:r>
    </w:p>
    <w:p w:rsidR="001751D3" w:rsidRDefault="001751D3" w:rsidP="001751D3"/>
    <w:p w:rsidR="001751D3" w:rsidRDefault="001751D3" w:rsidP="001751D3">
      <w:pPr>
        <w:pStyle w:val="EntradandiceSentencia"/>
      </w:pPr>
      <w:r>
        <w:t>Sala Primera. Sentencia 55/1992, de 8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778/1989. </w:t>
      </w:r>
      <w:r w:rsidRPr="001751D3">
        <w:rPr>
          <w:rStyle w:val="TextoNormalCursivaCaracter"/>
        </w:rPr>
        <w:t xml:space="preserve"> Vulneración del derecho a la tutela judicial efectiva en un supuesto de determinación de la cuantía litigiosa: interpretación de las leyes más favorable al derecho fundamental de acceso a los recursos</w:t>
      </w:r>
      <w:r>
        <w:tab/>
      </w:r>
      <w:r>
        <w:tab/>
      </w:r>
      <w:r>
        <w:fldChar w:fldCharType="begin"/>
      </w:r>
      <w:r>
        <w:instrText xml:space="preserve"> PAGEREF SENTENCIA_1992_55 \h </w:instrText>
      </w:r>
      <w:r>
        <w:fldChar w:fldCharType="separate"/>
      </w:r>
      <w:r w:rsidR="002964F1">
        <w:rPr>
          <w:noProof/>
        </w:rPr>
        <w:t>629</w:t>
      </w:r>
      <w:r>
        <w:fldChar w:fldCharType="end"/>
      </w:r>
    </w:p>
    <w:p w:rsidR="001751D3" w:rsidRDefault="001751D3" w:rsidP="001751D3"/>
    <w:p w:rsidR="001751D3" w:rsidRDefault="001751D3" w:rsidP="001751D3">
      <w:pPr>
        <w:pStyle w:val="EntradandiceSentencia"/>
      </w:pPr>
      <w:r>
        <w:t>Sala Primera. Sentencia 56/1992, de 8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2.262/1989. </w:t>
      </w:r>
      <w:r w:rsidRPr="001751D3">
        <w:rPr>
          <w:rStyle w:val="TextoNormalCursivaCaracter"/>
        </w:rPr>
        <w:t xml:space="preserve"> Vulneración de la tutela judicial efectiva: indefensión producida por resolución judicial dictada "inaudita parte"</w:t>
      </w:r>
      <w:r>
        <w:tab/>
      </w:r>
      <w:r>
        <w:tab/>
      </w:r>
      <w:r>
        <w:fldChar w:fldCharType="begin"/>
      </w:r>
      <w:r>
        <w:instrText xml:space="preserve"> PAGEREF SENTENCIA_1992_56 \h </w:instrText>
      </w:r>
      <w:r>
        <w:fldChar w:fldCharType="separate"/>
      </w:r>
      <w:r w:rsidR="002964F1">
        <w:rPr>
          <w:noProof/>
        </w:rPr>
        <w:t>636</w:t>
      </w:r>
      <w:r>
        <w:fldChar w:fldCharType="end"/>
      </w:r>
    </w:p>
    <w:p w:rsidR="001751D3" w:rsidRDefault="001751D3" w:rsidP="001751D3"/>
    <w:p w:rsidR="001751D3" w:rsidRDefault="001751D3" w:rsidP="001751D3">
      <w:pPr>
        <w:pStyle w:val="EntradandiceSentencia"/>
      </w:pPr>
      <w:r>
        <w:t>Pleno. Sentencia 57/1992, de 9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971/1986. </w:t>
      </w:r>
      <w:r w:rsidRPr="001751D3">
        <w:rPr>
          <w:rStyle w:val="TextoNormalCursivaCaracter"/>
        </w:rPr>
        <w:t xml:space="preserve"> </w:t>
      </w:r>
      <w:r>
        <w:tab/>
      </w:r>
      <w:r>
        <w:tab/>
      </w:r>
      <w:r>
        <w:fldChar w:fldCharType="begin"/>
      </w:r>
      <w:r>
        <w:instrText xml:space="preserve"> PAGEREF SENTENCIA_1992_57 \h </w:instrText>
      </w:r>
      <w:r>
        <w:fldChar w:fldCharType="separate"/>
      </w:r>
      <w:r w:rsidR="002964F1">
        <w:rPr>
          <w:noProof/>
        </w:rPr>
        <w:t>642</w:t>
      </w:r>
      <w:r>
        <w:fldChar w:fldCharType="end"/>
      </w:r>
    </w:p>
    <w:p w:rsidR="001751D3" w:rsidRDefault="001751D3" w:rsidP="001751D3"/>
    <w:p w:rsidR="001751D3" w:rsidRDefault="001751D3" w:rsidP="001751D3">
      <w:pPr>
        <w:pStyle w:val="EntradandiceSentencia"/>
      </w:pPr>
      <w:r>
        <w:t>Sala Segunda. Sentencia 58/1992, de 23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1.664/1989. </w:t>
      </w:r>
      <w:r w:rsidRPr="001751D3">
        <w:rPr>
          <w:rStyle w:val="TextoNormalCursivaCaracter"/>
        </w:rPr>
        <w:t xml:space="preserve"> Supuesta vulneración del principio de igualdad. cambio de criterio de la Sala de lo Social del T.S.J. de Madrid respecto de anteriores criterios del Tribunal Central de Trabajo</w:t>
      </w:r>
      <w:r>
        <w:tab/>
      </w:r>
      <w:r>
        <w:tab/>
      </w:r>
      <w:r>
        <w:fldChar w:fldCharType="begin"/>
      </w:r>
      <w:r>
        <w:instrText xml:space="preserve"> PAGEREF SENTENCIA_1992_58 \h </w:instrText>
      </w:r>
      <w:r>
        <w:fldChar w:fldCharType="separate"/>
      </w:r>
      <w:r w:rsidR="002964F1">
        <w:rPr>
          <w:noProof/>
        </w:rPr>
        <w:t>650</w:t>
      </w:r>
      <w:r>
        <w:fldChar w:fldCharType="end"/>
      </w:r>
    </w:p>
    <w:p w:rsidR="001751D3" w:rsidRDefault="001751D3" w:rsidP="001751D3"/>
    <w:p w:rsidR="001751D3" w:rsidRDefault="001751D3" w:rsidP="001751D3">
      <w:pPr>
        <w:pStyle w:val="EntradandiceSentencia"/>
      </w:pPr>
      <w:r>
        <w:t>Sala Segunda. Sentencia 59/1992, de 23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1.776/1989. </w:t>
      </w:r>
      <w:r w:rsidRPr="001751D3">
        <w:rPr>
          <w:rStyle w:val="TextoNormalCursivaCaracter"/>
        </w:rPr>
        <w:t xml:space="preserve"> Vulneración del principio de igualdad: interpretación lesiva a la recurrente del art. 3.1 a) del Decreto 2.346/1969 (discriminación por razón de parentesco)</w:t>
      </w:r>
      <w:r>
        <w:tab/>
      </w:r>
      <w:r>
        <w:tab/>
      </w:r>
      <w:r>
        <w:fldChar w:fldCharType="begin"/>
      </w:r>
      <w:r>
        <w:instrText xml:space="preserve"> PAGEREF SENTENCIA_1992_59 \h </w:instrText>
      </w:r>
      <w:r>
        <w:fldChar w:fldCharType="separate"/>
      </w:r>
      <w:r w:rsidR="002964F1">
        <w:rPr>
          <w:noProof/>
        </w:rPr>
        <w:t>658</w:t>
      </w:r>
      <w:r>
        <w:fldChar w:fldCharType="end"/>
      </w:r>
    </w:p>
    <w:p w:rsidR="001751D3" w:rsidRDefault="001751D3" w:rsidP="001751D3"/>
    <w:p w:rsidR="001751D3" w:rsidRDefault="001751D3" w:rsidP="001751D3">
      <w:pPr>
        <w:pStyle w:val="EntradandiceSentencia"/>
      </w:pPr>
      <w:r>
        <w:t>Sala Segunda. Sentencia 60/1992, de 23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2.395/1989. </w:t>
      </w:r>
      <w:r w:rsidRPr="001751D3">
        <w:rPr>
          <w:rStyle w:val="TextoNormalCursivaCaracter"/>
        </w:rPr>
        <w:t xml:space="preserve"> Vulneración del derecho a la tutelajudicial efectiva: inadmisión de recurso de suplicación por interpretación lesiva a la tutela del requisito de legitimación para recurrir .</w:t>
      </w:r>
      <w:r>
        <w:tab/>
      </w:r>
      <w:r>
        <w:tab/>
      </w:r>
      <w:r>
        <w:fldChar w:fldCharType="begin"/>
      </w:r>
      <w:r>
        <w:instrText xml:space="preserve"> PAGEREF SENTENCIA_1992_60 \h </w:instrText>
      </w:r>
      <w:r>
        <w:fldChar w:fldCharType="separate"/>
      </w:r>
      <w:r w:rsidR="002964F1">
        <w:rPr>
          <w:noProof/>
        </w:rPr>
        <w:t>666</w:t>
      </w:r>
      <w:r>
        <w:fldChar w:fldCharType="end"/>
      </w:r>
    </w:p>
    <w:p w:rsidR="001751D3" w:rsidRDefault="001751D3" w:rsidP="001751D3"/>
    <w:p w:rsidR="001751D3" w:rsidRDefault="001751D3" w:rsidP="001751D3">
      <w:pPr>
        <w:pStyle w:val="EntradandiceSentencia"/>
      </w:pPr>
      <w:r>
        <w:t>Sala Segunda. Sentencia 61/1992, de 23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334/1990. </w:t>
      </w:r>
      <w:r w:rsidRPr="001751D3">
        <w:rPr>
          <w:rStyle w:val="TextoNormalCursivaCaracter"/>
        </w:rPr>
        <w:t xml:space="preserve"> Supuesta vulneración del derecho a la tutela judicial efectiva: defecto de procedimiento puramente formal</w:t>
      </w:r>
      <w:r>
        <w:tab/>
      </w:r>
      <w:r>
        <w:tab/>
      </w:r>
      <w:r>
        <w:fldChar w:fldCharType="begin"/>
      </w:r>
      <w:r>
        <w:instrText xml:space="preserve"> PAGEREF SENTENCIA_1992_61 \h </w:instrText>
      </w:r>
      <w:r>
        <w:fldChar w:fldCharType="separate"/>
      </w:r>
      <w:r w:rsidR="002964F1">
        <w:rPr>
          <w:noProof/>
        </w:rPr>
        <w:t>673</w:t>
      </w:r>
      <w:r>
        <w:fldChar w:fldCharType="end"/>
      </w:r>
    </w:p>
    <w:p w:rsidR="001751D3" w:rsidRDefault="001751D3" w:rsidP="001751D3"/>
    <w:p w:rsidR="001751D3" w:rsidRDefault="001751D3" w:rsidP="001751D3">
      <w:pPr>
        <w:pStyle w:val="EntradandiceSentencia"/>
      </w:pPr>
      <w:r>
        <w:t>Sala Primera. Sentencia 62/1992, de 27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1.744/1988. </w:t>
      </w:r>
      <w:r w:rsidRPr="001751D3">
        <w:rPr>
          <w:rStyle w:val="TextoNormalCursivaCaracter"/>
        </w:rPr>
        <w:t xml:space="preserve"> Supuesta vulneración del derecho a la tutela judicial efectiva y del principio de legalidad</w:t>
      </w:r>
      <w:r>
        <w:tab/>
      </w:r>
      <w:r>
        <w:tab/>
      </w:r>
      <w:r>
        <w:fldChar w:fldCharType="begin"/>
      </w:r>
      <w:r>
        <w:instrText xml:space="preserve"> PAGEREF SENTENCIA_1992_62 \h </w:instrText>
      </w:r>
      <w:r>
        <w:fldChar w:fldCharType="separate"/>
      </w:r>
      <w:r w:rsidR="002964F1">
        <w:rPr>
          <w:noProof/>
        </w:rPr>
        <w:t>683</w:t>
      </w:r>
      <w:r>
        <w:fldChar w:fldCharType="end"/>
      </w:r>
    </w:p>
    <w:p w:rsidR="001751D3" w:rsidRDefault="001751D3" w:rsidP="001751D3"/>
    <w:p w:rsidR="001751D3" w:rsidRDefault="001751D3" w:rsidP="001751D3">
      <w:pPr>
        <w:pStyle w:val="EntradandiceSentencia"/>
      </w:pPr>
      <w:r>
        <w:t>Sala Primera. Sentencia 63/1992, de 29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1.748/1988. </w:t>
      </w:r>
      <w:r w:rsidRPr="001751D3">
        <w:rPr>
          <w:rStyle w:val="TextoNormalCursivaCaracter"/>
        </w:rPr>
        <w:t xml:space="preserve"> Vulneración del derecho a la tutela judicial efectiva en un supuesto de determinación de la cuantía litigiosa: interpretación de las leyes más favorable al derecho fundamental de acceso a los recursos</w:t>
      </w:r>
      <w:r>
        <w:tab/>
      </w:r>
      <w:r>
        <w:tab/>
      </w:r>
      <w:r>
        <w:fldChar w:fldCharType="begin"/>
      </w:r>
      <w:r>
        <w:instrText xml:space="preserve"> PAGEREF SENTENCIA_1992_63 \h </w:instrText>
      </w:r>
      <w:r>
        <w:fldChar w:fldCharType="separate"/>
      </w:r>
      <w:r w:rsidR="002964F1">
        <w:rPr>
          <w:noProof/>
        </w:rPr>
        <w:t>689</w:t>
      </w:r>
      <w:r>
        <w:fldChar w:fldCharType="end"/>
      </w:r>
    </w:p>
    <w:p w:rsidR="001751D3" w:rsidRDefault="001751D3" w:rsidP="001751D3"/>
    <w:p w:rsidR="001751D3" w:rsidRDefault="001751D3" w:rsidP="001751D3">
      <w:pPr>
        <w:pStyle w:val="EntradandiceSentencia"/>
      </w:pPr>
      <w:r>
        <w:t>Sala Primera. Sentencia 64/1992, de 29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2.129/1988. </w:t>
      </w:r>
      <w:r w:rsidRPr="001751D3">
        <w:rPr>
          <w:rStyle w:val="TextoNormalCursivaCaracter"/>
        </w:rPr>
        <w:t xml:space="preserve"> Supuesta vulneración del derecho a la tutela judicial efectiva: incumplimiento de un requisito esencial por conducta negligente del recurrente</w:t>
      </w:r>
      <w:r>
        <w:tab/>
      </w:r>
      <w:r>
        <w:tab/>
      </w:r>
      <w:r>
        <w:fldChar w:fldCharType="begin"/>
      </w:r>
      <w:r>
        <w:instrText xml:space="preserve"> PAGEREF SENTENCIA_1992_64 \h </w:instrText>
      </w:r>
      <w:r>
        <w:fldChar w:fldCharType="separate"/>
      </w:r>
      <w:r w:rsidR="002964F1">
        <w:rPr>
          <w:noProof/>
        </w:rPr>
        <w:t>697</w:t>
      </w:r>
      <w:r>
        <w:fldChar w:fldCharType="end"/>
      </w:r>
    </w:p>
    <w:p w:rsidR="001751D3" w:rsidRDefault="001751D3" w:rsidP="001751D3"/>
    <w:p w:rsidR="001751D3" w:rsidRDefault="001751D3" w:rsidP="001751D3">
      <w:pPr>
        <w:pStyle w:val="EntradandiceSentencia"/>
      </w:pPr>
      <w:r>
        <w:t>Sala Primera. Sentencia 65/1992, de 29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26/1989. </w:t>
      </w:r>
      <w:r w:rsidRPr="001751D3">
        <w:rPr>
          <w:rStyle w:val="TextoNormalCursivaCaracter"/>
        </w:rPr>
        <w:t xml:space="preserve"> Supuesta vulneración del derecho a la tutela judicial efectiva: decisión fundada de celebración del juicio a puerta cerrada e inadmisión, igualmente fundamentada, de la prueba propuesta</w:t>
      </w:r>
      <w:r>
        <w:tab/>
      </w:r>
      <w:r>
        <w:tab/>
      </w:r>
      <w:r>
        <w:fldChar w:fldCharType="begin"/>
      </w:r>
      <w:r>
        <w:instrText xml:space="preserve"> PAGEREF SENTENCIA_1992_65 \h </w:instrText>
      </w:r>
      <w:r>
        <w:fldChar w:fldCharType="separate"/>
      </w:r>
      <w:r w:rsidR="002964F1">
        <w:rPr>
          <w:noProof/>
        </w:rPr>
        <w:t>707</w:t>
      </w:r>
      <w:r>
        <w:fldChar w:fldCharType="end"/>
      </w:r>
    </w:p>
    <w:p w:rsidR="001751D3" w:rsidRDefault="001751D3" w:rsidP="001751D3"/>
    <w:p w:rsidR="001751D3" w:rsidRDefault="001751D3" w:rsidP="001751D3">
      <w:pPr>
        <w:pStyle w:val="EntradandiceSentencia"/>
      </w:pPr>
      <w:r>
        <w:t>Sala Primera. Sentencia 66/1992, de 29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Recurso de amparo 2.135/1989. </w:t>
      </w:r>
      <w:r w:rsidRPr="001751D3">
        <w:rPr>
          <w:rStyle w:val="TextoNormalCursivaCaracter"/>
        </w:rPr>
        <w:t xml:space="preserve"> Vulneración del derecho a la tutela judicial efectiva: ofrecimiento inidóneo de acciones</w:t>
      </w:r>
      <w:r>
        <w:tab/>
      </w:r>
      <w:r>
        <w:tab/>
      </w:r>
      <w:r>
        <w:fldChar w:fldCharType="begin"/>
      </w:r>
      <w:r>
        <w:instrText xml:space="preserve"> PAGEREF SENTENCIA_1992_66 \h </w:instrText>
      </w:r>
      <w:r>
        <w:fldChar w:fldCharType="separate"/>
      </w:r>
      <w:r w:rsidR="002964F1">
        <w:rPr>
          <w:noProof/>
        </w:rPr>
        <w:t>716</w:t>
      </w:r>
      <w:r>
        <w:fldChar w:fldCharType="end"/>
      </w:r>
    </w:p>
    <w:p w:rsidR="001751D3" w:rsidRDefault="001751D3" w:rsidP="001751D3"/>
    <w:p w:rsidR="001751D3" w:rsidRDefault="001751D3" w:rsidP="001751D3">
      <w:pPr>
        <w:pStyle w:val="EntradandiceSentencia"/>
      </w:pPr>
      <w:r>
        <w:t>Pleno. Sentencia 67/1992, de 30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1.199/1986. </w:t>
      </w:r>
      <w:r w:rsidRPr="001751D3">
        <w:rPr>
          <w:rStyle w:val="TextoNormalCursivaCaracter"/>
        </w:rPr>
        <w:t xml:space="preserve"> </w:t>
      </w:r>
      <w:r>
        <w:tab/>
      </w:r>
      <w:r>
        <w:tab/>
      </w:r>
      <w:r>
        <w:fldChar w:fldCharType="begin"/>
      </w:r>
      <w:r>
        <w:instrText xml:space="preserve"> PAGEREF SENTENCIA_1992_67 \h </w:instrText>
      </w:r>
      <w:r>
        <w:fldChar w:fldCharType="separate"/>
      </w:r>
      <w:r w:rsidR="002964F1">
        <w:rPr>
          <w:noProof/>
        </w:rPr>
        <w:t>722</w:t>
      </w:r>
      <w:r>
        <w:fldChar w:fldCharType="end"/>
      </w:r>
    </w:p>
    <w:p w:rsidR="001751D3" w:rsidRDefault="001751D3" w:rsidP="001751D3"/>
    <w:p w:rsidR="001751D3" w:rsidRDefault="001751D3" w:rsidP="001751D3">
      <w:pPr>
        <w:pStyle w:val="EntradandiceSentencia"/>
      </w:pPr>
      <w:r>
        <w:t>Pleno. Sentencia 68/1992, de 30 de abril de 1992</w:t>
      </w:r>
    </w:p>
    <w:p w:rsidR="001751D3" w:rsidRDefault="001751D3" w:rsidP="001751D3">
      <w:pPr>
        <w:pStyle w:val="EntradandiceSentencia"/>
      </w:pPr>
    </w:p>
    <w:p w:rsidR="001751D3" w:rsidRDefault="001751D3" w:rsidP="001751D3">
      <w:pPr>
        <w:pStyle w:val="EntradaSumario"/>
      </w:pPr>
      <w:r w:rsidRPr="001751D3">
        <w:rPr>
          <w:rStyle w:val="TextoNormalCaracter"/>
        </w:rPr>
        <w:t xml:space="preserve">Conflicto positivo de competencia 1.960/1991. </w:t>
      </w:r>
      <w:r w:rsidRPr="001751D3">
        <w:rPr>
          <w:rStyle w:val="TextoNormalCursivaCaracter"/>
        </w:rPr>
        <w:t xml:space="preserve"> </w:t>
      </w:r>
      <w:r>
        <w:tab/>
      </w:r>
      <w:r>
        <w:tab/>
      </w:r>
      <w:r>
        <w:fldChar w:fldCharType="begin"/>
      </w:r>
      <w:r>
        <w:instrText xml:space="preserve"> PAGEREF SENTENCIA_1992_68 \h </w:instrText>
      </w:r>
      <w:r>
        <w:fldChar w:fldCharType="separate"/>
      </w:r>
      <w:r w:rsidR="002964F1">
        <w:rPr>
          <w:noProof/>
        </w:rPr>
        <w:t>727</w:t>
      </w:r>
      <w:r>
        <w:fldChar w:fldCharType="end"/>
      </w:r>
    </w:p>
    <w:p w:rsidR="001751D3" w:rsidRDefault="001751D3">
      <w:r>
        <w:br w:type="page"/>
      </w:r>
    </w:p>
    <w:p w:rsidR="001751D3" w:rsidRDefault="001751D3" w:rsidP="001751D3"/>
    <w:p w:rsidR="001751D3" w:rsidRDefault="001751D3" w:rsidP="001751D3"/>
    <w:p w:rsidR="001751D3" w:rsidRDefault="001751D3" w:rsidP="001751D3"/>
    <w:p w:rsidR="001751D3" w:rsidRDefault="001751D3" w:rsidP="001751D3">
      <w:pPr>
        <w:pStyle w:val="Ttulondice"/>
      </w:pPr>
      <w:bookmarkStart w:id="3" w:name="SUMARIOSAUTOS"/>
      <w:r>
        <w:t>2. AUTOS: ATC 1/1992 A ATC 114/1992</w:t>
      </w:r>
    </w:p>
    <w:bookmarkEnd w:id="3"/>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Ttulondice"/>
      </w:pPr>
    </w:p>
    <w:p w:rsidR="001751D3" w:rsidRDefault="001751D3" w:rsidP="001751D3">
      <w:pPr>
        <w:pStyle w:val="EntradandiceAuto"/>
      </w:pPr>
      <w:r>
        <w:t>Sección Primera. Auto 1/1992, de 13 de enero de 1992. Acordando haber lugar al desistimiento del actor en el recurso de amparo 2.780/1990</w:t>
      </w:r>
      <w:r>
        <w:tab/>
      </w:r>
      <w:r>
        <w:tab/>
      </w:r>
      <w:r>
        <w:fldChar w:fldCharType="begin"/>
      </w:r>
      <w:r>
        <w:instrText xml:space="preserve"> PAGEREF AUTO_1992_1 \h </w:instrText>
      </w:r>
      <w:r>
        <w:fldChar w:fldCharType="separate"/>
      </w:r>
      <w:r w:rsidR="002964F1">
        <w:rPr>
          <w:noProof/>
        </w:rPr>
        <w:t>737</w:t>
      </w:r>
      <w:r>
        <w:fldChar w:fldCharType="end"/>
      </w:r>
    </w:p>
    <w:p w:rsidR="00FE0907" w:rsidRDefault="00FE0907" w:rsidP="001751D3"/>
    <w:p w:rsidR="001751D3" w:rsidRDefault="001751D3" w:rsidP="001751D3">
      <w:pPr>
        <w:pStyle w:val="EntradandiceAuto"/>
      </w:pPr>
      <w:r>
        <w:t>Sección Primera. Auto 2/1992, de 13 de enero de 1992. Acordando la inadmisión a trámite del recurso de amparo 2.903/1990</w:t>
      </w:r>
      <w:r>
        <w:tab/>
      </w:r>
      <w:r>
        <w:tab/>
      </w:r>
      <w:r>
        <w:fldChar w:fldCharType="begin"/>
      </w:r>
      <w:r>
        <w:instrText xml:space="preserve"> PAGEREF AUTO_1992_2 \h </w:instrText>
      </w:r>
      <w:r>
        <w:fldChar w:fldCharType="separate"/>
      </w:r>
      <w:r w:rsidR="002964F1">
        <w:rPr>
          <w:noProof/>
        </w:rPr>
        <w:t>738</w:t>
      </w:r>
      <w:r>
        <w:fldChar w:fldCharType="end"/>
      </w:r>
    </w:p>
    <w:p w:rsidR="001751D3" w:rsidRDefault="001751D3" w:rsidP="001751D3"/>
    <w:p w:rsidR="001751D3" w:rsidRDefault="001751D3" w:rsidP="001751D3">
      <w:pPr>
        <w:pStyle w:val="EntradandiceAuto"/>
      </w:pPr>
      <w:r>
        <w:t>Sección Primera. Auto 3/1992, de 13 de enero de 1992. Acordando la inadmisión a trámite del recurso de amparo 93/1991</w:t>
      </w:r>
      <w:r>
        <w:tab/>
      </w:r>
      <w:r>
        <w:tab/>
      </w:r>
      <w:r>
        <w:fldChar w:fldCharType="begin"/>
      </w:r>
      <w:r>
        <w:instrText xml:space="preserve"> PAGEREF AUTO_1992_3 \h </w:instrText>
      </w:r>
      <w:r>
        <w:fldChar w:fldCharType="separate"/>
      </w:r>
      <w:r w:rsidR="002964F1">
        <w:rPr>
          <w:noProof/>
        </w:rPr>
        <w:t>743</w:t>
      </w:r>
      <w:r>
        <w:fldChar w:fldCharType="end"/>
      </w:r>
    </w:p>
    <w:p w:rsidR="001751D3" w:rsidRDefault="001751D3" w:rsidP="001751D3"/>
    <w:p w:rsidR="001751D3" w:rsidRDefault="001751D3" w:rsidP="001751D3">
      <w:pPr>
        <w:pStyle w:val="EntradandiceAuto"/>
      </w:pPr>
      <w:r>
        <w:t>Sección Primera. Auto 4/1992, de 13 de enero de 1992. Acordando la inadmisión a trámite del recurso de amparo 320/1991</w:t>
      </w:r>
      <w:r>
        <w:tab/>
      </w:r>
      <w:r>
        <w:tab/>
      </w:r>
      <w:r>
        <w:fldChar w:fldCharType="begin"/>
      </w:r>
      <w:r>
        <w:instrText xml:space="preserve"> PAGEREF AUTO_1992_4 \h </w:instrText>
      </w:r>
      <w:r>
        <w:fldChar w:fldCharType="separate"/>
      </w:r>
      <w:r w:rsidR="002964F1">
        <w:rPr>
          <w:noProof/>
        </w:rPr>
        <w:t>748</w:t>
      </w:r>
      <w:r>
        <w:fldChar w:fldCharType="end"/>
      </w:r>
    </w:p>
    <w:p w:rsidR="001751D3" w:rsidRDefault="001751D3" w:rsidP="001751D3"/>
    <w:p w:rsidR="001751D3" w:rsidRDefault="001751D3" w:rsidP="001751D3">
      <w:pPr>
        <w:pStyle w:val="EntradandiceAuto"/>
      </w:pPr>
      <w:r>
        <w:t>Sección Primera. Auto 5/1992, de 13 de enero de 1992. Acordando la inadmisión a trámite del recurso de amparo 908/1991</w:t>
      </w:r>
      <w:r>
        <w:tab/>
      </w:r>
      <w:r>
        <w:tab/>
      </w:r>
      <w:r>
        <w:fldChar w:fldCharType="begin"/>
      </w:r>
      <w:r>
        <w:instrText xml:space="preserve"> PAGEREF AUTO_1992_5 \h </w:instrText>
      </w:r>
      <w:r>
        <w:fldChar w:fldCharType="separate"/>
      </w:r>
      <w:r w:rsidR="002964F1">
        <w:rPr>
          <w:noProof/>
        </w:rPr>
        <w:t>752</w:t>
      </w:r>
      <w:r>
        <w:fldChar w:fldCharType="end"/>
      </w:r>
    </w:p>
    <w:p w:rsidR="001751D3" w:rsidRDefault="001751D3" w:rsidP="001751D3"/>
    <w:p w:rsidR="001751D3" w:rsidRDefault="001751D3" w:rsidP="001751D3">
      <w:pPr>
        <w:pStyle w:val="EntradandiceAuto"/>
      </w:pPr>
      <w:r>
        <w:t>Sección Cuarta. Auto 6/1992, de 13 de enero de 1992. Acordando la inadmisión a trámite del recurso de amparo 1.352/1991</w:t>
      </w:r>
      <w:r>
        <w:tab/>
      </w:r>
      <w:r>
        <w:tab/>
      </w:r>
      <w:r>
        <w:fldChar w:fldCharType="begin"/>
      </w:r>
      <w:r>
        <w:instrText xml:space="preserve"> PAGEREF AUTO_1992_6 \h </w:instrText>
      </w:r>
      <w:r>
        <w:fldChar w:fldCharType="separate"/>
      </w:r>
      <w:r w:rsidR="002964F1">
        <w:rPr>
          <w:noProof/>
        </w:rPr>
        <w:t>759</w:t>
      </w:r>
      <w:r>
        <w:fldChar w:fldCharType="end"/>
      </w:r>
    </w:p>
    <w:p w:rsidR="001751D3" w:rsidRDefault="001751D3" w:rsidP="001751D3"/>
    <w:p w:rsidR="001751D3" w:rsidRDefault="001751D3" w:rsidP="001751D3">
      <w:pPr>
        <w:pStyle w:val="EntradandiceAuto"/>
      </w:pPr>
      <w:r>
        <w:t>Sección Tercera. Auto 7/1992, de 13 de enero de 1992. Acordando la inadmisión a trámite del recurso de amparo 1.563/1991</w:t>
      </w:r>
      <w:r>
        <w:tab/>
      </w:r>
      <w:r>
        <w:tab/>
      </w:r>
      <w:r>
        <w:fldChar w:fldCharType="begin"/>
      </w:r>
      <w:r>
        <w:instrText xml:space="preserve"> PAGEREF AUTO_1992_7 \h </w:instrText>
      </w:r>
      <w:r>
        <w:fldChar w:fldCharType="separate"/>
      </w:r>
      <w:r w:rsidR="002964F1">
        <w:rPr>
          <w:noProof/>
        </w:rPr>
        <w:t>763</w:t>
      </w:r>
      <w:r>
        <w:fldChar w:fldCharType="end"/>
      </w:r>
    </w:p>
    <w:p w:rsidR="001751D3" w:rsidRDefault="001751D3" w:rsidP="001751D3"/>
    <w:p w:rsidR="001751D3" w:rsidRDefault="001751D3" w:rsidP="001751D3">
      <w:pPr>
        <w:pStyle w:val="EntradandiceAuto"/>
      </w:pPr>
      <w:r>
        <w:t>Sala Segunda. Auto 8/1992, de 13 de enero de 1992. Denegando la suspensión de la ejecución del acto que origina el recurso de amparo 2.098/1991</w:t>
      </w:r>
      <w:r>
        <w:tab/>
      </w:r>
      <w:r>
        <w:tab/>
      </w:r>
      <w:r>
        <w:fldChar w:fldCharType="begin"/>
      </w:r>
      <w:r>
        <w:instrText xml:space="preserve"> PAGEREF AUTO_1992_8 \h </w:instrText>
      </w:r>
      <w:r>
        <w:fldChar w:fldCharType="separate"/>
      </w:r>
      <w:r w:rsidR="002964F1">
        <w:rPr>
          <w:noProof/>
        </w:rPr>
        <w:t>767</w:t>
      </w:r>
      <w:r>
        <w:fldChar w:fldCharType="end"/>
      </w:r>
    </w:p>
    <w:p w:rsidR="001751D3" w:rsidRDefault="001751D3" w:rsidP="001751D3"/>
    <w:p w:rsidR="001751D3" w:rsidRDefault="001751D3" w:rsidP="001751D3">
      <w:pPr>
        <w:pStyle w:val="EntradandiceAuto"/>
      </w:pPr>
      <w:r>
        <w:t>Pleno. Auto 9/1992, de 14 de enero de 1992. Acordando la inadmisión a trámite de la cuestión de inconstitucionalidad 2.160/1991</w:t>
      </w:r>
      <w:r>
        <w:tab/>
      </w:r>
      <w:r>
        <w:tab/>
      </w:r>
      <w:r>
        <w:fldChar w:fldCharType="begin"/>
      </w:r>
      <w:r>
        <w:instrText xml:space="preserve"> PAGEREF AUTO_1992_9 \h </w:instrText>
      </w:r>
      <w:r>
        <w:fldChar w:fldCharType="separate"/>
      </w:r>
      <w:r w:rsidR="002964F1">
        <w:rPr>
          <w:noProof/>
        </w:rPr>
        <w:t>768</w:t>
      </w:r>
      <w:r>
        <w:fldChar w:fldCharType="end"/>
      </w:r>
    </w:p>
    <w:p w:rsidR="001751D3" w:rsidRDefault="001751D3" w:rsidP="001751D3"/>
    <w:p w:rsidR="001751D3" w:rsidRDefault="001751D3" w:rsidP="001751D3">
      <w:pPr>
        <w:pStyle w:val="EntradandiceAuto"/>
      </w:pPr>
      <w:r>
        <w:t>Sección Segunda. Auto 10/1992, de 20 de enero de 1992. Acordando la acumulación de los recursos de amparo 30/1991, 192/1991, 798/1991, 799/1991 y 1.594/1991</w:t>
      </w:r>
      <w:r>
        <w:tab/>
      </w:r>
      <w:r>
        <w:tab/>
      </w:r>
      <w:r>
        <w:fldChar w:fldCharType="begin"/>
      </w:r>
      <w:r>
        <w:instrText xml:space="preserve"> PAGEREF AUTO_1992_10 \h </w:instrText>
      </w:r>
      <w:r>
        <w:fldChar w:fldCharType="separate"/>
      </w:r>
      <w:r w:rsidR="002964F1">
        <w:rPr>
          <w:noProof/>
        </w:rPr>
        <w:t>774</w:t>
      </w:r>
      <w:r>
        <w:fldChar w:fldCharType="end"/>
      </w:r>
    </w:p>
    <w:p w:rsidR="001751D3" w:rsidRDefault="001751D3" w:rsidP="001751D3"/>
    <w:p w:rsidR="001751D3" w:rsidRDefault="001751D3" w:rsidP="001751D3">
      <w:pPr>
        <w:pStyle w:val="EntradandiceAuto"/>
      </w:pPr>
      <w:r>
        <w:t>Sala Segunda. Auto 11/1992, de 20 de enero de 1992. Acordando no haber lugar al recibimiento a prueba del recurso de amparo 932/1991</w:t>
      </w:r>
      <w:r>
        <w:tab/>
      </w:r>
      <w:r>
        <w:tab/>
      </w:r>
      <w:r>
        <w:fldChar w:fldCharType="begin"/>
      </w:r>
      <w:r>
        <w:instrText xml:space="preserve"> PAGEREF AUTO_1992_11 \h </w:instrText>
      </w:r>
      <w:r>
        <w:fldChar w:fldCharType="separate"/>
      </w:r>
      <w:r w:rsidR="002964F1">
        <w:rPr>
          <w:noProof/>
        </w:rPr>
        <w:t>775</w:t>
      </w:r>
      <w:r>
        <w:fldChar w:fldCharType="end"/>
      </w:r>
    </w:p>
    <w:p w:rsidR="001751D3" w:rsidRDefault="001751D3" w:rsidP="001751D3"/>
    <w:p w:rsidR="001751D3" w:rsidRDefault="001751D3" w:rsidP="001751D3">
      <w:pPr>
        <w:pStyle w:val="EntradandiceAuto"/>
      </w:pPr>
      <w:r>
        <w:t>Pleno. Auto 12/1992, de 23 de enero de 1992. Levantando la suspensión, previamente acordada, de determinados preceptos de la Ley del Parlamento de Cataluña 7/1991, de 27 de abril, en el recurso de inconstitucionalidad 1.805/1991</w:t>
      </w:r>
      <w:r>
        <w:tab/>
      </w:r>
      <w:r>
        <w:tab/>
      </w:r>
      <w:r>
        <w:fldChar w:fldCharType="begin"/>
      </w:r>
      <w:r>
        <w:instrText xml:space="preserve"> PAGEREF AUTO_1992_12 \h </w:instrText>
      </w:r>
      <w:r>
        <w:fldChar w:fldCharType="separate"/>
      </w:r>
      <w:r w:rsidR="002964F1">
        <w:rPr>
          <w:noProof/>
        </w:rPr>
        <w:t>776</w:t>
      </w:r>
      <w:r>
        <w:fldChar w:fldCharType="end"/>
      </w:r>
    </w:p>
    <w:p w:rsidR="001751D3" w:rsidRDefault="001751D3" w:rsidP="001751D3"/>
    <w:p w:rsidR="001751D3" w:rsidRDefault="001751D3" w:rsidP="001751D3">
      <w:pPr>
        <w:pStyle w:val="EntradandiceAuto"/>
      </w:pPr>
      <w:r>
        <w:t>Sección Segunda. Auto 13/1992, de 23 de enero de 1992. Acordando la inadmisión a trámite del recurso de amparo 1.839/1991</w:t>
      </w:r>
      <w:r>
        <w:tab/>
      </w:r>
      <w:r>
        <w:tab/>
      </w:r>
      <w:r>
        <w:fldChar w:fldCharType="begin"/>
      </w:r>
      <w:r>
        <w:instrText xml:space="preserve"> PAGEREF AUTO_1992_13 \h </w:instrText>
      </w:r>
      <w:r>
        <w:fldChar w:fldCharType="separate"/>
      </w:r>
      <w:r w:rsidR="002964F1">
        <w:rPr>
          <w:noProof/>
        </w:rPr>
        <w:t>783</w:t>
      </w:r>
      <w:r>
        <w:fldChar w:fldCharType="end"/>
      </w:r>
    </w:p>
    <w:p w:rsidR="001751D3" w:rsidRDefault="001751D3" w:rsidP="001751D3"/>
    <w:p w:rsidR="001751D3" w:rsidRDefault="001751D3" w:rsidP="001751D3">
      <w:pPr>
        <w:pStyle w:val="EntradandiceAuto"/>
      </w:pPr>
      <w:r>
        <w:t>Sección Tercera. Auto 14/1992, de 27 de enero de 1992. Acordando imponer al recurrente sanción pecuniaria por su temeridad y mala fe procesal en el recurso de amparo 1.974/1990</w:t>
      </w:r>
      <w:r>
        <w:tab/>
      </w:r>
      <w:r>
        <w:tab/>
      </w:r>
      <w:r>
        <w:fldChar w:fldCharType="begin"/>
      </w:r>
      <w:r>
        <w:instrText xml:space="preserve"> PAGEREF AUTO_1992_14 \h </w:instrText>
      </w:r>
      <w:r>
        <w:fldChar w:fldCharType="separate"/>
      </w:r>
      <w:r w:rsidR="002964F1">
        <w:rPr>
          <w:noProof/>
        </w:rPr>
        <w:t>786</w:t>
      </w:r>
      <w:r>
        <w:fldChar w:fldCharType="end"/>
      </w:r>
    </w:p>
    <w:p w:rsidR="001751D3" w:rsidRDefault="001751D3" w:rsidP="001751D3"/>
    <w:p w:rsidR="001751D3" w:rsidRDefault="001751D3" w:rsidP="001751D3">
      <w:pPr>
        <w:pStyle w:val="EntradandiceAuto"/>
      </w:pPr>
      <w:r>
        <w:t>Sección Primera. Auto 15/1992, de 27 de enero de 1992. Acordando la inadmisión a trámite del recurso de amparo 2.417/1990</w:t>
      </w:r>
      <w:r>
        <w:tab/>
      </w:r>
      <w:r>
        <w:tab/>
      </w:r>
      <w:r>
        <w:fldChar w:fldCharType="begin"/>
      </w:r>
      <w:r>
        <w:instrText xml:space="preserve"> PAGEREF AUTO_1992_15 \h </w:instrText>
      </w:r>
      <w:r>
        <w:fldChar w:fldCharType="separate"/>
      </w:r>
      <w:r w:rsidR="002964F1">
        <w:rPr>
          <w:noProof/>
        </w:rPr>
        <w:t>787</w:t>
      </w:r>
      <w:r>
        <w:fldChar w:fldCharType="end"/>
      </w:r>
    </w:p>
    <w:p w:rsidR="001751D3" w:rsidRDefault="001751D3" w:rsidP="001751D3"/>
    <w:p w:rsidR="001751D3" w:rsidRDefault="001751D3" w:rsidP="001751D3">
      <w:pPr>
        <w:pStyle w:val="EntradandiceAuto"/>
      </w:pPr>
      <w:r>
        <w:t>Sección Primera. Auto 16/1992, de 27 de enero de 1992. Acordando la inadmisión a trámite del recurso de amparo 152/1991</w:t>
      </w:r>
      <w:r>
        <w:tab/>
      </w:r>
      <w:r>
        <w:tab/>
      </w:r>
      <w:r>
        <w:fldChar w:fldCharType="begin"/>
      </w:r>
      <w:r>
        <w:instrText xml:space="preserve"> PAGEREF AUTO_1992_16 \h </w:instrText>
      </w:r>
      <w:r>
        <w:fldChar w:fldCharType="separate"/>
      </w:r>
      <w:r w:rsidR="002964F1">
        <w:rPr>
          <w:noProof/>
        </w:rPr>
        <w:t>791</w:t>
      </w:r>
      <w:r>
        <w:fldChar w:fldCharType="end"/>
      </w:r>
    </w:p>
    <w:p w:rsidR="001751D3" w:rsidRDefault="001751D3" w:rsidP="001751D3"/>
    <w:p w:rsidR="001751D3" w:rsidRDefault="001751D3" w:rsidP="001751D3">
      <w:pPr>
        <w:pStyle w:val="EntradandiceAuto"/>
      </w:pPr>
      <w:r>
        <w:t>Sección Primera. Auto 17/1992, de 27 de enero de 1992. Acordando la inadmisión a trámite del recurso de amparo 253/1991</w:t>
      </w:r>
      <w:r>
        <w:tab/>
      </w:r>
      <w:r>
        <w:tab/>
      </w:r>
      <w:r>
        <w:fldChar w:fldCharType="begin"/>
      </w:r>
      <w:r>
        <w:instrText xml:space="preserve"> PAGEREF AUTO_1992_17 \h </w:instrText>
      </w:r>
      <w:r>
        <w:fldChar w:fldCharType="separate"/>
      </w:r>
      <w:r w:rsidR="002964F1">
        <w:rPr>
          <w:noProof/>
        </w:rPr>
        <w:t>797</w:t>
      </w:r>
      <w:r>
        <w:fldChar w:fldCharType="end"/>
      </w:r>
    </w:p>
    <w:p w:rsidR="001751D3" w:rsidRDefault="001751D3" w:rsidP="001751D3"/>
    <w:p w:rsidR="001751D3" w:rsidRDefault="001751D3" w:rsidP="001751D3">
      <w:pPr>
        <w:pStyle w:val="EntradandiceAuto"/>
      </w:pPr>
      <w:r>
        <w:t>Sala Segunda. Auto 18/1992, de 27 de enero de 1992. Acordando la suspensión de la ejecución del acto que origina el recurso de amparo 847/1991</w:t>
      </w:r>
      <w:r>
        <w:tab/>
      </w:r>
      <w:r>
        <w:tab/>
      </w:r>
      <w:r>
        <w:fldChar w:fldCharType="begin"/>
      </w:r>
      <w:r>
        <w:instrText xml:space="preserve"> PAGEREF AUTO_1992_18 \h </w:instrText>
      </w:r>
      <w:r>
        <w:fldChar w:fldCharType="separate"/>
      </w:r>
      <w:r w:rsidR="002964F1">
        <w:rPr>
          <w:noProof/>
        </w:rPr>
        <w:t>803</w:t>
      </w:r>
      <w:r>
        <w:fldChar w:fldCharType="end"/>
      </w:r>
    </w:p>
    <w:p w:rsidR="001751D3" w:rsidRDefault="001751D3" w:rsidP="001751D3"/>
    <w:p w:rsidR="001751D3" w:rsidRDefault="001751D3" w:rsidP="001751D3">
      <w:pPr>
        <w:pStyle w:val="EntradandiceAuto"/>
      </w:pPr>
      <w:r>
        <w:t>Sección Primera. Auto 19/1992, de 27 de enero de 1992. Acordando la inadmisión a trámite del recurso de amparo 1.345/1991</w:t>
      </w:r>
      <w:r>
        <w:tab/>
      </w:r>
      <w:r>
        <w:tab/>
      </w:r>
      <w:r>
        <w:fldChar w:fldCharType="begin"/>
      </w:r>
      <w:r>
        <w:instrText xml:space="preserve"> PAGEREF AUTO_1992_19 \h </w:instrText>
      </w:r>
      <w:r>
        <w:fldChar w:fldCharType="separate"/>
      </w:r>
      <w:r w:rsidR="002964F1">
        <w:rPr>
          <w:noProof/>
        </w:rPr>
        <w:t>804</w:t>
      </w:r>
      <w:r>
        <w:fldChar w:fldCharType="end"/>
      </w:r>
    </w:p>
    <w:p w:rsidR="001751D3" w:rsidRDefault="001751D3" w:rsidP="001751D3"/>
    <w:p w:rsidR="001751D3" w:rsidRDefault="001751D3" w:rsidP="001751D3">
      <w:pPr>
        <w:pStyle w:val="EntradandiceAuto"/>
      </w:pPr>
      <w:r>
        <w:lastRenderedPageBreak/>
        <w:t>Sala Segunda. Auto 20/1992, de 27 de enero de 1992. Denegando la suspensión de la ejecución del acto que origina el recurso de amparo 1.405/1991</w:t>
      </w:r>
      <w:r>
        <w:tab/>
      </w:r>
      <w:r>
        <w:tab/>
      </w:r>
      <w:r>
        <w:fldChar w:fldCharType="begin"/>
      </w:r>
      <w:r>
        <w:instrText xml:space="preserve"> PAGEREF AUTO_1992_20 \h </w:instrText>
      </w:r>
      <w:r>
        <w:fldChar w:fldCharType="separate"/>
      </w:r>
      <w:r w:rsidR="002964F1">
        <w:rPr>
          <w:noProof/>
        </w:rPr>
        <w:t>811</w:t>
      </w:r>
      <w:r>
        <w:fldChar w:fldCharType="end"/>
      </w:r>
    </w:p>
    <w:p w:rsidR="001751D3" w:rsidRDefault="001751D3" w:rsidP="001751D3"/>
    <w:p w:rsidR="001751D3" w:rsidRDefault="001751D3" w:rsidP="001751D3">
      <w:pPr>
        <w:pStyle w:val="EntradandiceAuto"/>
      </w:pPr>
      <w:r>
        <w:t>Sección Primera. Auto 21/1992, de 27 de enero de 1992. Acordando la inadmisión a trámite del recurso de amparo 1.416/1991</w:t>
      </w:r>
      <w:r>
        <w:tab/>
      </w:r>
      <w:r>
        <w:tab/>
      </w:r>
      <w:r>
        <w:fldChar w:fldCharType="begin"/>
      </w:r>
      <w:r>
        <w:instrText xml:space="preserve"> PAGEREF AUTO_1992_21 \h </w:instrText>
      </w:r>
      <w:r>
        <w:fldChar w:fldCharType="separate"/>
      </w:r>
      <w:r w:rsidR="002964F1">
        <w:rPr>
          <w:noProof/>
        </w:rPr>
        <w:t>814</w:t>
      </w:r>
      <w:r>
        <w:fldChar w:fldCharType="end"/>
      </w:r>
    </w:p>
    <w:p w:rsidR="001751D3" w:rsidRDefault="001751D3" w:rsidP="001751D3"/>
    <w:p w:rsidR="001751D3" w:rsidRDefault="001751D3" w:rsidP="001751D3">
      <w:pPr>
        <w:pStyle w:val="EntradandiceAuto"/>
      </w:pPr>
      <w:r>
        <w:t>Sección Cuarta. Auto 22/1992, de 27 de enero de 1992. Acordando la inadmisión a trámite del recurso de amparo 1.441/1991</w:t>
      </w:r>
      <w:r>
        <w:tab/>
      </w:r>
      <w:r>
        <w:tab/>
      </w:r>
      <w:r>
        <w:fldChar w:fldCharType="begin"/>
      </w:r>
      <w:r>
        <w:instrText xml:space="preserve"> PAGEREF AUTO_1992_22 \h </w:instrText>
      </w:r>
      <w:r>
        <w:fldChar w:fldCharType="separate"/>
      </w:r>
      <w:r w:rsidR="002964F1">
        <w:rPr>
          <w:noProof/>
        </w:rPr>
        <w:t>817</w:t>
      </w:r>
      <w:r>
        <w:fldChar w:fldCharType="end"/>
      </w:r>
    </w:p>
    <w:p w:rsidR="001751D3" w:rsidRDefault="001751D3" w:rsidP="001751D3"/>
    <w:p w:rsidR="001751D3" w:rsidRDefault="001751D3" w:rsidP="001751D3">
      <w:pPr>
        <w:pStyle w:val="EntradandiceAuto"/>
      </w:pPr>
      <w:r>
        <w:t>Sección Cuarta. Auto 23/1992, de 27 de enero de 1992. Acordando la inadmisión a trámite del recurso de amparo 1.463/1991</w:t>
      </w:r>
      <w:r>
        <w:tab/>
      </w:r>
      <w:r>
        <w:tab/>
      </w:r>
      <w:r>
        <w:fldChar w:fldCharType="begin"/>
      </w:r>
      <w:r>
        <w:instrText xml:space="preserve"> PAGEREF AUTO_1992_23 \h </w:instrText>
      </w:r>
      <w:r>
        <w:fldChar w:fldCharType="separate"/>
      </w:r>
      <w:r w:rsidR="002964F1">
        <w:rPr>
          <w:noProof/>
        </w:rPr>
        <w:t>822</w:t>
      </w:r>
      <w:r>
        <w:fldChar w:fldCharType="end"/>
      </w:r>
    </w:p>
    <w:p w:rsidR="001751D3" w:rsidRDefault="001751D3" w:rsidP="001751D3"/>
    <w:p w:rsidR="001751D3" w:rsidRDefault="001751D3" w:rsidP="001751D3">
      <w:pPr>
        <w:pStyle w:val="EntradandiceAuto"/>
      </w:pPr>
      <w:r>
        <w:t>Sección Cuarta. Auto 24/1992, de 27 de enero de 1992. Acordando la inadmisión a trámite del recurso de amparo 1.486/1991</w:t>
      </w:r>
      <w:r>
        <w:tab/>
      </w:r>
      <w:r>
        <w:tab/>
      </w:r>
      <w:r>
        <w:fldChar w:fldCharType="begin"/>
      </w:r>
      <w:r>
        <w:instrText xml:space="preserve"> PAGEREF AUTO_1992_24 \h </w:instrText>
      </w:r>
      <w:r>
        <w:fldChar w:fldCharType="separate"/>
      </w:r>
      <w:r w:rsidR="002964F1">
        <w:rPr>
          <w:noProof/>
        </w:rPr>
        <w:t>827</w:t>
      </w:r>
      <w:r>
        <w:fldChar w:fldCharType="end"/>
      </w:r>
    </w:p>
    <w:p w:rsidR="001751D3" w:rsidRDefault="001751D3" w:rsidP="001751D3"/>
    <w:p w:rsidR="001751D3" w:rsidRDefault="001751D3" w:rsidP="001751D3">
      <w:pPr>
        <w:pStyle w:val="EntradandiceAuto"/>
      </w:pPr>
      <w:r>
        <w:t>Sección Cuarta. Auto 25/1992, de 27 de enero de 1992. Acordando la inadmisión a trámite del recurso de amparo 1.530/1991</w:t>
      </w:r>
      <w:r>
        <w:tab/>
      </w:r>
      <w:r>
        <w:tab/>
      </w:r>
      <w:r>
        <w:fldChar w:fldCharType="begin"/>
      </w:r>
      <w:r>
        <w:instrText xml:space="preserve"> PAGEREF AUTO_1992_25 \h </w:instrText>
      </w:r>
      <w:r>
        <w:fldChar w:fldCharType="separate"/>
      </w:r>
      <w:r w:rsidR="002964F1">
        <w:rPr>
          <w:noProof/>
        </w:rPr>
        <w:t>832</w:t>
      </w:r>
      <w:r>
        <w:fldChar w:fldCharType="end"/>
      </w:r>
    </w:p>
    <w:p w:rsidR="001751D3" w:rsidRDefault="001751D3" w:rsidP="001751D3"/>
    <w:p w:rsidR="001751D3" w:rsidRDefault="001751D3" w:rsidP="001751D3">
      <w:pPr>
        <w:pStyle w:val="EntradandiceAuto"/>
      </w:pPr>
      <w:r>
        <w:t>Sección Primera. Auto 26/1992, de 27 de enero de 1992. Acordando la inadmisión a trámite del recurso de amparo 1.539/1991</w:t>
      </w:r>
      <w:r>
        <w:tab/>
      </w:r>
      <w:r>
        <w:tab/>
      </w:r>
      <w:r>
        <w:fldChar w:fldCharType="begin"/>
      </w:r>
      <w:r>
        <w:instrText xml:space="preserve"> PAGEREF AUTO_1992_26 \h </w:instrText>
      </w:r>
      <w:r>
        <w:fldChar w:fldCharType="separate"/>
      </w:r>
      <w:r w:rsidR="002964F1">
        <w:rPr>
          <w:noProof/>
        </w:rPr>
        <w:t>835</w:t>
      </w:r>
      <w:r>
        <w:fldChar w:fldCharType="end"/>
      </w:r>
    </w:p>
    <w:p w:rsidR="001751D3" w:rsidRDefault="001751D3" w:rsidP="001751D3"/>
    <w:p w:rsidR="001751D3" w:rsidRDefault="001751D3" w:rsidP="001751D3">
      <w:pPr>
        <w:pStyle w:val="EntradandiceAuto"/>
      </w:pPr>
      <w:r>
        <w:t>Sección Cuarta. Auto 27/1992, de 27 de enero de 1992. Acordando la inadmisión a trámite del recurso de amparo 1.734/1991</w:t>
      </w:r>
      <w:r>
        <w:tab/>
      </w:r>
      <w:r>
        <w:tab/>
      </w:r>
      <w:r>
        <w:fldChar w:fldCharType="begin"/>
      </w:r>
      <w:r>
        <w:instrText xml:space="preserve"> PAGEREF AUTO_1992_27 \h </w:instrText>
      </w:r>
      <w:r>
        <w:fldChar w:fldCharType="separate"/>
      </w:r>
      <w:r w:rsidR="002964F1">
        <w:rPr>
          <w:noProof/>
        </w:rPr>
        <w:t>839</w:t>
      </w:r>
      <w:r>
        <w:fldChar w:fldCharType="end"/>
      </w:r>
    </w:p>
    <w:p w:rsidR="001751D3" w:rsidRDefault="001751D3" w:rsidP="001751D3"/>
    <w:p w:rsidR="001751D3" w:rsidRDefault="001751D3" w:rsidP="001751D3">
      <w:pPr>
        <w:pStyle w:val="EntradandiceAuto"/>
      </w:pPr>
      <w:r>
        <w:t>Sala Segunda. Auto 28/1992, de 27 de enero de 1992. Acordando haber lugar al desistimiento del actor en el recurso de amparo 2.154/1991, promovido en causa penal.</w:t>
      </w:r>
      <w:r>
        <w:tab/>
      </w:r>
      <w:r>
        <w:tab/>
      </w:r>
      <w:r>
        <w:fldChar w:fldCharType="begin"/>
      </w:r>
      <w:r>
        <w:instrText xml:space="preserve"> PAGEREF AUTO_1992_28 \h </w:instrText>
      </w:r>
      <w:r>
        <w:fldChar w:fldCharType="separate"/>
      </w:r>
      <w:r w:rsidR="002964F1">
        <w:rPr>
          <w:noProof/>
        </w:rPr>
        <w:t>846</w:t>
      </w:r>
      <w:r>
        <w:fldChar w:fldCharType="end"/>
      </w:r>
    </w:p>
    <w:p w:rsidR="001751D3" w:rsidRDefault="001751D3" w:rsidP="001751D3"/>
    <w:p w:rsidR="001751D3" w:rsidRDefault="001751D3" w:rsidP="001751D3">
      <w:pPr>
        <w:pStyle w:val="EntradandiceAuto"/>
      </w:pPr>
      <w:r>
        <w:t>Pleno. Auto 29/1992, de 4 de febrero de 1992. Acordando la terminación, por desaparición sobrevenida de la controversia, del conflicto positivo de competencia 879/1987</w:t>
      </w:r>
      <w:r>
        <w:tab/>
      </w:r>
      <w:r>
        <w:tab/>
      </w:r>
      <w:r>
        <w:fldChar w:fldCharType="begin"/>
      </w:r>
      <w:r>
        <w:instrText xml:space="preserve"> PAGEREF AUTO_1992_29 \h </w:instrText>
      </w:r>
      <w:r>
        <w:fldChar w:fldCharType="separate"/>
      </w:r>
      <w:r w:rsidR="002964F1">
        <w:rPr>
          <w:noProof/>
        </w:rPr>
        <w:t>847</w:t>
      </w:r>
      <w:r>
        <w:fldChar w:fldCharType="end"/>
      </w:r>
    </w:p>
    <w:p w:rsidR="001751D3" w:rsidRDefault="001751D3" w:rsidP="001751D3"/>
    <w:p w:rsidR="001751D3" w:rsidRDefault="001751D3" w:rsidP="001751D3">
      <w:pPr>
        <w:pStyle w:val="EntradandiceAuto"/>
      </w:pPr>
      <w:r>
        <w:t>Pleno. Auto 30/1992, de 4 de febrero de 1992. Acordando la terminación, por desaparición sobrevenida de la controversia, del conflicto positivo de competencia 120/1988, y la continuación del procedimiento del conflicto 1.857/1988</w:t>
      </w:r>
      <w:r>
        <w:tab/>
      </w:r>
      <w:r>
        <w:tab/>
      </w:r>
      <w:r>
        <w:fldChar w:fldCharType="begin"/>
      </w:r>
      <w:r>
        <w:instrText xml:space="preserve"> PAGEREF AUTO_1992_30 \h </w:instrText>
      </w:r>
      <w:r>
        <w:fldChar w:fldCharType="separate"/>
      </w:r>
      <w:r w:rsidR="002964F1">
        <w:rPr>
          <w:noProof/>
        </w:rPr>
        <w:t>851</w:t>
      </w:r>
      <w:r>
        <w:fldChar w:fldCharType="end"/>
      </w:r>
    </w:p>
    <w:p w:rsidR="001751D3" w:rsidRDefault="001751D3" w:rsidP="001751D3"/>
    <w:p w:rsidR="001751D3" w:rsidRDefault="001751D3" w:rsidP="001751D3">
      <w:pPr>
        <w:pStyle w:val="EntradandiceAuto"/>
      </w:pPr>
      <w:r>
        <w:t>Pleno. Auto 31/1992, de 4 de febrero de 1992. Acordando la terminación, por desaparición sobrevenida de la controversia, del conflicto positivo de competencia 1.988/1988</w:t>
      </w:r>
      <w:r>
        <w:tab/>
      </w:r>
      <w:r>
        <w:tab/>
      </w:r>
      <w:r>
        <w:fldChar w:fldCharType="begin"/>
      </w:r>
      <w:r>
        <w:instrText xml:space="preserve"> PAGEREF AUTO_1992_31 \h </w:instrText>
      </w:r>
      <w:r>
        <w:fldChar w:fldCharType="separate"/>
      </w:r>
      <w:r w:rsidR="002964F1">
        <w:rPr>
          <w:noProof/>
        </w:rPr>
        <w:t>855</w:t>
      </w:r>
      <w:r>
        <w:fldChar w:fldCharType="end"/>
      </w:r>
    </w:p>
    <w:p w:rsidR="001751D3" w:rsidRDefault="001751D3" w:rsidP="001751D3"/>
    <w:p w:rsidR="001751D3" w:rsidRDefault="001751D3" w:rsidP="001751D3">
      <w:pPr>
        <w:pStyle w:val="EntradandiceAuto"/>
      </w:pPr>
      <w:r>
        <w:t>Pleno. Auto 32/1992, de 4 de febrero de 1992. Acordando haber lugar al desistimiento del actor en el conflicto positivo de competencia 2.055/1988</w:t>
      </w:r>
      <w:r>
        <w:tab/>
      </w:r>
      <w:r>
        <w:tab/>
      </w:r>
      <w:r>
        <w:fldChar w:fldCharType="begin"/>
      </w:r>
      <w:r>
        <w:instrText xml:space="preserve"> PAGEREF AUTO_1992_32 \h </w:instrText>
      </w:r>
      <w:r>
        <w:fldChar w:fldCharType="separate"/>
      </w:r>
      <w:r w:rsidR="002964F1">
        <w:rPr>
          <w:noProof/>
        </w:rPr>
        <w:t>860</w:t>
      </w:r>
      <w:r>
        <w:fldChar w:fldCharType="end"/>
      </w:r>
    </w:p>
    <w:p w:rsidR="001751D3" w:rsidRDefault="001751D3" w:rsidP="001751D3"/>
    <w:p w:rsidR="001751D3" w:rsidRDefault="001751D3" w:rsidP="001751D3">
      <w:pPr>
        <w:pStyle w:val="EntradandiceAuto"/>
      </w:pPr>
      <w:r>
        <w:t>Pleno. Auto 33/1992, de 4 de febrero de 1992. Desestimado recurso de súplica contra ATC 315/1991, dictado en el conflicto negativo de competencia 1.748/1991</w:t>
      </w:r>
      <w:r>
        <w:tab/>
      </w:r>
      <w:r>
        <w:tab/>
      </w:r>
      <w:r>
        <w:fldChar w:fldCharType="begin"/>
      </w:r>
      <w:r>
        <w:instrText xml:space="preserve"> PAGEREF AUTO_1992_33 \h </w:instrText>
      </w:r>
      <w:r>
        <w:fldChar w:fldCharType="separate"/>
      </w:r>
      <w:r w:rsidR="002964F1">
        <w:rPr>
          <w:noProof/>
        </w:rPr>
        <w:t>862</w:t>
      </w:r>
      <w:r>
        <w:fldChar w:fldCharType="end"/>
      </w:r>
    </w:p>
    <w:p w:rsidR="001751D3" w:rsidRDefault="001751D3" w:rsidP="001751D3"/>
    <w:p w:rsidR="001751D3" w:rsidRDefault="001751D3" w:rsidP="001751D3">
      <w:pPr>
        <w:pStyle w:val="EntradandiceAuto"/>
      </w:pPr>
      <w:r>
        <w:t>Pleno. Auto 34/1992, de 4 de febrero de 1992. Acordando la acumulación de las cuestiones de inconstitucionalidad 1.902/1991, 1.904/1991 a los recursos de inconstitucionalidad ya acumulados 418/1987 y 421/1987</w:t>
      </w:r>
      <w:r>
        <w:tab/>
      </w:r>
      <w:r>
        <w:tab/>
      </w:r>
      <w:r>
        <w:fldChar w:fldCharType="begin"/>
      </w:r>
      <w:r>
        <w:instrText xml:space="preserve"> PAGEREF AUTO_1992_34 \h </w:instrText>
      </w:r>
      <w:r>
        <w:fldChar w:fldCharType="separate"/>
      </w:r>
      <w:r w:rsidR="002964F1">
        <w:rPr>
          <w:noProof/>
        </w:rPr>
        <w:t>863</w:t>
      </w:r>
      <w:r>
        <w:fldChar w:fldCharType="end"/>
      </w:r>
    </w:p>
    <w:p w:rsidR="001751D3" w:rsidRDefault="001751D3" w:rsidP="001751D3"/>
    <w:p w:rsidR="001751D3" w:rsidRDefault="001751D3" w:rsidP="001751D3">
      <w:pPr>
        <w:pStyle w:val="EntradandiceAuto"/>
      </w:pPr>
      <w:r>
        <w:t>Pleno. Auto 35/1992, de 4 de febrero de 1992. Acordando la acumulación de las cuestiones de inconstitucionalidad 2.879/1990, 2.161/1991, 2.162/1991 y 2.187/1991</w:t>
      </w:r>
      <w:r>
        <w:tab/>
      </w:r>
      <w:r>
        <w:tab/>
      </w:r>
      <w:r>
        <w:fldChar w:fldCharType="begin"/>
      </w:r>
      <w:r>
        <w:instrText xml:space="preserve"> PAGEREF AUTO_1992_35 \h </w:instrText>
      </w:r>
      <w:r>
        <w:fldChar w:fldCharType="separate"/>
      </w:r>
      <w:r w:rsidR="002964F1">
        <w:rPr>
          <w:noProof/>
        </w:rPr>
        <w:t>864</w:t>
      </w:r>
      <w:r>
        <w:fldChar w:fldCharType="end"/>
      </w:r>
    </w:p>
    <w:p w:rsidR="001751D3" w:rsidRDefault="001751D3" w:rsidP="001751D3"/>
    <w:p w:rsidR="001751D3" w:rsidRDefault="001751D3" w:rsidP="001751D3">
      <w:pPr>
        <w:pStyle w:val="EntradandiceAuto"/>
      </w:pPr>
      <w:r>
        <w:t>Pleno. Auto 36/1992, de 4 de febrero de 1992. Acordando la inadmisión a trámite de la cuestión de inconstitucionalidad 2.341/1991</w:t>
      </w:r>
      <w:r>
        <w:tab/>
      </w:r>
      <w:r>
        <w:tab/>
      </w:r>
      <w:r>
        <w:fldChar w:fldCharType="begin"/>
      </w:r>
      <w:r>
        <w:instrText xml:space="preserve"> PAGEREF AUTO_1992_36 \h </w:instrText>
      </w:r>
      <w:r>
        <w:fldChar w:fldCharType="separate"/>
      </w:r>
      <w:r w:rsidR="002964F1">
        <w:rPr>
          <w:noProof/>
        </w:rPr>
        <w:t>865</w:t>
      </w:r>
      <w:r>
        <w:fldChar w:fldCharType="end"/>
      </w:r>
    </w:p>
    <w:p w:rsidR="001751D3" w:rsidRDefault="001751D3" w:rsidP="001751D3"/>
    <w:p w:rsidR="001751D3" w:rsidRDefault="001751D3" w:rsidP="001751D3">
      <w:pPr>
        <w:pStyle w:val="EntradandiceAuto"/>
      </w:pPr>
      <w:r>
        <w:t>Sección Tercera. Auto 37/1992, de 10 de febrero de 1992. Acordando la inadmisión a trámite del recurso de amparo 1.159/1991</w:t>
      </w:r>
      <w:r>
        <w:tab/>
      </w:r>
      <w:r>
        <w:tab/>
      </w:r>
      <w:r>
        <w:fldChar w:fldCharType="begin"/>
      </w:r>
      <w:r>
        <w:instrText xml:space="preserve"> PAGEREF AUTO_1992_37 \h </w:instrText>
      </w:r>
      <w:r>
        <w:fldChar w:fldCharType="separate"/>
      </w:r>
      <w:r w:rsidR="002964F1">
        <w:rPr>
          <w:noProof/>
        </w:rPr>
        <w:t>866</w:t>
      </w:r>
      <w:r>
        <w:fldChar w:fldCharType="end"/>
      </w:r>
    </w:p>
    <w:p w:rsidR="001751D3" w:rsidRDefault="001751D3" w:rsidP="001751D3"/>
    <w:p w:rsidR="001751D3" w:rsidRDefault="001751D3" w:rsidP="001751D3">
      <w:pPr>
        <w:pStyle w:val="EntradandiceAuto"/>
      </w:pPr>
      <w:r>
        <w:t>Sección Cuarta. Auto 38/1992, de 10 de febrero de 1992. Acordando la inadmisión a trámite del recurso de amparo 1.730/1991</w:t>
      </w:r>
      <w:r>
        <w:tab/>
      </w:r>
      <w:r>
        <w:tab/>
      </w:r>
      <w:r>
        <w:fldChar w:fldCharType="begin"/>
      </w:r>
      <w:r>
        <w:instrText xml:space="preserve"> PAGEREF AUTO_1992_38 \h </w:instrText>
      </w:r>
      <w:r>
        <w:fldChar w:fldCharType="separate"/>
      </w:r>
      <w:r w:rsidR="002964F1">
        <w:rPr>
          <w:noProof/>
        </w:rPr>
        <w:t>870</w:t>
      </w:r>
      <w:r>
        <w:fldChar w:fldCharType="end"/>
      </w:r>
    </w:p>
    <w:p w:rsidR="001751D3" w:rsidRDefault="001751D3" w:rsidP="001751D3"/>
    <w:p w:rsidR="001751D3" w:rsidRDefault="001751D3" w:rsidP="001751D3">
      <w:pPr>
        <w:pStyle w:val="EntradandiceAuto"/>
      </w:pPr>
      <w:r>
        <w:t>Sección Tercera. Auto 39/1992, de 10 de febrero de 1992. Desestimando recurso de súplica contra providencia de 5 de diciembre de 1991, dictada en el recurso de amparo 2.427/1991</w:t>
      </w:r>
      <w:r>
        <w:tab/>
      </w:r>
      <w:r>
        <w:tab/>
      </w:r>
      <w:r>
        <w:fldChar w:fldCharType="begin"/>
      </w:r>
      <w:r>
        <w:instrText xml:space="preserve"> PAGEREF AUTO_1992_39 \h </w:instrText>
      </w:r>
      <w:r>
        <w:fldChar w:fldCharType="separate"/>
      </w:r>
      <w:r w:rsidR="002964F1">
        <w:rPr>
          <w:noProof/>
        </w:rPr>
        <w:t>873</w:t>
      </w:r>
      <w:r>
        <w:fldChar w:fldCharType="end"/>
      </w:r>
    </w:p>
    <w:p w:rsidR="001751D3" w:rsidRDefault="001751D3" w:rsidP="001751D3"/>
    <w:p w:rsidR="001751D3" w:rsidRDefault="001751D3" w:rsidP="001751D3">
      <w:pPr>
        <w:pStyle w:val="EntradandiceAuto"/>
      </w:pPr>
      <w:r>
        <w:t>Sección Primera. Auto 40/1992, de 12 de febrero de 1992. Acordando la inadmisión a trámite del recurso de amparo 991/1991</w:t>
      </w:r>
      <w:r>
        <w:tab/>
      </w:r>
      <w:r>
        <w:tab/>
      </w:r>
      <w:r>
        <w:fldChar w:fldCharType="begin"/>
      </w:r>
      <w:r>
        <w:instrText xml:space="preserve"> PAGEREF AUTO_1992_40 \h </w:instrText>
      </w:r>
      <w:r>
        <w:fldChar w:fldCharType="separate"/>
      </w:r>
      <w:r w:rsidR="002964F1">
        <w:rPr>
          <w:noProof/>
        </w:rPr>
        <w:t>874</w:t>
      </w:r>
      <w:r>
        <w:fldChar w:fldCharType="end"/>
      </w:r>
    </w:p>
    <w:p w:rsidR="001751D3" w:rsidRDefault="001751D3" w:rsidP="001751D3"/>
    <w:p w:rsidR="001751D3" w:rsidRDefault="001751D3" w:rsidP="001751D3">
      <w:pPr>
        <w:pStyle w:val="EntradandiceAuto"/>
      </w:pPr>
      <w:r>
        <w:t>Sala Primera. Auto 41/1992, de 12 de febrero de 1992. Acordando la suspensión de la ejecución del acto que origina el recurso de amparo 1.661/1991</w:t>
      </w:r>
      <w:r>
        <w:tab/>
      </w:r>
      <w:r>
        <w:tab/>
      </w:r>
      <w:r>
        <w:fldChar w:fldCharType="begin"/>
      </w:r>
      <w:r>
        <w:instrText xml:space="preserve"> PAGEREF AUTO_1992_41 \h </w:instrText>
      </w:r>
      <w:r>
        <w:fldChar w:fldCharType="separate"/>
      </w:r>
      <w:r w:rsidR="002964F1">
        <w:rPr>
          <w:noProof/>
        </w:rPr>
        <w:t>879</w:t>
      </w:r>
      <w:r>
        <w:fldChar w:fldCharType="end"/>
      </w:r>
    </w:p>
    <w:p w:rsidR="001751D3" w:rsidRDefault="001751D3" w:rsidP="001751D3"/>
    <w:p w:rsidR="001751D3" w:rsidRDefault="001751D3" w:rsidP="001751D3">
      <w:pPr>
        <w:pStyle w:val="EntradandiceAuto"/>
      </w:pPr>
      <w:r>
        <w:t>Sección Primera. Auto 42/1992, de 12 de febrero de 1992. Acordando la inadmisión a trámite del recurso de amparo 2.155/1991</w:t>
      </w:r>
      <w:r>
        <w:tab/>
      </w:r>
      <w:r>
        <w:tab/>
      </w:r>
      <w:r>
        <w:fldChar w:fldCharType="begin"/>
      </w:r>
      <w:r>
        <w:instrText xml:space="preserve"> PAGEREF AUTO_1992_42 \h </w:instrText>
      </w:r>
      <w:r>
        <w:fldChar w:fldCharType="separate"/>
      </w:r>
      <w:r w:rsidR="002964F1">
        <w:rPr>
          <w:noProof/>
        </w:rPr>
        <w:t>880</w:t>
      </w:r>
      <w:r>
        <w:fldChar w:fldCharType="end"/>
      </w:r>
    </w:p>
    <w:p w:rsidR="001751D3" w:rsidRDefault="001751D3" w:rsidP="001751D3"/>
    <w:p w:rsidR="001751D3" w:rsidRDefault="001751D3" w:rsidP="001751D3">
      <w:pPr>
        <w:pStyle w:val="EntradandiceAuto"/>
      </w:pPr>
      <w:r>
        <w:lastRenderedPageBreak/>
        <w:t>Sala Primera. Auto 43/1992, de 12 de febrero de 1992. Acordando la suspensión condicionada de la ejecución del acto que origina el recurso de amparo 2.169/1991</w:t>
      </w:r>
      <w:r>
        <w:tab/>
      </w:r>
      <w:r>
        <w:tab/>
      </w:r>
      <w:r>
        <w:fldChar w:fldCharType="begin"/>
      </w:r>
      <w:r>
        <w:instrText xml:space="preserve"> PAGEREF AUTO_1992_43 \h </w:instrText>
      </w:r>
      <w:r>
        <w:fldChar w:fldCharType="separate"/>
      </w:r>
      <w:r w:rsidR="002964F1">
        <w:rPr>
          <w:noProof/>
        </w:rPr>
        <w:t>884</w:t>
      </w:r>
      <w:r>
        <w:fldChar w:fldCharType="end"/>
      </w:r>
    </w:p>
    <w:p w:rsidR="001751D3" w:rsidRDefault="001751D3" w:rsidP="001751D3"/>
    <w:p w:rsidR="001751D3" w:rsidRDefault="001751D3" w:rsidP="001751D3">
      <w:pPr>
        <w:pStyle w:val="EntradandiceAuto"/>
      </w:pPr>
      <w:r>
        <w:t>Sala Primera. Auto 44/1992, de 12 de febrero de 1992. Denegando la suspensión de la ejecución del acto que origina el recurso de amparo 2.174/1991</w:t>
      </w:r>
      <w:r>
        <w:tab/>
      </w:r>
      <w:r>
        <w:tab/>
      </w:r>
      <w:r>
        <w:fldChar w:fldCharType="begin"/>
      </w:r>
      <w:r>
        <w:instrText xml:space="preserve"> PAGEREF AUTO_1992_44 \h </w:instrText>
      </w:r>
      <w:r>
        <w:fldChar w:fldCharType="separate"/>
      </w:r>
      <w:r w:rsidR="002964F1">
        <w:rPr>
          <w:noProof/>
        </w:rPr>
        <w:t>885</w:t>
      </w:r>
      <w:r>
        <w:fldChar w:fldCharType="end"/>
      </w:r>
    </w:p>
    <w:p w:rsidR="001751D3" w:rsidRDefault="001751D3" w:rsidP="001751D3"/>
    <w:p w:rsidR="001751D3" w:rsidRDefault="001751D3" w:rsidP="001751D3">
      <w:pPr>
        <w:pStyle w:val="EntradandiceAuto"/>
      </w:pPr>
      <w:r>
        <w:t>Sala Primera. Auto 45/1992, de 12 de febrero de 1992. Acordando la suspensión parcial de la ejecución del acto que origina el recurso de amparo 2.291/1991</w:t>
      </w:r>
      <w:r>
        <w:tab/>
      </w:r>
      <w:r>
        <w:tab/>
      </w:r>
      <w:r>
        <w:fldChar w:fldCharType="begin"/>
      </w:r>
      <w:r>
        <w:instrText xml:space="preserve"> PAGEREF AUTO_1992_45 \h </w:instrText>
      </w:r>
      <w:r>
        <w:fldChar w:fldCharType="separate"/>
      </w:r>
      <w:r w:rsidR="002964F1">
        <w:rPr>
          <w:noProof/>
        </w:rPr>
        <w:t>886</w:t>
      </w:r>
      <w:r>
        <w:fldChar w:fldCharType="end"/>
      </w:r>
    </w:p>
    <w:p w:rsidR="001751D3" w:rsidRDefault="001751D3" w:rsidP="001751D3"/>
    <w:p w:rsidR="001751D3" w:rsidRDefault="001751D3" w:rsidP="001751D3">
      <w:pPr>
        <w:pStyle w:val="EntradandiceAuto"/>
      </w:pPr>
      <w:r>
        <w:t>Sala Primera. Auto 46/1992, de 12 de febrero de 1992. Acordando la suspensión condicionada de la ejecución del acto que origina el recurso de amparo 2.308/1991</w:t>
      </w:r>
      <w:r>
        <w:tab/>
      </w:r>
      <w:r>
        <w:tab/>
      </w:r>
      <w:r>
        <w:fldChar w:fldCharType="begin"/>
      </w:r>
      <w:r>
        <w:instrText xml:space="preserve"> PAGEREF AUTO_1992_46 \h </w:instrText>
      </w:r>
      <w:r>
        <w:fldChar w:fldCharType="separate"/>
      </w:r>
      <w:r w:rsidR="002964F1">
        <w:rPr>
          <w:noProof/>
        </w:rPr>
        <w:t>887</w:t>
      </w:r>
      <w:r>
        <w:fldChar w:fldCharType="end"/>
      </w:r>
    </w:p>
    <w:p w:rsidR="001751D3" w:rsidRDefault="001751D3" w:rsidP="001751D3"/>
    <w:p w:rsidR="001751D3" w:rsidRDefault="001751D3" w:rsidP="001751D3">
      <w:pPr>
        <w:pStyle w:val="EntradandiceAuto"/>
      </w:pPr>
      <w:r>
        <w:t>Sala Primera. Auto 47/1992, de 12 de febrero de 1992. Denegando la suspensión de la ejecución del acto que origina el recurso de amparo 2.589/1991</w:t>
      </w:r>
      <w:r>
        <w:tab/>
      </w:r>
      <w:r>
        <w:tab/>
      </w:r>
      <w:r>
        <w:fldChar w:fldCharType="begin"/>
      </w:r>
      <w:r>
        <w:instrText xml:space="preserve"> PAGEREF AUTO_1992_47 \h </w:instrText>
      </w:r>
      <w:r>
        <w:fldChar w:fldCharType="separate"/>
      </w:r>
      <w:r w:rsidR="002964F1">
        <w:rPr>
          <w:noProof/>
        </w:rPr>
        <w:t>888</w:t>
      </w:r>
      <w:r>
        <w:fldChar w:fldCharType="end"/>
      </w:r>
    </w:p>
    <w:p w:rsidR="001751D3" w:rsidRDefault="001751D3" w:rsidP="001751D3"/>
    <w:p w:rsidR="001751D3" w:rsidRDefault="001751D3" w:rsidP="001751D3">
      <w:pPr>
        <w:pStyle w:val="EntradandiceAuto"/>
      </w:pPr>
      <w:r>
        <w:t>Sala Primera. Auto 48/1992, de 12 de febrero de 1992. Acordando la suspensión de la ejecución del acto que origina el recurso de amparo 40/1992</w:t>
      </w:r>
      <w:r>
        <w:tab/>
      </w:r>
      <w:r>
        <w:tab/>
      </w:r>
      <w:r>
        <w:fldChar w:fldCharType="begin"/>
      </w:r>
      <w:r>
        <w:instrText xml:space="preserve"> PAGEREF AUTO_1992_48 \h </w:instrText>
      </w:r>
      <w:r>
        <w:fldChar w:fldCharType="separate"/>
      </w:r>
      <w:r w:rsidR="002964F1">
        <w:rPr>
          <w:noProof/>
        </w:rPr>
        <w:t>891</w:t>
      </w:r>
      <w:r>
        <w:fldChar w:fldCharType="end"/>
      </w:r>
    </w:p>
    <w:p w:rsidR="001751D3" w:rsidRDefault="001751D3" w:rsidP="001751D3"/>
    <w:p w:rsidR="001751D3" w:rsidRDefault="001751D3" w:rsidP="001751D3">
      <w:pPr>
        <w:pStyle w:val="EntradandiceAuto"/>
      </w:pPr>
      <w:r>
        <w:t>Sección Segunda. Auto 49/1992, de 13 de febrero de 1992. Acordando haber lugar al desistimiento del actor en el recurso de amparo 2.840/1990, promovido en causa penal.</w:t>
      </w:r>
      <w:r>
        <w:tab/>
      </w:r>
      <w:r>
        <w:tab/>
      </w:r>
      <w:r>
        <w:fldChar w:fldCharType="begin"/>
      </w:r>
      <w:r>
        <w:instrText xml:space="preserve"> PAGEREF AUTO_1992_49 \h </w:instrText>
      </w:r>
      <w:r>
        <w:fldChar w:fldCharType="separate"/>
      </w:r>
      <w:r w:rsidR="002964F1">
        <w:rPr>
          <w:noProof/>
        </w:rPr>
        <w:t>892</w:t>
      </w:r>
      <w:r>
        <w:fldChar w:fldCharType="end"/>
      </w:r>
    </w:p>
    <w:p w:rsidR="001751D3" w:rsidRDefault="001751D3" w:rsidP="001751D3"/>
    <w:p w:rsidR="001751D3" w:rsidRDefault="001751D3" w:rsidP="001751D3">
      <w:pPr>
        <w:pStyle w:val="EntradandiceAuto"/>
      </w:pPr>
      <w:r>
        <w:t>Sección Primera. Auto 50/1992, de 18 de febrero de 1992. Acordando la inadmisión a trámite del recurso de amparo 627/1991</w:t>
      </w:r>
      <w:r>
        <w:tab/>
      </w:r>
      <w:r>
        <w:tab/>
      </w:r>
      <w:r>
        <w:fldChar w:fldCharType="begin"/>
      </w:r>
      <w:r>
        <w:instrText xml:space="preserve"> PAGEREF AUTO_1992_50 \h </w:instrText>
      </w:r>
      <w:r>
        <w:fldChar w:fldCharType="separate"/>
      </w:r>
      <w:r w:rsidR="002964F1">
        <w:rPr>
          <w:noProof/>
        </w:rPr>
        <w:t>893</w:t>
      </w:r>
      <w:r>
        <w:fldChar w:fldCharType="end"/>
      </w:r>
    </w:p>
    <w:p w:rsidR="001751D3" w:rsidRDefault="001751D3" w:rsidP="001751D3"/>
    <w:p w:rsidR="001751D3" w:rsidRDefault="001751D3" w:rsidP="001751D3">
      <w:pPr>
        <w:pStyle w:val="EntradandiceAuto"/>
      </w:pPr>
      <w:r>
        <w:t>Sección Primera. Auto 51/1992, de 18 de febrero de 1992. Acordando la inadmisión a trámite del recurso de amparo 966/1991</w:t>
      </w:r>
      <w:r>
        <w:tab/>
      </w:r>
      <w:r>
        <w:tab/>
      </w:r>
      <w:r>
        <w:fldChar w:fldCharType="begin"/>
      </w:r>
      <w:r>
        <w:instrText xml:space="preserve"> PAGEREF AUTO_1992_51 \h </w:instrText>
      </w:r>
      <w:r>
        <w:fldChar w:fldCharType="separate"/>
      </w:r>
      <w:r w:rsidR="002964F1">
        <w:rPr>
          <w:noProof/>
        </w:rPr>
        <w:t>899</w:t>
      </w:r>
      <w:r>
        <w:fldChar w:fldCharType="end"/>
      </w:r>
    </w:p>
    <w:p w:rsidR="001751D3" w:rsidRDefault="001751D3" w:rsidP="001751D3"/>
    <w:p w:rsidR="001751D3" w:rsidRDefault="001751D3" w:rsidP="001751D3">
      <w:pPr>
        <w:pStyle w:val="EntradandiceAuto"/>
      </w:pPr>
      <w:r>
        <w:t>Sección Primera. Auto 52/1992, de 18 de febrero de 1992. Acordando la inadmisión a trámite del recurso de amparo 1.999/1991</w:t>
      </w:r>
      <w:r>
        <w:tab/>
      </w:r>
      <w:r>
        <w:tab/>
      </w:r>
      <w:r>
        <w:fldChar w:fldCharType="begin"/>
      </w:r>
      <w:r>
        <w:instrText xml:space="preserve"> PAGEREF AUTO_1992_52 \h </w:instrText>
      </w:r>
      <w:r>
        <w:fldChar w:fldCharType="separate"/>
      </w:r>
      <w:r w:rsidR="002964F1">
        <w:rPr>
          <w:noProof/>
        </w:rPr>
        <w:t>903</w:t>
      </w:r>
      <w:r>
        <w:fldChar w:fldCharType="end"/>
      </w:r>
    </w:p>
    <w:p w:rsidR="001751D3" w:rsidRDefault="001751D3" w:rsidP="001751D3"/>
    <w:p w:rsidR="001751D3" w:rsidRDefault="001751D3" w:rsidP="001751D3">
      <w:pPr>
        <w:pStyle w:val="EntradandiceAuto"/>
      </w:pPr>
      <w:r>
        <w:t>Sala Segunda. Auto 53/1992, de 19 de febrero de 1992. Denegando la suspensión de la ejecución del acto que origina el recurso de amparo 1.684/1991</w:t>
      </w:r>
      <w:r>
        <w:tab/>
      </w:r>
      <w:r>
        <w:tab/>
      </w:r>
      <w:r>
        <w:fldChar w:fldCharType="begin"/>
      </w:r>
      <w:r>
        <w:instrText xml:space="preserve"> PAGEREF AUTO_1992_53 \h </w:instrText>
      </w:r>
      <w:r>
        <w:fldChar w:fldCharType="separate"/>
      </w:r>
      <w:r w:rsidR="002964F1">
        <w:rPr>
          <w:noProof/>
        </w:rPr>
        <w:t>908</w:t>
      </w:r>
      <w:r>
        <w:fldChar w:fldCharType="end"/>
      </w:r>
    </w:p>
    <w:p w:rsidR="001751D3" w:rsidRDefault="001751D3" w:rsidP="001751D3"/>
    <w:p w:rsidR="001751D3" w:rsidRDefault="001751D3" w:rsidP="001751D3">
      <w:pPr>
        <w:pStyle w:val="EntradandiceAuto"/>
      </w:pPr>
      <w:r>
        <w:t>Sección Cuarta. Auto 54/1992, de 20 de febrero de 1992. Acordando la inadmisión a trámite del recurso de amparo 1.984/1991</w:t>
      </w:r>
      <w:r>
        <w:tab/>
      </w:r>
      <w:r>
        <w:tab/>
      </w:r>
      <w:r>
        <w:fldChar w:fldCharType="begin"/>
      </w:r>
      <w:r>
        <w:instrText xml:space="preserve"> PAGEREF AUTO_1992_54 \h </w:instrText>
      </w:r>
      <w:r>
        <w:fldChar w:fldCharType="separate"/>
      </w:r>
      <w:r w:rsidR="002964F1">
        <w:rPr>
          <w:noProof/>
        </w:rPr>
        <w:t>909</w:t>
      </w:r>
      <w:r>
        <w:fldChar w:fldCharType="end"/>
      </w:r>
    </w:p>
    <w:p w:rsidR="001751D3" w:rsidRDefault="001751D3" w:rsidP="001751D3"/>
    <w:p w:rsidR="001751D3" w:rsidRDefault="001751D3" w:rsidP="001751D3">
      <w:pPr>
        <w:pStyle w:val="EntradandiceAuto"/>
      </w:pPr>
      <w:r>
        <w:lastRenderedPageBreak/>
        <w:t>Sección Cuarta. Auto 55/1992, de 20 de febrero de 1992. Acordando la inadmisión a trámite del recurso 2.245/1991</w:t>
      </w:r>
      <w:r>
        <w:tab/>
      </w:r>
      <w:r>
        <w:tab/>
      </w:r>
      <w:r>
        <w:fldChar w:fldCharType="begin"/>
      </w:r>
      <w:r>
        <w:instrText xml:space="preserve"> PAGEREF AUTO_1992_55 \h </w:instrText>
      </w:r>
      <w:r>
        <w:fldChar w:fldCharType="separate"/>
      </w:r>
      <w:r w:rsidR="002964F1">
        <w:rPr>
          <w:noProof/>
        </w:rPr>
        <w:t>912</w:t>
      </w:r>
      <w:r>
        <w:fldChar w:fldCharType="end"/>
      </w:r>
    </w:p>
    <w:p w:rsidR="001751D3" w:rsidRDefault="001751D3" w:rsidP="001751D3"/>
    <w:p w:rsidR="001751D3" w:rsidRDefault="001751D3" w:rsidP="001751D3">
      <w:pPr>
        <w:pStyle w:val="EntradandiceAuto"/>
      </w:pPr>
      <w:r>
        <w:t>Sección Segunda. Auto 56/1992, de 21 de febrero de 1992. Acordando haber lugar al desistimiento del actor en el recurso de amparo 2.182/1991</w:t>
      </w:r>
      <w:r>
        <w:tab/>
      </w:r>
      <w:r>
        <w:tab/>
      </w:r>
      <w:r>
        <w:fldChar w:fldCharType="begin"/>
      </w:r>
      <w:r>
        <w:instrText xml:space="preserve"> PAGEREF AUTO_1992_56 \h </w:instrText>
      </w:r>
      <w:r>
        <w:fldChar w:fldCharType="separate"/>
      </w:r>
      <w:r w:rsidR="002964F1">
        <w:rPr>
          <w:noProof/>
        </w:rPr>
        <w:t>916</w:t>
      </w:r>
      <w:r>
        <w:fldChar w:fldCharType="end"/>
      </w:r>
    </w:p>
    <w:p w:rsidR="001751D3" w:rsidRDefault="001751D3" w:rsidP="001751D3"/>
    <w:p w:rsidR="001751D3" w:rsidRDefault="001751D3" w:rsidP="001751D3">
      <w:pPr>
        <w:pStyle w:val="EntradandiceAuto"/>
      </w:pPr>
      <w:r>
        <w:t>Sección Tercera. Auto 57/1992, de 24 de febrero de 1992. Acordando la inadmisión a trámite del recurso de amparo 457/1992</w:t>
      </w:r>
      <w:r>
        <w:tab/>
      </w:r>
      <w:r>
        <w:tab/>
      </w:r>
      <w:r>
        <w:fldChar w:fldCharType="begin"/>
      </w:r>
      <w:r>
        <w:instrText xml:space="preserve"> PAGEREF AUTO_1992_57 \h </w:instrText>
      </w:r>
      <w:r>
        <w:fldChar w:fldCharType="separate"/>
      </w:r>
      <w:r w:rsidR="002964F1">
        <w:rPr>
          <w:noProof/>
        </w:rPr>
        <w:t>921</w:t>
      </w:r>
      <w:r>
        <w:fldChar w:fldCharType="end"/>
      </w:r>
    </w:p>
    <w:p w:rsidR="001751D3" w:rsidRDefault="001751D3" w:rsidP="001751D3"/>
    <w:p w:rsidR="001751D3" w:rsidRDefault="001751D3" w:rsidP="001751D3">
      <w:pPr>
        <w:pStyle w:val="EntradandiceAuto"/>
      </w:pPr>
      <w:r>
        <w:t>Sección Cuarta. Auto 58/1992, de 2 de marzo de 1992. Acordando la inadmisión a trámite del recurso de amparo 1.838/1991</w:t>
      </w:r>
      <w:r>
        <w:tab/>
      </w:r>
      <w:r>
        <w:tab/>
      </w:r>
      <w:r>
        <w:fldChar w:fldCharType="begin"/>
      </w:r>
      <w:r>
        <w:instrText xml:space="preserve"> PAGEREF AUTO_1992_58 \h </w:instrText>
      </w:r>
      <w:r>
        <w:fldChar w:fldCharType="separate"/>
      </w:r>
      <w:r w:rsidR="002964F1">
        <w:rPr>
          <w:noProof/>
        </w:rPr>
        <w:t>922</w:t>
      </w:r>
      <w:r>
        <w:fldChar w:fldCharType="end"/>
      </w:r>
    </w:p>
    <w:p w:rsidR="001751D3" w:rsidRDefault="001751D3" w:rsidP="001751D3"/>
    <w:p w:rsidR="001751D3" w:rsidRDefault="001751D3" w:rsidP="001751D3">
      <w:pPr>
        <w:pStyle w:val="EntradandiceAuto"/>
      </w:pPr>
      <w:r>
        <w:t>Sección Segunda. Auto 59/1992, de 3 de marzo de 1992. Acordando la inadmisión a trámite del recurso de amparo 2.359/1990</w:t>
      </w:r>
      <w:r>
        <w:tab/>
      </w:r>
      <w:r>
        <w:tab/>
      </w:r>
      <w:r>
        <w:fldChar w:fldCharType="begin"/>
      </w:r>
      <w:r>
        <w:instrText xml:space="preserve"> PAGEREF AUTO_1992_59 \h </w:instrText>
      </w:r>
      <w:r>
        <w:fldChar w:fldCharType="separate"/>
      </w:r>
      <w:r w:rsidR="002964F1">
        <w:rPr>
          <w:noProof/>
        </w:rPr>
        <w:t>929</w:t>
      </w:r>
      <w:r>
        <w:fldChar w:fldCharType="end"/>
      </w:r>
    </w:p>
    <w:p w:rsidR="001751D3" w:rsidRDefault="001751D3" w:rsidP="001751D3"/>
    <w:p w:rsidR="001751D3" w:rsidRDefault="001751D3" w:rsidP="001751D3">
      <w:pPr>
        <w:pStyle w:val="EntradandiceAuto"/>
      </w:pPr>
      <w:r>
        <w:t>Sección Segunda. Auto 60/1992, de 3 de marzo de 1992. Acordando la inadmisión a trámite del recurso de amparo 1.446/1991</w:t>
      </w:r>
      <w:r>
        <w:tab/>
      </w:r>
      <w:r>
        <w:tab/>
      </w:r>
      <w:r>
        <w:fldChar w:fldCharType="begin"/>
      </w:r>
      <w:r>
        <w:instrText xml:space="preserve"> PAGEREF AUTO_1992_60 \h </w:instrText>
      </w:r>
      <w:r>
        <w:fldChar w:fldCharType="separate"/>
      </w:r>
      <w:r w:rsidR="002964F1">
        <w:rPr>
          <w:noProof/>
        </w:rPr>
        <w:t>933</w:t>
      </w:r>
      <w:r>
        <w:fldChar w:fldCharType="end"/>
      </w:r>
    </w:p>
    <w:p w:rsidR="001751D3" w:rsidRDefault="001751D3" w:rsidP="001751D3"/>
    <w:p w:rsidR="001751D3" w:rsidRDefault="001751D3" w:rsidP="001751D3">
      <w:pPr>
        <w:pStyle w:val="EntradandiceAuto"/>
      </w:pPr>
      <w:r>
        <w:t>Sección Segunda. Auto 61/1992, de 3 de marzo de 1992. Acordando la inadmisión a trámite del recurso de amparo 1.518/1991</w:t>
      </w:r>
      <w:r>
        <w:tab/>
      </w:r>
      <w:r>
        <w:tab/>
      </w:r>
      <w:r>
        <w:fldChar w:fldCharType="begin"/>
      </w:r>
      <w:r>
        <w:instrText xml:space="preserve"> PAGEREF AUTO_1992_61 \h </w:instrText>
      </w:r>
      <w:r>
        <w:fldChar w:fldCharType="separate"/>
      </w:r>
      <w:r w:rsidR="002964F1">
        <w:rPr>
          <w:noProof/>
        </w:rPr>
        <w:t>938</w:t>
      </w:r>
      <w:r>
        <w:fldChar w:fldCharType="end"/>
      </w:r>
    </w:p>
    <w:p w:rsidR="001751D3" w:rsidRDefault="001751D3" w:rsidP="001751D3"/>
    <w:p w:rsidR="001751D3" w:rsidRDefault="001751D3" w:rsidP="001751D3">
      <w:pPr>
        <w:pStyle w:val="EntradandiceAuto"/>
      </w:pPr>
      <w:r>
        <w:t>Sección Segunda. Auto 62/1992, de 3 de marzo de 1992. Acordando la inadmisión a trámite del recurso de amparo 1.683/1991</w:t>
      </w:r>
      <w:r>
        <w:tab/>
      </w:r>
      <w:r>
        <w:tab/>
      </w:r>
      <w:r>
        <w:fldChar w:fldCharType="begin"/>
      </w:r>
      <w:r>
        <w:instrText xml:space="preserve"> PAGEREF AUTO_1992_62 \h </w:instrText>
      </w:r>
      <w:r>
        <w:fldChar w:fldCharType="separate"/>
      </w:r>
      <w:r w:rsidR="002964F1">
        <w:rPr>
          <w:noProof/>
        </w:rPr>
        <w:t>945</w:t>
      </w:r>
      <w:r>
        <w:fldChar w:fldCharType="end"/>
      </w:r>
    </w:p>
    <w:p w:rsidR="001751D3" w:rsidRDefault="001751D3" w:rsidP="001751D3"/>
    <w:p w:rsidR="001751D3" w:rsidRDefault="001751D3" w:rsidP="001751D3">
      <w:pPr>
        <w:pStyle w:val="EntradandiceAuto"/>
      </w:pPr>
      <w:r>
        <w:t>Pleno. Auto 63/1992, de 3 de marzo de 1992. Levantando la suspensión, previamente acordada, del art. 84 del Decreto de la Junta de Galicia 262/1991, de 12 de julio, en el conflicto positivo de competencia 1.960/1991</w:t>
      </w:r>
      <w:r>
        <w:tab/>
      </w:r>
      <w:r>
        <w:tab/>
      </w:r>
      <w:r>
        <w:fldChar w:fldCharType="begin"/>
      </w:r>
      <w:r>
        <w:instrText xml:space="preserve"> PAGEREF AUTO_1992_63 \h </w:instrText>
      </w:r>
      <w:r>
        <w:fldChar w:fldCharType="separate"/>
      </w:r>
      <w:r w:rsidR="002964F1">
        <w:rPr>
          <w:noProof/>
        </w:rPr>
        <w:t>951</w:t>
      </w:r>
      <w:r>
        <w:fldChar w:fldCharType="end"/>
      </w:r>
    </w:p>
    <w:p w:rsidR="001751D3" w:rsidRDefault="001751D3" w:rsidP="001751D3"/>
    <w:p w:rsidR="001751D3" w:rsidRDefault="001751D3" w:rsidP="001751D3">
      <w:pPr>
        <w:pStyle w:val="EntradandiceAuto"/>
      </w:pPr>
      <w:r>
        <w:t>Sección Segunda. Auto 64/1992, de 3 de marzo de 1992. Acordando haber lugar al desistimiento del actor en el recurso de amparo 2.583/1991, promovido en pleito civil.</w:t>
      </w:r>
      <w:r>
        <w:tab/>
      </w:r>
      <w:r>
        <w:tab/>
      </w:r>
      <w:r>
        <w:fldChar w:fldCharType="begin"/>
      </w:r>
      <w:r>
        <w:instrText xml:space="preserve"> PAGEREF AUTO_1992_64 \h </w:instrText>
      </w:r>
      <w:r>
        <w:fldChar w:fldCharType="separate"/>
      </w:r>
      <w:r w:rsidR="002964F1">
        <w:rPr>
          <w:noProof/>
        </w:rPr>
        <w:t>955</w:t>
      </w:r>
      <w:r>
        <w:fldChar w:fldCharType="end"/>
      </w:r>
    </w:p>
    <w:p w:rsidR="001751D3" w:rsidRDefault="001751D3" w:rsidP="001751D3"/>
    <w:p w:rsidR="001751D3" w:rsidRDefault="001751D3" w:rsidP="001751D3">
      <w:pPr>
        <w:pStyle w:val="EntradandiceAuto"/>
      </w:pPr>
      <w:r>
        <w:t>Pleno. Auto 65/1992, de 3 de marzo de 1992. Acordando la acumulación de las cuestiones de inconstitucionalidad 2.132/1991, 2.562/1991 y 222/1992</w:t>
      </w:r>
      <w:r>
        <w:tab/>
      </w:r>
      <w:r>
        <w:tab/>
      </w:r>
      <w:r>
        <w:fldChar w:fldCharType="begin"/>
      </w:r>
      <w:r>
        <w:instrText xml:space="preserve"> PAGEREF AUTO_1992_65 \h </w:instrText>
      </w:r>
      <w:r>
        <w:fldChar w:fldCharType="separate"/>
      </w:r>
      <w:r w:rsidR="002964F1">
        <w:rPr>
          <w:noProof/>
        </w:rPr>
        <w:t>956</w:t>
      </w:r>
      <w:r>
        <w:fldChar w:fldCharType="end"/>
      </w:r>
    </w:p>
    <w:p w:rsidR="001751D3" w:rsidRDefault="001751D3" w:rsidP="001751D3"/>
    <w:p w:rsidR="001751D3" w:rsidRDefault="001751D3" w:rsidP="001751D3">
      <w:pPr>
        <w:pStyle w:val="EntradandiceAuto"/>
      </w:pPr>
      <w:r>
        <w:t>Sección Tercera. Auto 66/1992, de 3 de marzo de 1992. Acordando la inadmisión a trámite del recurso de amparo 524/1992</w:t>
      </w:r>
      <w:r>
        <w:tab/>
      </w:r>
      <w:r>
        <w:tab/>
      </w:r>
      <w:r>
        <w:fldChar w:fldCharType="begin"/>
      </w:r>
      <w:r>
        <w:instrText xml:space="preserve"> PAGEREF AUTO_1992_66 \h </w:instrText>
      </w:r>
      <w:r>
        <w:fldChar w:fldCharType="separate"/>
      </w:r>
      <w:r w:rsidR="002964F1">
        <w:rPr>
          <w:noProof/>
        </w:rPr>
        <w:t>957</w:t>
      </w:r>
      <w:r>
        <w:fldChar w:fldCharType="end"/>
      </w:r>
    </w:p>
    <w:p w:rsidR="001751D3" w:rsidRDefault="001751D3" w:rsidP="001751D3"/>
    <w:p w:rsidR="001751D3" w:rsidRDefault="001751D3" w:rsidP="001751D3">
      <w:pPr>
        <w:pStyle w:val="EntradandiceAuto"/>
      </w:pPr>
      <w:r>
        <w:lastRenderedPageBreak/>
        <w:t>Sala Segunda. Auto 67/1992, de 4 de marzo de 1992. Acordando haber lugar al desistimiento del actor en el recurso de amparo 785/1989, promovido en pleito civil.</w:t>
      </w:r>
      <w:r>
        <w:tab/>
      </w:r>
      <w:r>
        <w:tab/>
      </w:r>
      <w:r>
        <w:fldChar w:fldCharType="begin"/>
      </w:r>
      <w:r>
        <w:instrText xml:space="preserve"> PAGEREF AUTO_1992_67 \h </w:instrText>
      </w:r>
      <w:r>
        <w:fldChar w:fldCharType="separate"/>
      </w:r>
      <w:r w:rsidR="002964F1">
        <w:rPr>
          <w:noProof/>
        </w:rPr>
        <w:t>958</w:t>
      </w:r>
      <w:r>
        <w:fldChar w:fldCharType="end"/>
      </w:r>
    </w:p>
    <w:p w:rsidR="001751D3" w:rsidRDefault="001751D3" w:rsidP="001751D3"/>
    <w:p w:rsidR="001751D3" w:rsidRDefault="001751D3" w:rsidP="001751D3">
      <w:pPr>
        <w:pStyle w:val="EntradandiceAuto"/>
      </w:pPr>
      <w:r>
        <w:t>Sala Segunda. Auto 68/1992, de 4 de marzo de 1992. Denegando la suspensión de la ejecución del acto que origina el recurso de amparo 1.223/1991</w:t>
      </w:r>
      <w:r>
        <w:tab/>
      </w:r>
      <w:r>
        <w:tab/>
      </w:r>
      <w:r>
        <w:fldChar w:fldCharType="begin"/>
      </w:r>
      <w:r>
        <w:instrText xml:space="preserve"> PAGEREF AUTO_1992_68 \h </w:instrText>
      </w:r>
      <w:r>
        <w:fldChar w:fldCharType="separate"/>
      </w:r>
      <w:r w:rsidR="002964F1">
        <w:rPr>
          <w:noProof/>
        </w:rPr>
        <w:t>959</w:t>
      </w:r>
      <w:r>
        <w:fldChar w:fldCharType="end"/>
      </w:r>
    </w:p>
    <w:p w:rsidR="001751D3" w:rsidRDefault="001751D3" w:rsidP="001751D3"/>
    <w:p w:rsidR="001751D3" w:rsidRDefault="001751D3" w:rsidP="001751D3">
      <w:pPr>
        <w:pStyle w:val="EntradandiceAuto"/>
      </w:pPr>
      <w:r>
        <w:t>Sala Segunda. Auto 69/1992, de 4 de marzo de 1992. Denegando la suspensión de la ejecución del acto que origina el recurso de amparo 1.894/1991</w:t>
      </w:r>
      <w:r>
        <w:tab/>
      </w:r>
      <w:r>
        <w:tab/>
      </w:r>
      <w:r>
        <w:fldChar w:fldCharType="begin"/>
      </w:r>
      <w:r>
        <w:instrText xml:space="preserve"> PAGEREF AUTO_1992_69 \h </w:instrText>
      </w:r>
      <w:r>
        <w:fldChar w:fldCharType="separate"/>
      </w:r>
      <w:r w:rsidR="002964F1">
        <w:rPr>
          <w:noProof/>
        </w:rPr>
        <w:t>960</w:t>
      </w:r>
      <w:r>
        <w:fldChar w:fldCharType="end"/>
      </w:r>
    </w:p>
    <w:p w:rsidR="001751D3" w:rsidRDefault="001751D3" w:rsidP="001751D3"/>
    <w:p w:rsidR="001751D3" w:rsidRDefault="001751D3" w:rsidP="001751D3">
      <w:pPr>
        <w:pStyle w:val="EntradandiceAuto"/>
      </w:pPr>
      <w:r>
        <w:t>Sección Primera. Auto 70/1992, de 4 de marzo de 1992. Acordando la inadmisión a trámite del recurso de amparo 2.434/1991</w:t>
      </w:r>
      <w:r>
        <w:tab/>
      </w:r>
      <w:r>
        <w:tab/>
      </w:r>
      <w:r>
        <w:fldChar w:fldCharType="begin"/>
      </w:r>
      <w:r>
        <w:instrText xml:space="preserve"> PAGEREF AUTO_1992_70 \h </w:instrText>
      </w:r>
      <w:r>
        <w:fldChar w:fldCharType="separate"/>
      </w:r>
      <w:r w:rsidR="002964F1">
        <w:rPr>
          <w:noProof/>
        </w:rPr>
        <w:t>961</w:t>
      </w:r>
      <w:r>
        <w:fldChar w:fldCharType="end"/>
      </w:r>
    </w:p>
    <w:p w:rsidR="001751D3" w:rsidRDefault="001751D3" w:rsidP="001751D3"/>
    <w:p w:rsidR="001751D3" w:rsidRDefault="001751D3" w:rsidP="001751D3">
      <w:pPr>
        <w:pStyle w:val="EntradandiceAuto"/>
      </w:pPr>
      <w:r>
        <w:t>Sección Tercera. Auto 71/1992, de 9 de marzo de 1992. Acordando la inadmisión a trámite del recurso de amparo 982/1991</w:t>
      </w:r>
      <w:r>
        <w:tab/>
      </w:r>
      <w:r>
        <w:tab/>
      </w:r>
      <w:r>
        <w:fldChar w:fldCharType="begin"/>
      </w:r>
      <w:r>
        <w:instrText xml:space="preserve"> PAGEREF AUTO_1992_71 \h </w:instrText>
      </w:r>
      <w:r>
        <w:fldChar w:fldCharType="separate"/>
      </w:r>
      <w:r w:rsidR="002964F1">
        <w:rPr>
          <w:noProof/>
        </w:rPr>
        <w:t>965</w:t>
      </w:r>
      <w:r>
        <w:fldChar w:fldCharType="end"/>
      </w:r>
    </w:p>
    <w:p w:rsidR="001751D3" w:rsidRDefault="001751D3" w:rsidP="001751D3"/>
    <w:p w:rsidR="001751D3" w:rsidRDefault="001751D3" w:rsidP="001751D3">
      <w:pPr>
        <w:pStyle w:val="EntradandiceAuto"/>
      </w:pPr>
      <w:r>
        <w:t>Sección Cuarta. Auto 72/1992, de 9 de marzo de 1992. Acordando la inadmisión a trámite del recurso de amparo 1.453/1991</w:t>
      </w:r>
      <w:r>
        <w:tab/>
      </w:r>
      <w:r>
        <w:tab/>
      </w:r>
      <w:r>
        <w:fldChar w:fldCharType="begin"/>
      </w:r>
      <w:r>
        <w:instrText xml:space="preserve"> PAGEREF AUTO_1992_72 \h </w:instrText>
      </w:r>
      <w:r>
        <w:fldChar w:fldCharType="separate"/>
      </w:r>
      <w:r w:rsidR="002964F1">
        <w:rPr>
          <w:noProof/>
        </w:rPr>
        <w:t>969</w:t>
      </w:r>
      <w:r>
        <w:fldChar w:fldCharType="end"/>
      </w:r>
    </w:p>
    <w:p w:rsidR="001751D3" w:rsidRDefault="001751D3" w:rsidP="001751D3"/>
    <w:p w:rsidR="001751D3" w:rsidRDefault="001751D3" w:rsidP="001751D3">
      <w:pPr>
        <w:pStyle w:val="EntradandiceAuto"/>
      </w:pPr>
      <w:r>
        <w:t>Sección Cuarta. Auto 73/1992, de 9 de marzo de 1992. Acordando la inadmisión a trámite del recurso de amparo 2.350/1991</w:t>
      </w:r>
      <w:r>
        <w:tab/>
      </w:r>
      <w:r>
        <w:tab/>
      </w:r>
      <w:r>
        <w:fldChar w:fldCharType="begin"/>
      </w:r>
      <w:r>
        <w:instrText xml:space="preserve"> PAGEREF AUTO_1992_73 \h </w:instrText>
      </w:r>
      <w:r>
        <w:fldChar w:fldCharType="separate"/>
      </w:r>
      <w:r w:rsidR="002964F1">
        <w:rPr>
          <w:noProof/>
        </w:rPr>
        <w:t>973</w:t>
      </w:r>
      <w:r>
        <w:fldChar w:fldCharType="end"/>
      </w:r>
    </w:p>
    <w:p w:rsidR="001751D3" w:rsidRDefault="001751D3" w:rsidP="001751D3"/>
    <w:p w:rsidR="001751D3" w:rsidRDefault="001751D3" w:rsidP="001751D3">
      <w:pPr>
        <w:pStyle w:val="EntradandiceAuto"/>
      </w:pPr>
      <w:r>
        <w:t>Sección Cuarta. Auto 74/1992, de 9 de marzo de 1992. Acordando la inadmisión a trámite del recurso de amparo 2.633/1991</w:t>
      </w:r>
      <w:r>
        <w:tab/>
      </w:r>
      <w:r>
        <w:tab/>
      </w:r>
      <w:r>
        <w:fldChar w:fldCharType="begin"/>
      </w:r>
      <w:r>
        <w:instrText xml:space="preserve"> PAGEREF AUTO_1992_74 \h </w:instrText>
      </w:r>
      <w:r>
        <w:fldChar w:fldCharType="separate"/>
      </w:r>
      <w:r w:rsidR="002964F1">
        <w:rPr>
          <w:noProof/>
        </w:rPr>
        <w:t>978</w:t>
      </w:r>
      <w:r>
        <w:fldChar w:fldCharType="end"/>
      </w:r>
    </w:p>
    <w:p w:rsidR="001751D3" w:rsidRDefault="001751D3" w:rsidP="001751D3"/>
    <w:p w:rsidR="001751D3" w:rsidRDefault="001751D3" w:rsidP="001751D3">
      <w:pPr>
        <w:pStyle w:val="EntradandiceAuto"/>
      </w:pPr>
      <w:r>
        <w:t>Sala Primera. Auto 75/1992, de 16 de marzo de 1992. Denegando la suspensión de la ejecución del acto que origina el recurso de amparo 625/1991</w:t>
      </w:r>
      <w:r>
        <w:tab/>
      </w:r>
      <w:r>
        <w:tab/>
      </w:r>
      <w:r>
        <w:fldChar w:fldCharType="begin"/>
      </w:r>
      <w:r>
        <w:instrText xml:space="preserve"> PAGEREF AUTO_1992_75 \h </w:instrText>
      </w:r>
      <w:r>
        <w:fldChar w:fldCharType="separate"/>
      </w:r>
      <w:r w:rsidR="002964F1">
        <w:rPr>
          <w:noProof/>
        </w:rPr>
        <w:t>983</w:t>
      </w:r>
      <w:r>
        <w:fldChar w:fldCharType="end"/>
      </w:r>
    </w:p>
    <w:p w:rsidR="001751D3" w:rsidRDefault="001751D3" w:rsidP="001751D3"/>
    <w:p w:rsidR="001751D3" w:rsidRDefault="001751D3" w:rsidP="001751D3">
      <w:pPr>
        <w:pStyle w:val="EntradandiceAuto"/>
      </w:pPr>
      <w:r>
        <w:t>Sala Primera. Auto 76/1992, de 16 de marzo de 1992. Acordando la suspensión parcial de la ejecución del acto que origina el recurso de amparo 864/1991</w:t>
      </w:r>
      <w:r>
        <w:tab/>
      </w:r>
      <w:r>
        <w:tab/>
      </w:r>
      <w:r>
        <w:fldChar w:fldCharType="begin"/>
      </w:r>
      <w:r>
        <w:instrText xml:space="preserve"> PAGEREF AUTO_1992_76 \h </w:instrText>
      </w:r>
      <w:r>
        <w:fldChar w:fldCharType="separate"/>
      </w:r>
      <w:r w:rsidR="002964F1">
        <w:rPr>
          <w:noProof/>
        </w:rPr>
        <w:t>984</w:t>
      </w:r>
      <w:r>
        <w:fldChar w:fldCharType="end"/>
      </w:r>
    </w:p>
    <w:p w:rsidR="001751D3" w:rsidRDefault="001751D3" w:rsidP="001751D3"/>
    <w:p w:rsidR="001751D3" w:rsidRDefault="001751D3" w:rsidP="001751D3">
      <w:pPr>
        <w:pStyle w:val="EntradandiceAuto"/>
      </w:pPr>
      <w:r>
        <w:t>Sala Primera. Auto 77/1992, de 16 de marzo de 1992. Acordando la suspensión de la ejecución del acto que origina el recurso de amparo 1.462/1991</w:t>
      </w:r>
      <w:r>
        <w:tab/>
      </w:r>
      <w:r>
        <w:tab/>
      </w:r>
      <w:r>
        <w:fldChar w:fldCharType="begin"/>
      </w:r>
      <w:r>
        <w:instrText xml:space="preserve"> PAGEREF AUTO_1992_77 \h </w:instrText>
      </w:r>
      <w:r>
        <w:fldChar w:fldCharType="separate"/>
      </w:r>
      <w:r w:rsidR="002964F1">
        <w:rPr>
          <w:noProof/>
        </w:rPr>
        <w:t>985</w:t>
      </w:r>
      <w:r>
        <w:fldChar w:fldCharType="end"/>
      </w:r>
    </w:p>
    <w:p w:rsidR="001751D3" w:rsidRDefault="001751D3" w:rsidP="001751D3"/>
    <w:p w:rsidR="001751D3" w:rsidRDefault="001751D3" w:rsidP="001751D3">
      <w:pPr>
        <w:pStyle w:val="EntradandiceAuto"/>
      </w:pPr>
      <w:r>
        <w:t>Sala Primera. Auto 78/1992, de 16 de marzo de 1992. Acordando la suspensión de la ejecución del acto que origina el recurso de amparo 196/1992</w:t>
      </w:r>
      <w:r>
        <w:tab/>
      </w:r>
      <w:r>
        <w:tab/>
      </w:r>
      <w:r>
        <w:fldChar w:fldCharType="begin"/>
      </w:r>
      <w:r>
        <w:instrText xml:space="preserve"> PAGEREF AUTO_1992_78 \h </w:instrText>
      </w:r>
      <w:r>
        <w:fldChar w:fldCharType="separate"/>
      </w:r>
      <w:r w:rsidR="002964F1">
        <w:rPr>
          <w:noProof/>
        </w:rPr>
        <w:t>986</w:t>
      </w:r>
      <w:r>
        <w:fldChar w:fldCharType="end"/>
      </w:r>
    </w:p>
    <w:p w:rsidR="001751D3" w:rsidRDefault="001751D3" w:rsidP="001751D3"/>
    <w:p w:rsidR="001751D3" w:rsidRDefault="001751D3" w:rsidP="001751D3">
      <w:pPr>
        <w:pStyle w:val="EntradandiceAuto"/>
      </w:pPr>
      <w:r>
        <w:lastRenderedPageBreak/>
        <w:t>Pleno. Auto 79/1992, de 17 de marzo de 1992. Declarando la extinción, por allanamiento del demandado, de los conflictos positivos de competencia 600/1988, 1.202/1989, 455/1990 y 456/1990 y la continuación del procedimiento en los conflictos 1.172/1988 y 1.532/1988</w:t>
      </w:r>
      <w:r>
        <w:tab/>
      </w:r>
      <w:r>
        <w:tab/>
      </w:r>
      <w:r>
        <w:fldChar w:fldCharType="begin"/>
      </w:r>
      <w:r>
        <w:instrText xml:space="preserve"> PAGEREF AUTO_1992_79 \h </w:instrText>
      </w:r>
      <w:r>
        <w:fldChar w:fldCharType="separate"/>
      </w:r>
      <w:r w:rsidR="002964F1">
        <w:rPr>
          <w:noProof/>
        </w:rPr>
        <w:t>987</w:t>
      </w:r>
      <w:r>
        <w:fldChar w:fldCharType="end"/>
      </w:r>
    </w:p>
    <w:p w:rsidR="001751D3" w:rsidRDefault="001751D3" w:rsidP="001751D3"/>
    <w:p w:rsidR="001751D3" w:rsidRDefault="001751D3" w:rsidP="001751D3">
      <w:pPr>
        <w:pStyle w:val="EntradandiceAuto"/>
      </w:pPr>
      <w:r>
        <w:t>Pleno. Auto 80/1992, de 17 de marzo de 1992. Declarando la extinción, por allanamiento del demandado; de los conflictos positivos de competencia 171/1990 y 179/1990</w:t>
      </w:r>
      <w:r>
        <w:tab/>
      </w:r>
      <w:r>
        <w:tab/>
      </w:r>
      <w:r>
        <w:fldChar w:fldCharType="begin"/>
      </w:r>
      <w:r>
        <w:instrText xml:space="preserve"> PAGEREF AUTO_1992_80 \h </w:instrText>
      </w:r>
      <w:r>
        <w:fldChar w:fldCharType="separate"/>
      </w:r>
      <w:r w:rsidR="002964F1">
        <w:rPr>
          <w:noProof/>
        </w:rPr>
        <w:t>991</w:t>
      </w:r>
      <w:r>
        <w:fldChar w:fldCharType="end"/>
      </w:r>
    </w:p>
    <w:p w:rsidR="001751D3" w:rsidRDefault="001751D3" w:rsidP="001751D3"/>
    <w:p w:rsidR="001751D3" w:rsidRDefault="001751D3" w:rsidP="001751D3">
      <w:pPr>
        <w:pStyle w:val="EntradandiceAuto"/>
      </w:pPr>
      <w:r>
        <w:t>Pleno. Auto 81/1992, de 17 de marzo de 1992. Levantando la suspensión, previamente acordada, de determinados preceptos de la Ley del Parlamento de Cataluña 16/1991, de lo de julio, en el recurso de inconstitucionalidad 2.091/1991</w:t>
      </w:r>
      <w:r>
        <w:tab/>
      </w:r>
      <w:r>
        <w:tab/>
      </w:r>
      <w:r>
        <w:fldChar w:fldCharType="begin"/>
      </w:r>
      <w:r>
        <w:instrText xml:space="preserve"> PAGEREF AUTO_1992_81 \h </w:instrText>
      </w:r>
      <w:r>
        <w:fldChar w:fldCharType="separate"/>
      </w:r>
      <w:r w:rsidR="002964F1">
        <w:rPr>
          <w:noProof/>
        </w:rPr>
        <w:t>994</w:t>
      </w:r>
      <w:r>
        <w:fldChar w:fldCharType="end"/>
      </w:r>
    </w:p>
    <w:p w:rsidR="001751D3" w:rsidRDefault="001751D3" w:rsidP="001751D3"/>
    <w:p w:rsidR="001751D3" w:rsidRDefault="001751D3" w:rsidP="001751D3">
      <w:pPr>
        <w:pStyle w:val="EntradandiceAuto"/>
      </w:pPr>
      <w:r>
        <w:t>Sección Tercera. Auto 82/1992, de 23 de marzo de 1992. Acordando imponer sanción disciplinaria de apercibimiento al Letrado que intervino en el recurso de amparo 1.974/1990</w:t>
      </w:r>
      <w:r>
        <w:tab/>
      </w:r>
      <w:r>
        <w:tab/>
      </w:r>
      <w:r>
        <w:fldChar w:fldCharType="begin"/>
      </w:r>
      <w:r>
        <w:instrText xml:space="preserve"> PAGEREF AUTO_1992_82 \h </w:instrText>
      </w:r>
      <w:r>
        <w:fldChar w:fldCharType="separate"/>
      </w:r>
      <w:r w:rsidR="002964F1">
        <w:rPr>
          <w:noProof/>
        </w:rPr>
        <w:t>1000</w:t>
      </w:r>
      <w:r>
        <w:fldChar w:fldCharType="end"/>
      </w:r>
    </w:p>
    <w:p w:rsidR="001751D3" w:rsidRDefault="001751D3" w:rsidP="001751D3"/>
    <w:p w:rsidR="001751D3" w:rsidRDefault="001751D3" w:rsidP="001751D3">
      <w:pPr>
        <w:pStyle w:val="EntradandiceAuto"/>
      </w:pPr>
      <w:r>
        <w:t>Sección Primera. Auto 83/1992, de 23 de marzo de 1992. Acordando la inadmisión a trámite del recurso de amparo 571/1991</w:t>
      </w:r>
      <w:r>
        <w:tab/>
      </w:r>
      <w:r>
        <w:tab/>
      </w:r>
      <w:r>
        <w:fldChar w:fldCharType="begin"/>
      </w:r>
      <w:r>
        <w:instrText xml:space="preserve"> PAGEREF AUTO_1992_83 \h </w:instrText>
      </w:r>
      <w:r>
        <w:fldChar w:fldCharType="separate"/>
      </w:r>
      <w:r w:rsidR="002964F1">
        <w:rPr>
          <w:noProof/>
        </w:rPr>
        <w:t>1001</w:t>
      </w:r>
      <w:r>
        <w:fldChar w:fldCharType="end"/>
      </w:r>
    </w:p>
    <w:p w:rsidR="001751D3" w:rsidRDefault="001751D3" w:rsidP="001751D3"/>
    <w:p w:rsidR="001751D3" w:rsidRDefault="001751D3" w:rsidP="001751D3">
      <w:pPr>
        <w:pStyle w:val="EntradandiceAuto"/>
      </w:pPr>
      <w:r>
        <w:t>Sección Primera. Auto 84/1992, de 23 de marzo de 1992. Acordando la inadmisión a trámite del recurso de amparo 208/1992</w:t>
      </w:r>
      <w:r>
        <w:tab/>
      </w:r>
      <w:r>
        <w:tab/>
      </w:r>
      <w:r>
        <w:fldChar w:fldCharType="begin"/>
      </w:r>
      <w:r>
        <w:instrText xml:space="preserve"> PAGEREF AUTO_1992_84 \h </w:instrText>
      </w:r>
      <w:r>
        <w:fldChar w:fldCharType="separate"/>
      </w:r>
      <w:r w:rsidR="002964F1">
        <w:rPr>
          <w:noProof/>
        </w:rPr>
        <w:t>1006</w:t>
      </w:r>
      <w:r>
        <w:fldChar w:fldCharType="end"/>
      </w:r>
    </w:p>
    <w:p w:rsidR="001751D3" w:rsidRDefault="001751D3" w:rsidP="001751D3"/>
    <w:p w:rsidR="001751D3" w:rsidRDefault="001751D3" w:rsidP="001751D3">
      <w:pPr>
        <w:pStyle w:val="EntradandiceAuto"/>
      </w:pPr>
      <w:r>
        <w:t>Sección Segunda. Auto 85/1992, de 30 de marzo de 1992. Acordando la inadmisión a trámite del recurso de amparo 328/1991</w:t>
      </w:r>
      <w:r>
        <w:tab/>
      </w:r>
      <w:r>
        <w:tab/>
      </w:r>
      <w:r>
        <w:fldChar w:fldCharType="begin"/>
      </w:r>
      <w:r>
        <w:instrText xml:space="preserve"> PAGEREF AUTO_1992_85 \h </w:instrText>
      </w:r>
      <w:r>
        <w:fldChar w:fldCharType="separate"/>
      </w:r>
      <w:r w:rsidR="002964F1">
        <w:rPr>
          <w:noProof/>
        </w:rPr>
        <w:t>1012</w:t>
      </w:r>
      <w:r>
        <w:fldChar w:fldCharType="end"/>
      </w:r>
    </w:p>
    <w:p w:rsidR="001751D3" w:rsidRDefault="001751D3" w:rsidP="001751D3"/>
    <w:p w:rsidR="001751D3" w:rsidRDefault="001751D3" w:rsidP="001751D3">
      <w:pPr>
        <w:pStyle w:val="EntradandiceAuto"/>
      </w:pPr>
      <w:r>
        <w:t>Sección Primera. Auto 86/1992, de 30 de marzo de 1992. Acordando la inadmisión a trámite del recurso de amparo 478/1991</w:t>
      </w:r>
      <w:r>
        <w:tab/>
      </w:r>
      <w:r>
        <w:tab/>
      </w:r>
      <w:r>
        <w:fldChar w:fldCharType="begin"/>
      </w:r>
      <w:r>
        <w:instrText xml:space="preserve"> PAGEREF AUTO_1992_86 \h </w:instrText>
      </w:r>
      <w:r>
        <w:fldChar w:fldCharType="separate"/>
      </w:r>
      <w:r w:rsidR="002964F1">
        <w:rPr>
          <w:noProof/>
        </w:rPr>
        <w:t>1020</w:t>
      </w:r>
      <w:r>
        <w:fldChar w:fldCharType="end"/>
      </w:r>
    </w:p>
    <w:p w:rsidR="001751D3" w:rsidRDefault="001751D3" w:rsidP="001751D3"/>
    <w:p w:rsidR="001751D3" w:rsidRDefault="001751D3" w:rsidP="001751D3">
      <w:pPr>
        <w:pStyle w:val="EntradandiceAuto"/>
      </w:pPr>
      <w:r>
        <w:t>Sala Segunda. Auto 87/1992, de 30 de marzo de 1992. Denegando el levantamiento de la suspensión acordada por ATC 302/1991 en el recurso de amparo 955/1991</w:t>
      </w:r>
      <w:r>
        <w:tab/>
      </w:r>
      <w:r>
        <w:tab/>
      </w:r>
      <w:r>
        <w:fldChar w:fldCharType="begin"/>
      </w:r>
      <w:r>
        <w:instrText xml:space="preserve"> PAGEREF AUTO_1992_87 \h </w:instrText>
      </w:r>
      <w:r>
        <w:fldChar w:fldCharType="separate"/>
      </w:r>
      <w:r w:rsidR="002964F1">
        <w:rPr>
          <w:noProof/>
        </w:rPr>
        <w:t>1024</w:t>
      </w:r>
      <w:r>
        <w:fldChar w:fldCharType="end"/>
      </w:r>
    </w:p>
    <w:p w:rsidR="001751D3" w:rsidRDefault="001751D3" w:rsidP="001751D3"/>
    <w:p w:rsidR="001751D3" w:rsidRDefault="001751D3" w:rsidP="001751D3">
      <w:pPr>
        <w:pStyle w:val="EntradandiceAuto"/>
      </w:pPr>
      <w:r>
        <w:t>Sección Segunda. Auto 88/1992, de 30 de marzo de 1992. Desestimando recurso de súplica, contra providencia de inadmisión, de 17 de febrero de 1992, dictada en el recurso de amparo 1.747/1991</w:t>
      </w:r>
      <w:r>
        <w:tab/>
      </w:r>
      <w:r>
        <w:tab/>
      </w:r>
      <w:r>
        <w:fldChar w:fldCharType="begin"/>
      </w:r>
      <w:r>
        <w:instrText xml:space="preserve"> PAGEREF AUTO_1992_88 \h </w:instrText>
      </w:r>
      <w:r>
        <w:fldChar w:fldCharType="separate"/>
      </w:r>
      <w:r w:rsidR="002964F1">
        <w:rPr>
          <w:noProof/>
        </w:rPr>
        <w:t>1028</w:t>
      </w:r>
      <w:r>
        <w:fldChar w:fldCharType="end"/>
      </w:r>
    </w:p>
    <w:p w:rsidR="001751D3" w:rsidRDefault="001751D3" w:rsidP="001751D3"/>
    <w:p w:rsidR="001751D3" w:rsidRDefault="001751D3" w:rsidP="001751D3">
      <w:pPr>
        <w:pStyle w:val="EntradandiceAuto"/>
      </w:pPr>
      <w:r>
        <w:t>Sección Cuarta. Auto 89/1992, de 30 de marzo de 1992. Acordando la inadmisión a trámite del recurso de amparo 2.067/1991</w:t>
      </w:r>
      <w:r>
        <w:tab/>
      </w:r>
      <w:r>
        <w:tab/>
      </w:r>
      <w:r>
        <w:fldChar w:fldCharType="begin"/>
      </w:r>
      <w:r>
        <w:instrText xml:space="preserve"> PAGEREF AUTO_1992_89 \h </w:instrText>
      </w:r>
      <w:r>
        <w:fldChar w:fldCharType="separate"/>
      </w:r>
      <w:r w:rsidR="002964F1">
        <w:rPr>
          <w:noProof/>
        </w:rPr>
        <w:t>1029</w:t>
      </w:r>
      <w:r>
        <w:fldChar w:fldCharType="end"/>
      </w:r>
    </w:p>
    <w:p w:rsidR="001751D3" w:rsidRDefault="001751D3" w:rsidP="001751D3"/>
    <w:p w:rsidR="001751D3" w:rsidRDefault="001751D3" w:rsidP="001751D3">
      <w:pPr>
        <w:pStyle w:val="EntradandiceAuto"/>
      </w:pPr>
      <w:r>
        <w:lastRenderedPageBreak/>
        <w:t>Sala Primera. Auto 90/1992, de 30 de marzo de 1992. Acordando la suspensión de la ejecución del acto que origina el recurso de amparo 2.228/1991</w:t>
      </w:r>
      <w:r>
        <w:tab/>
      </w:r>
      <w:r>
        <w:tab/>
      </w:r>
      <w:r>
        <w:fldChar w:fldCharType="begin"/>
      </w:r>
      <w:r>
        <w:instrText xml:space="preserve"> PAGEREF AUTO_1992_90 \h </w:instrText>
      </w:r>
      <w:r>
        <w:fldChar w:fldCharType="separate"/>
      </w:r>
      <w:r w:rsidR="002964F1">
        <w:rPr>
          <w:noProof/>
        </w:rPr>
        <w:t>1032</w:t>
      </w:r>
      <w:r>
        <w:fldChar w:fldCharType="end"/>
      </w:r>
    </w:p>
    <w:p w:rsidR="001751D3" w:rsidRDefault="001751D3" w:rsidP="001751D3"/>
    <w:p w:rsidR="001751D3" w:rsidRDefault="001751D3" w:rsidP="001751D3">
      <w:pPr>
        <w:pStyle w:val="EntradandiceAuto"/>
      </w:pPr>
      <w:r>
        <w:t>Sala Segunda. Auto 91/1992, de 30 de marzo de 1992. Acordando haber lugar al desistimiento del actor en el recurso de amparo 2.239/1991</w:t>
      </w:r>
      <w:r>
        <w:tab/>
      </w:r>
      <w:r>
        <w:tab/>
      </w:r>
      <w:r>
        <w:fldChar w:fldCharType="begin"/>
      </w:r>
      <w:r>
        <w:instrText xml:space="preserve"> PAGEREF AUTO_1992_91 \h </w:instrText>
      </w:r>
      <w:r>
        <w:fldChar w:fldCharType="separate"/>
      </w:r>
      <w:r w:rsidR="002964F1">
        <w:rPr>
          <w:noProof/>
        </w:rPr>
        <w:t>1035</w:t>
      </w:r>
      <w:r>
        <w:fldChar w:fldCharType="end"/>
      </w:r>
    </w:p>
    <w:p w:rsidR="001751D3" w:rsidRDefault="001751D3" w:rsidP="001751D3"/>
    <w:p w:rsidR="001751D3" w:rsidRDefault="001751D3" w:rsidP="001751D3">
      <w:pPr>
        <w:pStyle w:val="EntradandiceAuto"/>
      </w:pPr>
      <w:r>
        <w:t>Sección Cuarta. Auto 92/1992, de 30 de marzo de 1992. Acordando la inadmisión a trámite del recurso de amparo 2.263/1991</w:t>
      </w:r>
      <w:r>
        <w:tab/>
      </w:r>
      <w:r>
        <w:tab/>
      </w:r>
      <w:r>
        <w:fldChar w:fldCharType="begin"/>
      </w:r>
      <w:r>
        <w:instrText xml:space="preserve"> PAGEREF AUTO_1992_92 \h </w:instrText>
      </w:r>
      <w:r>
        <w:fldChar w:fldCharType="separate"/>
      </w:r>
      <w:r w:rsidR="002964F1">
        <w:rPr>
          <w:noProof/>
        </w:rPr>
        <w:t>1036</w:t>
      </w:r>
      <w:r>
        <w:fldChar w:fldCharType="end"/>
      </w:r>
    </w:p>
    <w:p w:rsidR="001751D3" w:rsidRDefault="001751D3" w:rsidP="001751D3"/>
    <w:p w:rsidR="001751D3" w:rsidRDefault="001751D3" w:rsidP="001751D3">
      <w:pPr>
        <w:pStyle w:val="EntradandiceAuto"/>
      </w:pPr>
      <w:r>
        <w:t>Sección Cuarta. Auto 93/1992, de 30 de marzo de 1992. Acordando la inadmisión a trámite del recurso de amparo 2.374/1991</w:t>
      </w:r>
      <w:r>
        <w:tab/>
      </w:r>
      <w:r>
        <w:tab/>
      </w:r>
      <w:r>
        <w:fldChar w:fldCharType="begin"/>
      </w:r>
      <w:r>
        <w:instrText xml:space="preserve"> PAGEREF AUTO_1992_93 \h </w:instrText>
      </w:r>
      <w:r>
        <w:fldChar w:fldCharType="separate"/>
      </w:r>
      <w:r w:rsidR="002964F1">
        <w:rPr>
          <w:noProof/>
        </w:rPr>
        <w:t>1041</w:t>
      </w:r>
      <w:r>
        <w:fldChar w:fldCharType="end"/>
      </w:r>
    </w:p>
    <w:p w:rsidR="001751D3" w:rsidRDefault="001751D3" w:rsidP="001751D3"/>
    <w:p w:rsidR="001751D3" w:rsidRDefault="001751D3" w:rsidP="001751D3">
      <w:pPr>
        <w:pStyle w:val="EntradandiceAuto"/>
      </w:pPr>
      <w:r>
        <w:t>Sala Segunda. Auto 94/1992, de 30 de marzo de 1992. Denegando la suspensión de la ejecución del acto que origina el recurso de amparo 2.388/1991</w:t>
      </w:r>
      <w:r>
        <w:tab/>
      </w:r>
      <w:r>
        <w:tab/>
      </w:r>
      <w:r>
        <w:fldChar w:fldCharType="begin"/>
      </w:r>
      <w:r>
        <w:instrText xml:space="preserve"> PAGEREF AUTO_1992_94 \h </w:instrText>
      </w:r>
      <w:r>
        <w:fldChar w:fldCharType="separate"/>
      </w:r>
      <w:r w:rsidR="002964F1">
        <w:rPr>
          <w:noProof/>
        </w:rPr>
        <w:t>1045</w:t>
      </w:r>
      <w:r>
        <w:fldChar w:fldCharType="end"/>
      </w:r>
    </w:p>
    <w:p w:rsidR="001751D3" w:rsidRDefault="001751D3" w:rsidP="001751D3"/>
    <w:p w:rsidR="001751D3" w:rsidRDefault="001751D3" w:rsidP="001751D3">
      <w:pPr>
        <w:pStyle w:val="EntradandiceAuto"/>
      </w:pPr>
      <w:r>
        <w:t>Sala Segunda. Auto 95/1992, de 30 de marzo de 1992. Acordando la suspensión parcial de la ejecución del acto que origina el recurso de amparo 2.44/1991</w:t>
      </w:r>
      <w:r>
        <w:tab/>
      </w:r>
      <w:r>
        <w:tab/>
      </w:r>
      <w:r>
        <w:fldChar w:fldCharType="begin"/>
      </w:r>
      <w:r>
        <w:instrText xml:space="preserve"> PAGEREF AUTO_1992_95 \h </w:instrText>
      </w:r>
      <w:r>
        <w:fldChar w:fldCharType="separate"/>
      </w:r>
      <w:r w:rsidR="002964F1">
        <w:rPr>
          <w:noProof/>
        </w:rPr>
        <w:t>1046</w:t>
      </w:r>
      <w:r>
        <w:fldChar w:fldCharType="end"/>
      </w:r>
    </w:p>
    <w:p w:rsidR="001751D3" w:rsidRDefault="001751D3" w:rsidP="001751D3"/>
    <w:p w:rsidR="001751D3" w:rsidRDefault="001751D3" w:rsidP="001751D3">
      <w:pPr>
        <w:pStyle w:val="EntradandiceAuto"/>
      </w:pPr>
      <w:r>
        <w:t>Sección Cuarta. Auto 96/1992, de 30 de marzo de 1992. Acordando la inadmisión a trámite del recurso de amparo 2.463/1991</w:t>
      </w:r>
      <w:r>
        <w:tab/>
      </w:r>
      <w:r>
        <w:tab/>
      </w:r>
      <w:r>
        <w:fldChar w:fldCharType="begin"/>
      </w:r>
      <w:r>
        <w:instrText xml:space="preserve"> PAGEREF AUTO_1992_96 \h </w:instrText>
      </w:r>
      <w:r>
        <w:fldChar w:fldCharType="separate"/>
      </w:r>
      <w:r w:rsidR="002964F1">
        <w:rPr>
          <w:noProof/>
        </w:rPr>
        <w:t>1047</w:t>
      </w:r>
      <w:r>
        <w:fldChar w:fldCharType="end"/>
      </w:r>
    </w:p>
    <w:p w:rsidR="001751D3" w:rsidRDefault="001751D3" w:rsidP="001751D3"/>
    <w:p w:rsidR="001751D3" w:rsidRDefault="001751D3" w:rsidP="001751D3">
      <w:pPr>
        <w:pStyle w:val="EntradandiceAuto"/>
      </w:pPr>
      <w:r>
        <w:t>Sala Primera. Auto 97/1992, de 30 de marzo de 1992. Denegando la suspensión de la ejecución del acto que original recurso de amparo 2.682/1991</w:t>
      </w:r>
      <w:r>
        <w:tab/>
      </w:r>
      <w:r>
        <w:tab/>
      </w:r>
      <w:r>
        <w:fldChar w:fldCharType="begin"/>
      </w:r>
      <w:r>
        <w:instrText xml:space="preserve"> PAGEREF AUTO_1992_97 \h </w:instrText>
      </w:r>
      <w:r>
        <w:fldChar w:fldCharType="separate"/>
      </w:r>
      <w:r w:rsidR="002964F1">
        <w:rPr>
          <w:noProof/>
        </w:rPr>
        <w:t>1052</w:t>
      </w:r>
      <w:r>
        <w:fldChar w:fldCharType="end"/>
      </w:r>
    </w:p>
    <w:p w:rsidR="001751D3" w:rsidRDefault="001751D3" w:rsidP="001751D3"/>
    <w:p w:rsidR="001751D3" w:rsidRDefault="001751D3" w:rsidP="001751D3">
      <w:pPr>
        <w:pStyle w:val="EntradandiceAuto"/>
      </w:pPr>
      <w:r>
        <w:t>Pleno. Auto 98/1992, de 7 de abril de 1992. Acordando no haber lugar a la aclaración solicitada del fallo de la STC 44/1992, en el recurso de inconstitucionalidad 614/1986</w:t>
      </w:r>
      <w:r>
        <w:tab/>
      </w:r>
      <w:r>
        <w:tab/>
      </w:r>
      <w:r>
        <w:fldChar w:fldCharType="begin"/>
      </w:r>
      <w:r>
        <w:instrText xml:space="preserve"> PAGEREF AUTO_1992_98 \h </w:instrText>
      </w:r>
      <w:r>
        <w:fldChar w:fldCharType="separate"/>
      </w:r>
      <w:r w:rsidR="002964F1">
        <w:rPr>
          <w:noProof/>
        </w:rPr>
        <w:t>1053</w:t>
      </w:r>
      <w:r>
        <w:fldChar w:fldCharType="end"/>
      </w:r>
    </w:p>
    <w:p w:rsidR="001751D3" w:rsidRDefault="001751D3" w:rsidP="001751D3"/>
    <w:p w:rsidR="001751D3" w:rsidRDefault="001751D3" w:rsidP="001751D3">
      <w:pPr>
        <w:pStyle w:val="EntradandiceAuto"/>
      </w:pPr>
      <w:r>
        <w:t>Sección Cuarta. Auto 99/1992, de 7 de abril de 1992. Acordando la admisión parcial del recurso de amparo 2.364/1991</w:t>
      </w:r>
      <w:r>
        <w:tab/>
      </w:r>
      <w:r>
        <w:tab/>
      </w:r>
      <w:r>
        <w:fldChar w:fldCharType="begin"/>
      </w:r>
      <w:r>
        <w:instrText xml:space="preserve"> PAGEREF AUTO_1992_99 \h </w:instrText>
      </w:r>
      <w:r>
        <w:fldChar w:fldCharType="separate"/>
      </w:r>
      <w:r w:rsidR="002964F1">
        <w:rPr>
          <w:noProof/>
        </w:rPr>
        <w:t>1055</w:t>
      </w:r>
      <w:r>
        <w:fldChar w:fldCharType="end"/>
      </w:r>
    </w:p>
    <w:p w:rsidR="001751D3" w:rsidRDefault="001751D3" w:rsidP="001751D3"/>
    <w:p w:rsidR="001751D3" w:rsidRDefault="001751D3" w:rsidP="001751D3">
      <w:pPr>
        <w:pStyle w:val="EntradandiceAuto"/>
      </w:pPr>
      <w:r>
        <w:t>Sección Primera. Auto 100/1992, de 8 de abril de 1992. Acordando la inadmisión a trámite del recurso de amparo 1.295/1991</w:t>
      </w:r>
      <w:r>
        <w:tab/>
      </w:r>
      <w:r>
        <w:tab/>
      </w:r>
      <w:r>
        <w:fldChar w:fldCharType="begin"/>
      </w:r>
      <w:r>
        <w:instrText xml:space="preserve"> PAGEREF AUTO_1992_100 \h </w:instrText>
      </w:r>
      <w:r>
        <w:fldChar w:fldCharType="separate"/>
      </w:r>
      <w:r w:rsidR="002964F1">
        <w:rPr>
          <w:noProof/>
        </w:rPr>
        <w:t>1056</w:t>
      </w:r>
      <w:r>
        <w:fldChar w:fldCharType="end"/>
      </w:r>
    </w:p>
    <w:p w:rsidR="001751D3" w:rsidRDefault="001751D3" w:rsidP="001751D3"/>
    <w:p w:rsidR="001751D3" w:rsidRDefault="001751D3" w:rsidP="001751D3">
      <w:pPr>
        <w:pStyle w:val="EntradandiceAuto"/>
      </w:pPr>
      <w:r>
        <w:t>Sección Segunda. Auto 101/1992, de 8 de abril de 1992. Acordando la inadmisión a trámite del recurso de amparo 2.605/1991</w:t>
      </w:r>
      <w:r>
        <w:tab/>
      </w:r>
      <w:r>
        <w:tab/>
      </w:r>
      <w:r>
        <w:fldChar w:fldCharType="begin"/>
      </w:r>
      <w:r>
        <w:instrText xml:space="preserve"> PAGEREF AUTO_1992_101 \h </w:instrText>
      </w:r>
      <w:r>
        <w:fldChar w:fldCharType="separate"/>
      </w:r>
      <w:r w:rsidR="002964F1">
        <w:rPr>
          <w:noProof/>
        </w:rPr>
        <w:t>1059</w:t>
      </w:r>
      <w:r>
        <w:fldChar w:fldCharType="end"/>
      </w:r>
    </w:p>
    <w:p w:rsidR="001751D3" w:rsidRDefault="001751D3" w:rsidP="001751D3"/>
    <w:p w:rsidR="001751D3" w:rsidRDefault="001751D3" w:rsidP="001751D3">
      <w:pPr>
        <w:pStyle w:val="EntradandiceAuto"/>
      </w:pPr>
      <w:r>
        <w:lastRenderedPageBreak/>
        <w:t>Sala Segunda. Auto 102/1992, de 22 de abril de 1992. Acordando, por fallecimiento del actor, la terminación del recurso de amparo 2.864/1990</w:t>
      </w:r>
      <w:r>
        <w:tab/>
      </w:r>
      <w:r>
        <w:tab/>
      </w:r>
      <w:r>
        <w:fldChar w:fldCharType="begin"/>
      </w:r>
      <w:r>
        <w:instrText xml:space="preserve"> PAGEREF AUTO_1992_102 \h </w:instrText>
      </w:r>
      <w:r>
        <w:fldChar w:fldCharType="separate"/>
      </w:r>
      <w:r w:rsidR="002964F1">
        <w:rPr>
          <w:noProof/>
        </w:rPr>
        <w:t>1063</w:t>
      </w:r>
      <w:r>
        <w:fldChar w:fldCharType="end"/>
      </w:r>
    </w:p>
    <w:p w:rsidR="001751D3" w:rsidRDefault="001751D3" w:rsidP="001751D3"/>
    <w:p w:rsidR="001751D3" w:rsidRDefault="001751D3" w:rsidP="001751D3">
      <w:pPr>
        <w:pStyle w:val="EntradandiceAuto"/>
      </w:pPr>
      <w:r>
        <w:t>Sala Segunda. Auto 103/1992, de 22 de abril de 1992. Acordando la suspensión de la ejecución del acto que origina el recurso de amparo 853/1991</w:t>
      </w:r>
      <w:r>
        <w:tab/>
      </w:r>
      <w:r>
        <w:tab/>
      </w:r>
      <w:r>
        <w:fldChar w:fldCharType="begin"/>
      </w:r>
      <w:r>
        <w:instrText xml:space="preserve"> PAGEREF AUTO_1992_103 \h </w:instrText>
      </w:r>
      <w:r>
        <w:fldChar w:fldCharType="separate"/>
      </w:r>
      <w:r w:rsidR="002964F1">
        <w:rPr>
          <w:noProof/>
        </w:rPr>
        <w:t>1064</w:t>
      </w:r>
      <w:r>
        <w:fldChar w:fldCharType="end"/>
      </w:r>
    </w:p>
    <w:p w:rsidR="001751D3" w:rsidRDefault="001751D3" w:rsidP="001751D3"/>
    <w:p w:rsidR="001751D3" w:rsidRDefault="001751D3" w:rsidP="001751D3">
      <w:pPr>
        <w:pStyle w:val="EntradandiceAuto"/>
      </w:pPr>
      <w:r>
        <w:t>Sección Tercera. Auto 104/1992, de 22 de abril de 1992. Acordando la inadmisión a trámite del recurso de amparo 1.153/1991</w:t>
      </w:r>
      <w:r>
        <w:tab/>
      </w:r>
      <w:r>
        <w:tab/>
      </w:r>
      <w:r>
        <w:fldChar w:fldCharType="begin"/>
      </w:r>
      <w:r>
        <w:instrText xml:space="preserve"> PAGEREF AUTO_1992_104 \h </w:instrText>
      </w:r>
      <w:r>
        <w:fldChar w:fldCharType="separate"/>
      </w:r>
      <w:r w:rsidR="002964F1">
        <w:rPr>
          <w:noProof/>
        </w:rPr>
        <w:t>1065</w:t>
      </w:r>
      <w:r>
        <w:fldChar w:fldCharType="end"/>
      </w:r>
    </w:p>
    <w:p w:rsidR="001751D3" w:rsidRDefault="001751D3" w:rsidP="001751D3"/>
    <w:p w:rsidR="001751D3" w:rsidRDefault="001751D3" w:rsidP="001751D3">
      <w:pPr>
        <w:pStyle w:val="EntradandiceAuto"/>
      </w:pPr>
      <w:r>
        <w:t>Sección Cuarta. Auto 105/1992, de 22 de abril de 1992. Acordando la inadmisión a trámite del recurso de amparo 2.455/1991</w:t>
      </w:r>
      <w:r>
        <w:tab/>
      </w:r>
      <w:r>
        <w:tab/>
      </w:r>
      <w:r>
        <w:fldChar w:fldCharType="begin"/>
      </w:r>
      <w:r>
        <w:instrText xml:space="preserve"> PAGEREF AUTO_1992_105 \h </w:instrText>
      </w:r>
      <w:r>
        <w:fldChar w:fldCharType="separate"/>
      </w:r>
      <w:r w:rsidR="002964F1">
        <w:rPr>
          <w:noProof/>
        </w:rPr>
        <w:t>1070</w:t>
      </w:r>
      <w:r>
        <w:fldChar w:fldCharType="end"/>
      </w:r>
    </w:p>
    <w:p w:rsidR="001751D3" w:rsidRDefault="001751D3" w:rsidP="001751D3"/>
    <w:p w:rsidR="001751D3" w:rsidRDefault="001751D3" w:rsidP="001751D3">
      <w:pPr>
        <w:pStyle w:val="EntradandiceAuto"/>
      </w:pPr>
      <w:r>
        <w:t>Sala Segunda. Auto 106/1992, de 22 de abril de 1992. Acordando haber lugar al desistimiento del actor en el recurso de amparo 2.531/1991, promovido en pleito civil.</w:t>
      </w:r>
      <w:r>
        <w:tab/>
      </w:r>
      <w:r>
        <w:tab/>
      </w:r>
      <w:r>
        <w:fldChar w:fldCharType="begin"/>
      </w:r>
      <w:r>
        <w:instrText xml:space="preserve"> PAGEREF AUTO_1992_106 \h </w:instrText>
      </w:r>
      <w:r>
        <w:fldChar w:fldCharType="separate"/>
      </w:r>
      <w:r w:rsidR="002964F1">
        <w:rPr>
          <w:noProof/>
        </w:rPr>
        <w:t>1075</w:t>
      </w:r>
      <w:r>
        <w:fldChar w:fldCharType="end"/>
      </w:r>
    </w:p>
    <w:p w:rsidR="001751D3" w:rsidRDefault="001751D3" w:rsidP="001751D3"/>
    <w:p w:rsidR="001751D3" w:rsidRDefault="001751D3" w:rsidP="001751D3">
      <w:pPr>
        <w:pStyle w:val="EntradandiceAuto"/>
      </w:pPr>
      <w:r>
        <w:t>Sala Segunda. Auto 107/1992, de 22 de abril de 1992. Denegando la suspensión de la ejecución del acto que origina el recurso de amparo 2.572/1991</w:t>
      </w:r>
      <w:r>
        <w:tab/>
      </w:r>
      <w:r>
        <w:tab/>
      </w:r>
      <w:r>
        <w:fldChar w:fldCharType="begin"/>
      </w:r>
      <w:r>
        <w:instrText xml:space="preserve"> PAGEREF AUTO_1992_107 \h </w:instrText>
      </w:r>
      <w:r>
        <w:fldChar w:fldCharType="separate"/>
      </w:r>
      <w:r w:rsidR="002964F1">
        <w:rPr>
          <w:noProof/>
        </w:rPr>
        <w:t>1076</w:t>
      </w:r>
      <w:r>
        <w:fldChar w:fldCharType="end"/>
      </w:r>
    </w:p>
    <w:p w:rsidR="001751D3" w:rsidRDefault="001751D3" w:rsidP="001751D3"/>
    <w:p w:rsidR="001751D3" w:rsidRDefault="001751D3" w:rsidP="001751D3">
      <w:pPr>
        <w:pStyle w:val="EntradandiceAuto"/>
      </w:pPr>
      <w:r>
        <w:t>Sección Cuarta. Auto 108/1992, de 22 de abril de 1992. Acordando la inadmisión a trámite del recurso de amparo 2.596/1991</w:t>
      </w:r>
      <w:r>
        <w:tab/>
      </w:r>
      <w:r>
        <w:tab/>
      </w:r>
      <w:r>
        <w:fldChar w:fldCharType="begin"/>
      </w:r>
      <w:r>
        <w:instrText xml:space="preserve"> PAGEREF AUTO_1992_108 \h </w:instrText>
      </w:r>
      <w:r>
        <w:fldChar w:fldCharType="separate"/>
      </w:r>
      <w:r w:rsidR="002964F1">
        <w:rPr>
          <w:noProof/>
        </w:rPr>
        <w:t>1077</w:t>
      </w:r>
      <w:r>
        <w:fldChar w:fldCharType="end"/>
      </w:r>
    </w:p>
    <w:p w:rsidR="001751D3" w:rsidRDefault="001751D3" w:rsidP="001751D3"/>
    <w:p w:rsidR="001751D3" w:rsidRDefault="001751D3" w:rsidP="001751D3">
      <w:pPr>
        <w:pStyle w:val="EntradandiceAuto"/>
      </w:pPr>
      <w:r>
        <w:t>Sala Segunda. Auto 109/1992, de 22 de abril de 1992. Acordando la suspensión parcial y condicionada de la ejecución del acto que origina el recurso de amparo 2.681/1991</w:t>
      </w:r>
      <w:r>
        <w:tab/>
      </w:r>
      <w:r>
        <w:tab/>
      </w:r>
      <w:r>
        <w:fldChar w:fldCharType="begin"/>
      </w:r>
      <w:r>
        <w:instrText xml:space="preserve"> PAGEREF AUTO_1992_109 \h </w:instrText>
      </w:r>
      <w:r>
        <w:fldChar w:fldCharType="separate"/>
      </w:r>
      <w:r w:rsidR="002964F1">
        <w:rPr>
          <w:noProof/>
        </w:rPr>
        <w:t>1081</w:t>
      </w:r>
      <w:r>
        <w:fldChar w:fldCharType="end"/>
      </w:r>
    </w:p>
    <w:p w:rsidR="001751D3" w:rsidRDefault="001751D3" w:rsidP="001751D3"/>
    <w:p w:rsidR="001751D3" w:rsidRDefault="001751D3" w:rsidP="001751D3">
      <w:pPr>
        <w:pStyle w:val="EntradandiceAuto"/>
      </w:pPr>
      <w:r>
        <w:t>Sala Primera. Auto 110/1992, de 27 de abril de 1992. Acordando la acumulación de los recursos de amparo 1.409/1989, 598/1991 y 2.007/1991</w:t>
      </w:r>
      <w:r>
        <w:tab/>
      </w:r>
      <w:r>
        <w:tab/>
      </w:r>
      <w:r>
        <w:fldChar w:fldCharType="begin"/>
      </w:r>
      <w:r>
        <w:instrText xml:space="preserve"> PAGEREF AUTO_1992_110 \h </w:instrText>
      </w:r>
      <w:r>
        <w:fldChar w:fldCharType="separate"/>
      </w:r>
      <w:r w:rsidR="002964F1">
        <w:rPr>
          <w:noProof/>
        </w:rPr>
        <w:t>1082</w:t>
      </w:r>
      <w:r>
        <w:fldChar w:fldCharType="end"/>
      </w:r>
    </w:p>
    <w:p w:rsidR="001751D3" w:rsidRDefault="001751D3" w:rsidP="001751D3"/>
    <w:p w:rsidR="001751D3" w:rsidRDefault="001751D3" w:rsidP="001751D3">
      <w:pPr>
        <w:pStyle w:val="EntradandiceAuto"/>
      </w:pPr>
      <w:r>
        <w:t>Sección Primera. Auto 111/1992, de 27 de abril de 1992. Acordando la inadmisión a trámite del recurso de amparo 2.723/1990</w:t>
      </w:r>
      <w:r>
        <w:tab/>
      </w:r>
      <w:r>
        <w:tab/>
      </w:r>
      <w:r>
        <w:fldChar w:fldCharType="begin"/>
      </w:r>
      <w:r>
        <w:instrText xml:space="preserve"> PAGEREF AUTO_1992_111 \h </w:instrText>
      </w:r>
      <w:r>
        <w:fldChar w:fldCharType="separate"/>
      </w:r>
      <w:r w:rsidR="002964F1">
        <w:rPr>
          <w:noProof/>
        </w:rPr>
        <w:t>1083</w:t>
      </w:r>
      <w:r>
        <w:fldChar w:fldCharType="end"/>
      </w:r>
    </w:p>
    <w:p w:rsidR="001751D3" w:rsidRDefault="001751D3" w:rsidP="001751D3"/>
    <w:p w:rsidR="001751D3" w:rsidRDefault="001751D3" w:rsidP="001751D3">
      <w:pPr>
        <w:pStyle w:val="EntradandiceAuto"/>
      </w:pPr>
      <w:r>
        <w:t>Sección Segunda. Auto 112/1992, de 27 de abril de 1992. Acordando la acumulación de los recursos de amparo 30/1991, 192/1991, 798/1991, 799/1991, 1.594/1991, 2.382/1991, 2.383/1991, 2.384/1991, 2.385/1991, 2.386/1991 y 2.387/1991</w:t>
      </w:r>
      <w:r>
        <w:tab/>
      </w:r>
      <w:r>
        <w:tab/>
      </w:r>
      <w:r>
        <w:fldChar w:fldCharType="begin"/>
      </w:r>
      <w:r>
        <w:instrText xml:space="preserve"> PAGEREF AUTO_1992_112 \h </w:instrText>
      </w:r>
      <w:r>
        <w:fldChar w:fldCharType="separate"/>
      </w:r>
      <w:r w:rsidR="002964F1">
        <w:rPr>
          <w:noProof/>
        </w:rPr>
        <w:t>1086</w:t>
      </w:r>
      <w:r>
        <w:fldChar w:fldCharType="end"/>
      </w:r>
    </w:p>
    <w:p w:rsidR="001751D3" w:rsidRDefault="001751D3" w:rsidP="001751D3"/>
    <w:p w:rsidR="001751D3" w:rsidRDefault="001751D3" w:rsidP="001751D3">
      <w:pPr>
        <w:pStyle w:val="EntradandiceAuto"/>
      </w:pPr>
      <w:r>
        <w:t>Sala Primera. Auto 113/1992, de 29 de abril de 1992. Denegando la suspensión de la ejecución del acto que origina el recurso de amparo 1.993/1991</w:t>
      </w:r>
      <w:r>
        <w:tab/>
      </w:r>
      <w:r>
        <w:tab/>
      </w:r>
      <w:r>
        <w:fldChar w:fldCharType="begin"/>
      </w:r>
      <w:r>
        <w:instrText xml:space="preserve"> PAGEREF AUTO_1992_113 \h </w:instrText>
      </w:r>
      <w:r>
        <w:fldChar w:fldCharType="separate"/>
      </w:r>
      <w:r w:rsidR="002964F1">
        <w:rPr>
          <w:noProof/>
        </w:rPr>
        <w:t>1087</w:t>
      </w:r>
      <w:r>
        <w:fldChar w:fldCharType="end"/>
      </w:r>
    </w:p>
    <w:p w:rsidR="001751D3" w:rsidRDefault="001751D3" w:rsidP="001751D3"/>
    <w:p w:rsidR="001751D3" w:rsidRDefault="001751D3" w:rsidP="001751D3">
      <w:pPr>
        <w:pStyle w:val="EntradandiceAuto"/>
      </w:pPr>
      <w:r>
        <w:t>Sección Segunda. Auto 114/1992, de 29 de abril de 1992. Acordando la inadmisión a trámite del recurso de amparo 541/1992</w:t>
      </w:r>
      <w:r>
        <w:tab/>
      </w:r>
      <w:r>
        <w:tab/>
      </w:r>
      <w:r>
        <w:fldChar w:fldCharType="begin"/>
      </w:r>
      <w:r>
        <w:instrText xml:space="preserve"> PAGEREF AUTO_1992_114 \h </w:instrText>
      </w:r>
      <w:r>
        <w:fldChar w:fldCharType="separate"/>
      </w:r>
      <w:r w:rsidR="002964F1">
        <w:rPr>
          <w:noProof/>
        </w:rPr>
        <w:t>1088</w:t>
      </w:r>
      <w:r>
        <w:fldChar w:fldCharType="end"/>
      </w:r>
    </w:p>
    <w:p w:rsidR="001751D3" w:rsidRDefault="001751D3">
      <w:r>
        <w:br w:type="page"/>
      </w:r>
    </w:p>
    <w:p w:rsidR="001751D3" w:rsidRDefault="001751D3" w:rsidP="00FE0907"/>
    <w:p w:rsidR="001751D3" w:rsidRDefault="001751D3" w:rsidP="00FE0907"/>
    <w:p w:rsidR="00FE0907" w:rsidRDefault="00FE0907" w:rsidP="00FE0907"/>
    <w:p w:rsidR="00FE0907" w:rsidRDefault="00FE0907" w:rsidP="00FE0907"/>
    <w:p w:rsidR="00FE0907" w:rsidRDefault="00FE0907" w:rsidP="00FE0907"/>
    <w:p w:rsidR="00FE0907" w:rsidRDefault="00FE0907" w:rsidP="00FE0907"/>
    <w:p w:rsidR="00FE0907" w:rsidRDefault="00FE0907" w:rsidP="00FE0907"/>
    <w:p w:rsidR="00FE0907" w:rsidRDefault="00FE0907" w:rsidP="00FE0907"/>
    <w:p w:rsidR="00FE0907" w:rsidRDefault="00FE0907" w:rsidP="00FE0907">
      <w:pPr>
        <w:pStyle w:val="CabeceraApartado"/>
      </w:pPr>
      <w:r>
        <w:t>SENTENCIAS</w:t>
      </w:r>
    </w:p>
    <w:p w:rsidR="00FE0907" w:rsidRDefault="00FE0907">
      <w:pPr>
        <w:rPr>
          <w:rFonts w:ascii="Times New Roman" w:eastAsia="Times New Roman" w:hAnsi="Times New Roman" w:cs="Times New Roman"/>
          <w:sz w:val="48"/>
          <w:szCs w:val="24"/>
          <w:lang w:eastAsia="es-ES"/>
        </w:rPr>
      </w:pPr>
      <w:r>
        <w:br w:type="page"/>
      </w:r>
    </w:p>
    <w:p w:rsidR="00FE0907" w:rsidRDefault="00FE0907" w:rsidP="00FE0907">
      <w:pPr>
        <w:pStyle w:val="TtuloResolucin"/>
      </w:pPr>
      <w:bookmarkStart w:id="4" w:name="SENTENCIA_1992_1"/>
      <w:r>
        <w:lastRenderedPageBreak/>
        <w:t>SENTENCIA 1/1992, de 13 de enero de 1992</w:t>
      </w:r>
    </w:p>
    <w:bookmarkEnd w:id="4"/>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ECLI:ES:TC:1992:1</w:t>
      </w:r>
    </w:p>
    <w:p w:rsidR="00FE0907" w:rsidRDefault="00FE0907" w:rsidP="00FE0907">
      <w:pPr>
        <w:pStyle w:val="SntesisDescriptiva"/>
      </w:pPr>
    </w:p>
    <w:p w:rsidR="00FE0907" w:rsidRDefault="00FE0907" w:rsidP="00FE0907">
      <w:pPr>
        <w:pStyle w:val="SntesisDescriptiva"/>
      </w:pPr>
      <w:r>
        <w:t>Recurso de amparo 795/1989. Contra Auto de la Audiencia Provincial de Barcelona declarando no haber lugar al recibimiento a prueba solicitado.</w:t>
      </w:r>
    </w:p>
    <w:p w:rsidR="00FE0907" w:rsidRDefault="00FE0907" w:rsidP="00FE0907">
      <w:pPr>
        <w:pStyle w:val="SntesisDescriptiva"/>
      </w:pPr>
    </w:p>
    <w:p w:rsidR="00FE0907" w:rsidRDefault="00FE0907" w:rsidP="00FE0907">
      <w:pPr>
        <w:pStyle w:val="SntesisAnaltica"/>
      </w:pPr>
      <w:r>
        <w:t>Vulneración del derecho a la tutela judicial efectiva: no admisión del recibimiento del juicio a prueba</w:t>
      </w:r>
    </w:p>
    <w:p w:rsidR="00FE0907" w:rsidRDefault="00FE0907" w:rsidP="00FE0907">
      <w:pPr>
        <w:pStyle w:val="SntesisAnaltica"/>
      </w:pPr>
    </w:p>
    <w:p w:rsidR="00FE0907" w:rsidRDefault="00FE0907" w:rsidP="00FE0907">
      <w:pPr>
        <w:pStyle w:val="Extracto"/>
      </w:pPr>
      <w:r>
        <w:t>1.</w:t>
      </w:r>
      <w:r>
        <w:tab/>
        <w:t>El escrito de demanda es el que delimita el objeto del recurso de amparo, que no cabe ampliar a actos diferentes en el trámite de alegaciones regulado por el art. 52.1 de la LOTC, porque éste tiene por objeto la delimitación y concreción del amparo solicitado pero no el de servir como vía de ampliación del recurso planteado [F.J. 2].</w:t>
      </w:r>
    </w:p>
    <w:p w:rsidR="00FE0907" w:rsidRDefault="00FE0907" w:rsidP="00FE0907">
      <w:pPr>
        <w:pStyle w:val="Extracto"/>
      </w:pPr>
    </w:p>
    <w:p w:rsidR="00FE0907" w:rsidRDefault="00FE0907" w:rsidP="00FE0907">
      <w:pPr>
        <w:pStyle w:val="Extracto"/>
      </w:pPr>
      <w:r>
        <w:t>2.</w:t>
      </w:r>
      <w:r>
        <w:tab/>
        <w:t>Según dijimos en la STC 89/1986, «la denegación de prueba puede ser protegida constitucionalmente también al amparo del art. 24.1. C.E., aunque en tal caso el examen ha de realizarse desde la sola perspectiva de la indefensión y por ello desde una visión global de la posibilidad que la parte ha tenido de ejercer sus derechos de defensa» [F.J. 3].</w:t>
      </w:r>
    </w:p>
    <w:p w:rsidR="00FE0907" w:rsidRDefault="00FE0907" w:rsidP="00FE0907">
      <w:pPr>
        <w:pStyle w:val="Extracto"/>
      </w:pPr>
    </w:p>
    <w:p w:rsidR="00FE0907" w:rsidRDefault="00FE0907" w:rsidP="00FE0907">
      <w:pPr>
        <w:pStyle w:val="Extracto"/>
      </w:pPr>
      <w:r>
        <w:t>3.</w:t>
      </w:r>
      <w:r>
        <w:tab/>
        <w:t>La interpretación excesivamente formalista de los preceptos procesales que regulan el recibimiento a prueba en segunda instancia para el declarado en rebeldía en la primera, y la inaplicación por el Tribunal del art. 862.1. L.E.C. que, en todo caso, permitía la práctica de las pruebas propuestas en el recurso de súplica, vulneran los derechos fundamentales garantizados para el recurrente en el art. 24.1 y 2 de la Constitución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795/89, interpuesto por don Antonio Garrido Martínez, representado por don José Sánchez Jaúregui y asistido de la Letrada doña Immaculada </w:t>
      </w:r>
      <w:r>
        <w:lastRenderedPageBreak/>
        <w:t>Manzanedo Gómez, contra el Auto dictado por la Sección Cuarta de la Audiencia Provincial de Barcelona el 3 de abril de 1989. Ha comparecido el Ministerio Fiscal. Fue Ponente el Magistrado don José Gabaldón López,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29 de abril de 1989 tuvo entrada en el registro de este Tribunal un escrito de don José Sánchez Jaúregui, Procurador de los Tribunales, quien en nombre y representación de don Antonio Garrido Martínez interpone recurso de amparo contra el Auto de la Sección Cuarta de la Audiencia Provincial de Barcelona de 3 de abril de 1989. Se invoca el art. 24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fundamenta en los siguientes antecedentes: </w:t>
      </w:r>
    </w:p>
    <w:p w:rsidR="00FE0907" w:rsidRDefault="00FE0907" w:rsidP="00FE0907">
      <w:pPr>
        <w:pStyle w:val="TextoNormal"/>
      </w:pPr>
      <w:r>
        <w:t xml:space="preserve">a) Don Antonio Garrido Martínez permaneció en rebeldía durante la sustanciación de la primera instancia del juicio de cognición seguido ante el Juzgado de Distrito núm. 1 de Barcelona, que terminó mediante Sentencia condenatoria para el mismo el 2 de noviembre de 1988. </w:t>
      </w:r>
    </w:p>
    <w:p w:rsidR="00FE0907" w:rsidRDefault="00FE0907" w:rsidP="00FE0907">
      <w:pPr>
        <w:pStyle w:val="TextoNormal"/>
      </w:pPr>
      <w:r>
        <w:t xml:space="preserve">b) Notificada la Sentencia y disconforme con su contenido, el demandante en amparo interpuso el correspondiente recurso de apelación en el que solicitó el recibimiento del juicio a prueba en la segunda instancia. </w:t>
      </w:r>
    </w:p>
    <w:p w:rsidR="00FE0907" w:rsidRDefault="00FE0907" w:rsidP="00FE0907">
      <w:pPr>
        <w:pStyle w:val="TextoNormal"/>
      </w:pPr>
      <w:r>
        <w:t xml:space="preserve">c) Mediante Auto de 15 de marzo de 1989, la Sección Cuarta de la Audiencia Provincial de Barcelona declaró no haber lugar al recibimiento de prueba solicitado "por no haber concretado la parte los medios de los que pretendía valerse a través de la oportuna proposición" pues para poder aplicar el apartado quinto del art. 862 de la L.E.C. "resulta imprescindible que quien solicita el recibimiento determine y proponga la que intenta hacer valer en la apelación". </w:t>
      </w:r>
    </w:p>
    <w:p w:rsidR="00FE0907" w:rsidRDefault="00FE0907" w:rsidP="00FE0907">
      <w:pPr>
        <w:pStyle w:val="TextoNormal"/>
      </w:pPr>
      <w:r>
        <w:t>d) Interpuesto por el solicitante de amparo recurso de súplica, en el que además se concretaron los medios probatorios de los que se pretendía su práctica, el mismo fue desestimado mediante Auto de 3 de Abril de 1989, al exigir los arts. 893 y 862, in fine, que los medios de prueba se formulen en el escrito de instrucción.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Contra esta última resolución judicial se interpone el presente recurso de amparo por presunta vulneración del art. 24 de la Constitución. El recurrente en amparo entiende que la interpretación del art. 862 de la L. E. C., efectuada por el órgano judicial, es restrictiva y lesiva del derecho a la tutela judicial efectiva, al exigir, para admitir el recibimiento del juicio a prueba en la segunda instancia cuando es solicitada por el que fue declarado rebelde en la primera, que se efectúe proposición de los medios de prueba de los que se pretende hacer valer en el mismo escrito en el que se solicita el recibimiento del juicio a prueba. </w:t>
      </w:r>
    </w:p>
    <w:p w:rsidR="00FE0907" w:rsidRDefault="00FE0907" w:rsidP="00FE0907">
      <w:pPr>
        <w:pStyle w:val="TextoNormal"/>
      </w:pPr>
      <w:r>
        <w:t>De acuerdo con ello, en la demanda de amparo se solicita la declaración de nulidad del Auto impugnado y que se declare haber lugar al recibimiento de prueba solicitado, a fin de que la Sección Cuarta de la Audiencia Provincial de Barcelona pase al estudio de la procedencia de los medios de prueba propuesto en el recurso de súplica interpuesto contra el Auto que denegó el recibimiento del juicio a prueba.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xml:space="preserve">. Por providencia de 2 de octubre de 1989, la Sala Segunda -Sección Tercera- de este Tribunal acordó conceder al solicitante de amparo y al Ministerio Fiscal un plazo común de diez días para que alegasen sobre la posible concurrencia de la causa de inadmisión regulada en el art. 50.1c) de la Ley Orgánica del Tribunal Constitucional (LOTC), consistente en carecer la demanda manifiestamente de contenido constitucional. </w:t>
      </w:r>
    </w:p>
    <w:p w:rsidR="00FE0907" w:rsidRDefault="00FE0907" w:rsidP="00FE0907">
      <w:pPr>
        <w:pStyle w:val="TextoNormal"/>
      </w:pPr>
      <w:r>
        <w:t xml:space="preserve">La representación del recurrente presentó escrito de alegaciones en el que concreta la vulneración denunciada en los párrafos primero y segundo del art. 24 de la Constitución, el primero en cuanto que sostiene el recurrente que el Auto impugnado le impide el acceso pleno a la jurisdicción mediante una interpretación de los arts. 862 y 893 que contradice claramente la efectividad del derecho del demandado declarado en rebeldía a que se reciba en segunda instancia el pleito a prueba. El apartado segundo del art. 24 de la Constitución habría sido vulnerado, a juicio del recurrente en amparo, en cuanto la resolución judicial desconoce el derecho del hoy solicitante de amparo a utilizar los medios pertinentes para su defensa. Estas dos vulneraciones denunciadas se ponen en conexión entre sí en cuanto que en último término afectan al derecho a obtener la tutela jurisdiccional de los derechos. </w:t>
      </w:r>
    </w:p>
    <w:p w:rsidR="00FE0907" w:rsidRDefault="00FE0907" w:rsidP="00FE0907">
      <w:pPr>
        <w:pStyle w:val="TextoNormal"/>
      </w:pPr>
      <w:r>
        <w:t>El Ministerio Fiscal formuló escrito de alegaciones en el que, tras efectuar un breve resumen de los hechos, pone de relieve la falta de concreción del derecho fundamental invocado en la demanda de amparo e invoca la STC 149/1987 y el ATC 563/1988 que entiende puede ser de aplicación al presente caso. Termina interesando la admisión de la demanda de amparo.</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providencia de 13 noviembre 1989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5 de febrero, la Sección acordó tener por recibidas las actuaciones remitidas por la Audiencia Provincial de Barcelona. </w:t>
      </w:r>
    </w:p>
    <w:p w:rsidR="00FE0907" w:rsidRDefault="00FE0907" w:rsidP="00FE0907">
      <w:pPr>
        <w:pStyle w:val="TextoNormal"/>
      </w:pPr>
      <w:r>
        <w:t>A tenor de lo dispuesto en el art. 52 de la LOTC, se concedió un plazo común de veinte días al Ministerio Fiscal y al Procurador don José Sánchez Jaúregui, para que con vista de las actuaciones pudieran presentar las alegaciones oportunas.</w:t>
      </w:r>
    </w:p>
    <w:p w:rsidR="00FE0907" w:rsidRDefault="00FE0907" w:rsidP="00FE0907">
      <w:pPr>
        <w:pStyle w:val="TextoNormal"/>
      </w:pPr>
    </w:p>
    <w:p w:rsidR="00FE0907" w:rsidRDefault="00FE0907" w:rsidP="00FE0907">
      <w:pPr>
        <w:pStyle w:val="TextoNormal"/>
      </w:pPr>
      <w:r w:rsidRPr="00FE0907">
        <w:rPr>
          <w:rStyle w:val="NumeroAFNegritaCaracter"/>
        </w:rPr>
        <w:t>7</w:t>
      </w:r>
      <w:r>
        <w:t>. La representación procesal del recurrente en el trámite de alegaciones previsto en el art. 52.1 de la LOTC reiteró las alegaciones efectuadas en la demanda de amparo e invocó una presunta vulneración del derecho a la tutela judicial efectiva por no haber sido citado ni emplazado personalmente en la primera instacia.</w:t>
      </w:r>
    </w:p>
    <w:p w:rsidR="00FE0907" w:rsidRDefault="00FE0907" w:rsidP="00FE0907">
      <w:pPr>
        <w:pStyle w:val="TextoNormal"/>
      </w:pPr>
    </w:p>
    <w:p w:rsidR="00FE0907" w:rsidRDefault="00FE0907" w:rsidP="00FE0907">
      <w:pPr>
        <w:pStyle w:val="TextoNormal"/>
      </w:pPr>
      <w:r w:rsidRPr="00FE0907">
        <w:rPr>
          <w:rStyle w:val="NumeroAFNegritaCaracter"/>
        </w:rPr>
        <w:t>8</w:t>
      </w:r>
      <w:r>
        <w:t>. El Fiscal ante el Tribunal Constitucional interesa se otorgue el amparo solicitado al considerar que el órgano judicial actuó con un excesivo rigor formalista en la interpretación y aplicación de las normas procesales ordenadoras del recibimiento a prueba en la segunda instancia, creando con esta interpretación un obstáculo innecesario para la efectividad del art. 24.1 de la Constitución.</w:t>
      </w:r>
    </w:p>
    <w:p w:rsidR="00FE0907" w:rsidRDefault="00FE0907" w:rsidP="00FE0907">
      <w:pPr>
        <w:pStyle w:val="TextoNormal"/>
      </w:pPr>
    </w:p>
    <w:p w:rsidR="00FE0907" w:rsidRDefault="00FE0907" w:rsidP="00FE0907">
      <w:pPr>
        <w:pStyle w:val="TextoNormal"/>
      </w:pPr>
      <w:r w:rsidRPr="00FE0907">
        <w:rPr>
          <w:rStyle w:val="NumeroAFNegritaCaracter"/>
        </w:rPr>
        <w:t>9</w:t>
      </w:r>
      <w:r>
        <w:t>. Mediante providencia de 10 de diciembre de 1991 se señaló para deliberación y fallo el día 13 de enero de 1992.</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Se impugna el Auto que, en apelación, denegó al recurrente, declarado rebelde en primera instancia, el recibimiento a prueba que solicitó en la segunda. La resolución se funda en no haberse propuesto los medios de prueba de los que intentaba valerse en el mismo escrito en que evacuó el trámite de instrucción conferido en el referido recurso de apelación que había interpuesto contra la Sentencia condenatoria.</w:t>
      </w:r>
    </w:p>
    <w:p w:rsidR="00FE0907" w:rsidRDefault="00FE0907" w:rsidP="00FE0907">
      <w:pPr>
        <w:pStyle w:val="TextoNormal"/>
      </w:pPr>
      <w:r>
        <w:t>La demanda funda su pretensión de amparo en la vulneración del art. 24 de la Constitución, genéricamente citado, aunque luego se matiza en el trámite de admisión y posteriores alegaciones y se concreta en éstas el fundamento de su queja en que la desestimación de su solicitud de recibimiento a prueba le impidió utilizar los medios pertinentes para su defensa y con ello ejercitar en plenitud el derecho a la tutela judicial efectiva, causándole indefensión.</w:t>
      </w:r>
    </w:p>
    <w:p w:rsidR="00FE0907" w:rsidRDefault="00FE0907" w:rsidP="00FE0907">
      <w:pPr>
        <w:pStyle w:val="TextoNormal"/>
      </w:pPr>
    </w:p>
    <w:p w:rsidR="00FE0907" w:rsidRDefault="00FE0907" w:rsidP="00FE0907">
      <w:pPr>
        <w:pStyle w:val="TextoNormal"/>
      </w:pPr>
      <w:r w:rsidRPr="00FE0907">
        <w:rPr>
          <w:rStyle w:val="NumeroAFNegritaCaracter"/>
        </w:rPr>
        <w:t>2</w:t>
      </w:r>
      <w:r>
        <w:t>. No puede pronunciarse este Tribunal en cuanto a otra anterior vulneración del derecho a la tutela judicial efectiva que habría tenido lugar en la primera instancia del juicio de cognición por falta de citación o emplazamiento personal al demandado.  Ésta no se alegó en la demanda de amparo, donde debió hacerse porque tal escrito es el que delimita el objeto de este recurso, que no cabe ampliar a actos diferentes en el trámite de alegaciones regulado por el art. 52.1 de la LOTC, porque éste tiene por objeto la delimitación y concreción del amparo solicitado, pero no el de servir como vía de ampliación del recurso planteado (SSTC 79/1982, 1974/85, 131/1986 y 96/1989, entre otras muchas).</w:t>
      </w:r>
    </w:p>
    <w:p w:rsidR="00FE0907" w:rsidRDefault="00FE0907" w:rsidP="00FE0907">
      <w:pPr>
        <w:pStyle w:val="TextoNormal"/>
      </w:pPr>
    </w:p>
    <w:p w:rsidR="00FE0907" w:rsidRDefault="00FE0907" w:rsidP="00FE0907">
      <w:pPr>
        <w:pStyle w:val="TextoNormal"/>
      </w:pPr>
      <w:r w:rsidRPr="00FE0907">
        <w:rPr>
          <w:rStyle w:val="NumeroAFNegritaCaracter"/>
        </w:rPr>
        <w:t>3</w:t>
      </w:r>
      <w:r>
        <w:t>. El recurrente en amparo centra su queja constitucional, como antes decimos, en los dos apartados del art. 24 del Texto constitucional.</w:t>
      </w:r>
    </w:p>
    <w:p w:rsidR="00FE0907" w:rsidRDefault="00FE0907" w:rsidP="00FE0907">
      <w:pPr>
        <w:pStyle w:val="TextoNormal"/>
      </w:pPr>
      <w:r>
        <w:t>Reiteradamente ha señalado el Tribunal la posible correlación entre la denegación de las pruebas y la indefensión (SSTC 51/1985, y 89/1986, entre otras muchas), señalándose en esta última que "la denegación de prueba puede ser protegida constitucionalmente también al amparo del art. 24.1 C.E., aunque en tal caso el examen ha de realizarse desde la sola perspectiva de la indefensión y por ello desde una visión global de la posibilidad que la parte ha tenido de ejercer sus derechos de defensa". En este caso la irregularidad consiste en que la decisión impugnada vedó íntegramente la práctica de prueba alguna en la segunda instancia, al desestimar la petición de recibimiento de quien había sido declarado en rebeldía en la primera y lo solicitaba al amparo del art. 862.1º de la Ley de Enjuiciamiento Civil para intentar demostrar que había pagado las cantidades que en el juicio se le reclamaban. Y puesto que se ha fundado el recurso tanto en la indefensión causada al faltar esas pruebas como en habérsele así impedido utilizar los medios pertinentes para su defensa, procede el examen separado de ambos argumentos.</w:t>
      </w:r>
    </w:p>
    <w:p w:rsidR="00FE0907" w:rsidRDefault="00FE0907" w:rsidP="00FE0907">
      <w:pPr>
        <w:pStyle w:val="TextoNormal"/>
      </w:pPr>
    </w:p>
    <w:p w:rsidR="00FE0907" w:rsidRDefault="00FE0907" w:rsidP="00FE0907">
      <w:pPr>
        <w:pStyle w:val="TextoNormal"/>
      </w:pPr>
      <w:r w:rsidRPr="00FE0907">
        <w:rPr>
          <w:rStyle w:val="NumeroAFNegritaCaracter"/>
        </w:rPr>
        <w:t>4</w:t>
      </w:r>
      <w:r>
        <w:t>. El Tribunal se fundó, para no recibir el juicio a prueba, en que el recurrente al solicitarlo en el escrito de instrucción, no concretó los medios de que intentaba valerse; entendió así impresincidible que en la solicitud de recibimiento se determinen y propongan las pruebas que se pretende ofrecer en la apelación y este argumento lo completó al resolver la súplica señalando que los arts. 893 y 862, in fine, exigen que los medios de prueba se formulen en el escrito de instrucción. Pero esta es una interpretación que dota a los preceptos citados de un alcance del que los mismos carecen y puede desvirtuar el especial tratamiento que la Ley otorga al rebelde comparecido, no sólo en general sino en relación pre</w:t>
      </w:r>
      <w:r>
        <w:lastRenderedPageBreak/>
        <w:t>cisamente con el trámite probatorio.  Lejos, pues, de llevar a cabo una interpretación favorable a la utilización de los medios de prueba necesarios para su defensa y de que no pudo valerse en la primera instancia, aquellas resoluciones hicieron de hecho aplicación extensiva de la prescripción del art. 707, que se refiere solamente al juicio de menor cuantía, mientras que ni el art. 862.5º ni el 767 (ambos específicos para el declarado en rebeldía) ni tampoco el 860 o el 863, de aplicación general según el 899, exigen aquella proposición concreta sino solamente que se alegue "la causa que justifique esta pretensión" o que sean" de hecho las cuestiones que se discuten", siempre con el designio de otorgar al rebelde un trato favorable, como resulta del 862, in fine. Al margen de la correción o no en el plano de la legalidad ordinaria, dicha interpretación adquiere relevancia constitucional porque configura, con formalismo excesivo, un requisito impeditivo para la práctica de la prueba por el rebelde en contra de la idea general favorable a sus posibilidades de defensa que se desprende de los preceptos citados e incluso de la posible subsanación de una omisión formal, ya que de hecho no se le permitió así la práctica de la prueba que estimaba necesaria para fundar su oposición a la demanda.</w:t>
      </w:r>
    </w:p>
    <w:p w:rsidR="00FE0907" w:rsidRDefault="00FE0907" w:rsidP="00FE0907">
      <w:pPr>
        <w:pStyle w:val="TextoNormal"/>
      </w:pPr>
      <w:r>
        <w:t>No se puede, pues, calificar de proporcionada la consecuencia que otorgó el órgano judicial -no admitir el recibimiento del juicio a prueba- al error procesal que imputaba a la parte, consistente en la no especificación en el escrito de instrucción de la prueba de los medios probatorios de los que pretendía valerse. Trátase aquí, en suma -como se dijo en la STC 157/1989-, "de no convertir los requisitos procesales en obstáculos que en sí mismos constituyan impedimentos para que la tutela judicial sea efectiva, sino que su exigencia responda a la verdadera finalidad de los mismos, esto es: la ordenación del proceso en garantía de los derechos de las partes". Doctrina aplicable al caso puesto que era posible, como se ha visto, una interpretación de esos preceptos más ajustada al derecho configurado en el art.  24.2 C.E. y que, por otra parte, no obsta (como es obligado) a la facultad jurisdiccional de calificación y admisión de las pruebas según su pertinencia, como se desprende del inciso final del art.  862.5º.</w:t>
      </w:r>
    </w:p>
    <w:p w:rsidR="00FE0907" w:rsidRDefault="00FE0907" w:rsidP="00FE0907">
      <w:pPr>
        <w:pStyle w:val="TextoNormal"/>
      </w:pPr>
    </w:p>
    <w:p w:rsidR="00FE0907" w:rsidRDefault="00FE0907" w:rsidP="00FE0907">
      <w:pPr>
        <w:pStyle w:val="TextoNormal"/>
      </w:pPr>
      <w:r w:rsidRPr="00FE0907">
        <w:rPr>
          <w:rStyle w:val="NumeroAFNegritaCaracter"/>
        </w:rPr>
        <w:t>5</w:t>
      </w:r>
      <w:r>
        <w:t>. Cierto es, por otra parte, que el art. 863 L.E.C., interpretado para el rebelde con la amplitud que deriva (en cuanto a su núm. 2º) de no haber tenido ninguna posibilidad en primera instancia de aportar clase alguna de documentos, no hubiera impedido, pese a la denegación del recibimiento a prueba, la práctica de la de confesión y la documental que fueron las propuestas por el ahora recurrente en su escrito de súplica.  Mas no hay constancia de que sólo por dejación de la parte no llegaran a practicarse, y sí por el contrario resalta que el Tribunal en su Sentencia no hizo mención ni menos valoración alguna de los documentos aportados con aquel escrito contra el Auto aquí recurrido. Ello, por consiguiente, extiende la cuestión a la vulneración del otro derecho fundamental invocado, puesto que la falta de práctica de esas pruebas, posible en todo caso, puede haber producido indefensión, en cuanto lo que con ellas pretendía demostrar el condenado en rebeldía era haber satisfecho las cantidades que se le reclamaban.</w:t>
      </w:r>
    </w:p>
    <w:p w:rsidR="00FE0907" w:rsidRDefault="00FE0907" w:rsidP="00FE0907">
      <w:pPr>
        <w:pStyle w:val="TextoNormal"/>
      </w:pPr>
      <w:r>
        <w:t>Este Tribunal se ha pronunciado en numerosas ocasiones sobre lo que constituye la esencia de la indefensión, o sea la limitación de los medios de defensa producida por una indebida actuación de los órganos judiciales, o, en otras palabras, aquella situación en la que la actuación judicial impide a una parte, en el curso del proceso, el ejercicio del derecho de defensa privándole de las facultades de alegar y, en su caso, de justificar sus derechos e intereses para que le sean reconocidos o para replicar dialécticamente las posiciones contrarias, en aplicación del indispensable principio de contradicción (SSTC 89/1986, 112/1987, 114/1988, 6/1990, entre otras). Es claro que no toda infracción de normas pro</w:t>
      </w:r>
      <w:r>
        <w:lastRenderedPageBreak/>
        <w:t>cesales cometida por los órganos judiciales determina la indefensión constitucionalmente prohibida por el art.  24.1 de la Constitución (ATC 1110/1986). Pero a ello hay que agregar que la garantía del art. 24.2, del derecho de defensa, consiste en que las pruebas pertinentes propuestas sean admitidas y practicadas por el Juez o Tribunal y al haber sido constitucionalizado impone una nueva perspectiva y una sensibilidad mayor en relación con las normas procesales atinentes a ello, de suerte que deban los Tribunales de justicia proveer a la satisfacción de tal derecho, sin desconocerlo ni obstaculizarlo (STC 30/1986).</w:t>
      </w:r>
    </w:p>
    <w:p w:rsidR="00FE0907" w:rsidRDefault="00FE0907" w:rsidP="00FE0907">
      <w:pPr>
        <w:pStyle w:val="TextoNormal"/>
      </w:pPr>
    </w:p>
    <w:p w:rsidR="00FE0907" w:rsidRDefault="00FE0907" w:rsidP="00FE0907">
      <w:pPr>
        <w:pStyle w:val="TextoNormal"/>
      </w:pPr>
      <w:r w:rsidRPr="00FE0907">
        <w:rPr>
          <w:rStyle w:val="NumeroAFNegritaCaracter"/>
        </w:rPr>
        <w:t>6</w:t>
      </w:r>
      <w:r>
        <w:t>. Despréndese de todo lo dicho que la interpretación excesivamente formalista de los preceptos procesales que regulan el recibimiento a prueba en segunda instancia para el declarado en rebeldía en la primera, y la inaplicación por el Tribunal del que, en todo caso, permitía la práctica de las pruebas que en el recurso de súplica se propusieron, vulneraron los derechos fundamentales garantizados para el recurrente en el art. 24.1 y 2 de la Constitución y exigen por ello su restablecimiento, mediante la estimación del recurso.</w:t>
      </w:r>
    </w:p>
    <w:p w:rsidR="00FE0907" w:rsidRDefault="00FE0907" w:rsidP="00FE0907">
      <w:pPr>
        <w:pStyle w:val="TextoNormal"/>
      </w:pPr>
    </w:p>
    <w:p w:rsidR="00FE0907" w:rsidRDefault="00FE0907" w:rsidP="00FE0907">
      <w:pPr>
        <w:pStyle w:val="TextoNormal"/>
      </w:pPr>
      <w:r w:rsidRPr="00FE0907">
        <w:rPr>
          <w:rStyle w:val="NumeroAFNegritaCaracter"/>
        </w:rPr>
        <w:t>7</w:t>
      </w:r>
      <w:r>
        <w:t>. El art. 55.1a) establece que la Sentencia otorgando el amparo, a más de invalidar el acto o resolución que hubiese impedido el ejercicio del derecho o libertad protegidos, determinará en su caso la extensión de sus efectos. Esta determinación se hace necesaria en el caso presente puesto que si fué en los actos recurridos (Autos de 15 de marzo y 3 de abril de 1989) donde se produjo el obstáculo para el ejercicio del derecho fundamental invocado, con posterioridad a ellos y sobre todo a la interposición de este recurso (29 de abril de 1989) se dictó la Sentencia desestimatora de la apelación (31 de mayo de 1989) en la cual venía a concretarse la lesión del referido derecho fundamental, tal como más atrás indicamos. El recurrente al formular su escrito de alegaciones (20 de octubre de 1989) ya señaló esta circunstancia y pidió también la nulidad de la Sentencia recaída entretanto.</w:t>
      </w:r>
    </w:p>
    <w:p w:rsidR="00FE0907" w:rsidRDefault="00FE0907" w:rsidP="00FE0907">
      <w:pPr>
        <w:pStyle w:val="TextoNormal"/>
      </w:pPr>
      <w:r>
        <w:t>Por lo tanto, y aunque no se haya articulado inicialmente el recurso contra esa Sentencia, sí debe considerarse ampliado en relación con la misma como consecuencia de los autos que se invalidan y acordarse por ello su nulidad.</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interpuesto por don Antonio Garrido Martínez y :</w:t>
      </w:r>
    </w:p>
    <w:p w:rsidR="00FE0907" w:rsidRDefault="00FE0907" w:rsidP="00FE0907">
      <w:pPr>
        <w:pStyle w:val="TextoNormal"/>
      </w:pPr>
      <w:r>
        <w:t>1º. Reconocer el derecho del recurrente a la tutela judicial efectiva.</w:t>
      </w:r>
    </w:p>
    <w:p w:rsidR="00FE0907" w:rsidRDefault="00FE0907" w:rsidP="00FE0907">
      <w:pPr>
        <w:pStyle w:val="TextoNormal"/>
      </w:pPr>
      <w:r>
        <w:t>2º. Declarar la nulidad del Auto de la Sección Cuarta de la Audiencia Provincial de Barcelona de 3 de abril de 1989, así como la del anterior de 15 de marzo que desestimó la solicitud de recibimiento a prueba y de la Sentencia recaída en la apelación el 31 de mayo de 1989.</w:t>
      </w:r>
    </w:p>
    <w:p w:rsidR="00FE0907" w:rsidRDefault="00FE0907" w:rsidP="00FE0907">
      <w:pPr>
        <w:pStyle w:val="TextoNormal"/>
      </w:pPr>
      <w:r>
        <w:t>3º. Reponer las actuaciones judiciales al momento en que se proveyó a esta solicitud.</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trece de enero de mil novecientos noventa y dos.</w:t>
      </w:r>
    </w:p>
    <w:p w:rsidR="00FE0907" w:rsidRDefault="00FE0907">
      <w:pPr>
        <w:rPr>
          <w:rFonts w:ascii="Times New Roman" w:eastAsia="Times New Roman" w:hAnsi="Times New Roman" w:cs="Times New Roman"/>
          <w:sz w:val="24"/>
          <w:szCs w:val="24"/>
          <w:lang w:eastAsia="es-ES"/>
        </w:rPr>
      </w:pPr>
      <w:r>
        <w:lastRenderedPageBreak/>
        <w:br w:type="page"/>
      </w:r>
    </w:p>
    <w:p w:rsidR="00FE0907" w:rsidRDefault="00FE0907" w:rsidP="00FE0907">
      <w:pPr>
        <w:pStyle w:val="TtuloResolucin"/>
      </w:pPr>
      <w:bookmarkStart w:id="5" w:name="SENTENCIA_1992_2"/>
      <w:r>
        <w:lastRenderedPageBreak/>
        <w:t>SENTENCIA 2/1992, de 13 de enero de 1992</w:t>
      </w:r>
    </w:p>
    <w:bookmarkEnd w:id="5"/>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ECLI:ES:TC:1992:2</w:t>
      </w:r>
    </w:p>
    <w:p w:rsidR="00FE0907" w:rsidRDefault="00FE0907" w:rsidP="00FE0907">
      <w:pPr>
        <w:pStyle w:val="SntesisDescriptiva"/>
      </w:pPr>
    </w:p>
    <w:p w:rsidR="00FE0907" w:rsidRDefault="00FE0907" w:rsidP="00FE0907">
      <w:pPr>
        <w:pStyle w:val="SntesisDescriptiva"/>
      </w:pPr>
      <w:r>
        <w:t>Recurso de amparo 1.406/1989. Contra Sentencia del Tribunal Central de Trabajo.</w:t>
      </w:r>
    </w:p>
    <w:p w:rsidR="00FE0907" w:rsidRDefault="00FE0907" w:rsidP="00FE0907">
      <w:pPr>
        <w:pStyle w:val="SntesisDescriptiva"/>
      </w:pPr>
    </w:p>
    <w:p w:rsidR="00FE0907" w:rsidRDefault="00FE0907" w:rsidP="00FE0907">
      <w:pPr>
        <w:pStyle w:val="SntesisAnaltica"/>
      </w:pPr>
      <w:r>
        <w:t>Vulneración del derecho a la igualdad ante la Ley: tratamiento diferenciado del trabajador por concurrencia de relación familiar con el empleador</w:t>
      </w:r>
    </w:p>
    <w:p w:rsidR="00FE0907" w:rsidRDefault="00FE0907" w:rsidP="00FE0907">
      <w:pPr>
        <w:pStyle w:val="SntesisAnaltica"/>
      </w:pPr>
    </w:p>
    <w:p w:rsidR="00FE0907" w:rsidRDefault="00FE0907" w:rsidP="00FE0907">
      <w:pPr>
        <w:pStyle w:val="Extracto"/>
      </w:pPr>
      <w:r>
        <w:t>1.</w:t>
      </w:r>
      <w:r>
        <w:tab/>
        <w:t>Según doctrina de este Tribunal (por todas, STC 175/1990), el silencio del órgano judicial respecto a alguna de las cuestiones suscitadas por las partes puede resultar ajustado a las exigencias del art. 24.1 C.E. cuando, atendidas las circunstancias del caso, pueda ser razonablemente interpretado como desestimación tácita de la argumentación esgrimida por el litigante [F.J. 2].</w:t>
      </w:r>
    </w:p>
    <w:p w:rsidR="00FE0907" w:rsidRDefault="00FE0907" w:rsidP="00FE0907">
      <w:pPr>
        <w:pStyle w:val="Extracto"/>
      </w:pPr>
    </w:p>
    <w:p w:rsidR="00FE0907" w:rsidRDefault="00FE0907" w:rsidP="00FE0907">
      <w:pPr>
        <w:pStyle w:val="Extracto"/>
      </w:pPr>
      <w:r>
        <w:t>2.</w:t>
      </w:r>
      <w:r>
        <w:tab/>
        <w:t>El Estatuto de los Trabajadores, si bien considera globalmente que los «trabajos familiares» son ajenos al contrato de trabajo, no impide de forma radical que los familiares lo establezcan entre sí. En este sentido, su art.   1. 3 e) excluye de su ámbito de aplicación los «trabajos familiares», considerando como tales los prestados por determinados familiares del empresario -entre ellos, el cónyuge- siempre que convivan con aquél; sin embargo, el precepto no es de aplicación cuando «se demuestre la condición de asalariados de quienes los llevan a cabo» [F.J. 3].</w:t>
      </w:r>
    </w:p>
    <w:p w:rsidR="00FE0907" w:rsidRDefault="00FE0907" w:rsidP="00FE0907">
      <w:pPr>
        <w:pStyle w:val="Extracto"/>
      </w:pPr>
    </w:p>
    <w:p w:rsidR="00FE0907" w:rsidRDefault="00FE0907" w:rsidP="00FE0907">
      <w:pPr>
        <w:pStyle w:val="Extracto"/>
      </w:pPr>
      <w:r>
        <w:t>3.</w:t>
      </w:r>
      <w:r>
        <w:tab/>
        <w:t>La imposibilidad de que una persona pueda encontrarse de alta en la Seguridad Social en razón exclusivamente de la existencia de un vínculo matrimonial con el empleador para el que presta sus servicios resulta contraria al art. 14 C.E.; la aplicación literal del art. 7.2 (en su  antigua redacción) de la Ley General de la Seguridad Social conduce a una absoluta desprotección por parte de la Seguridad Social de quien, sin  embargo, puede concluir, al amparo de la legislación laboral, un contrato de  trabajo, ya  que tal resultado es manifiestamente desproporcionado respecto a  la  finalidad perseguida por la norma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1.406/89, interpuesto por doña Paz Navarro Aguilar y don Ignacio Falcó Naval, representados por doña Isabel Cañedo Vega y asistidos del Letrado don Modesto Gracia Arque contra Sentencia de la Sala Cuarta del Tribunal Central de Trabajo, de 14 de abril de 1989. Ha sido parte el Instituto Nacional de la Seguridad Social representado por don Carlos Zulueta Cebrián y asistido del Letrado don Enrique Suñer Ruano y ha intervenido el Ministerio Fiscal. Ha sido Ponente el Magistrado don Alvaro Rodríguez Bereijo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el 14 de julio de 1989 en el Registro de este Tribunal, doña Isabel Cañedo Vega, Procuradora de los Tribunales, interpuso, en nombre y representación de doña Paz Navarro Aguilar y don Ignacio Falcó Naval, recurso de amparo contra Sentencia de la Sala Cuarta del Tribunal Central de Trabajo de 14 de abril de 1989.</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relata, en síntesis, los siguientes antecedentes: </w:t>
      </w:r>
    </w:p>
    <w:p w:rsidR="00FE0907" w:rsidRDefault="00FE0907" w:rsidP="00FE0907">
      <w:pPr>
        <w:pStyle w:val="TextoNormal"/>
      </w:pPr>
      <w:r>
        <w:t xml:space="preserve">a) Los ahora recurrentes recibieron sendos Acuerdos de la Tesorería General de la Seguridad Social por los que se situaba de baja en trámite de oficio a doña Paz Navarro Alguilar, afiliada en el Régimen General desde el 11 de diciembre de 1978 como trabajadora de la empresa "Ignacio Falcó Naval". Tal decisión se adoptaba en aplicación del art. 7.2 de la Ley General de la Seguridad Social (LGSS), por haber contraído matrimonio ésta última con el titular de la empresa. </w:t>
      </w:r>
    </w:p>
    <w:p w:rsidR="00FE0907" w:rsidRDefault="00FE0907" w:rsidP="00FE0907">
      <w:pPr>
        <w:pStyle w:val="TextoNormal"/>
      </w:pPr>
      <w:r>
        <w:t xml:space="preserve">b) El 11 de julio de 1985 los recurrentes interpusieron reclamación previa contra estos Acuerdos alegando que el art. 1.3 e) del Estatuto de los Trabajadores posibilita la existencia de relación laboral del cónyuge, por lo que había de entenderse derogado en este punto el art. 7.2 LGSS (Disposición final tercera del Estatuto de los Trabajadores). La reclamación previa fue desestimada por Resoluciones de la Tesorería Territorial de la Seguridad Social de Zaragoza de 24 de julio de 1985. </w:t>
      </w:r>
    </w:p>
    <w:p w:rsidR="00FE0907" w:rsidRDefault="00FE0907" w:rsidP="00FE0907">
      <w:pPr>
        <w:pStyle w:val="TextoNormal"/>
      </w:pPr>
      <w:r>
        <w:t xml:space="preserve">c) Entablado proceso ante la jurisdicción social, se dictó por la Magistratura de Trabajo núm. 4 de Zaragoza Sentencia de 13 de febrero de 1986 que estimaba las demandas, anulando y dejando sin efecto la baja de oficio en el Régimen General de doña Paz Navarro Aguilar. La decisión de la Magistratura se fundamenta en la derogación implícita del art. 7.2 de la Ley General de la Seguridad Social por el Estatuto de los Trabajadores. </w:t>
      </w:r>
    </w:p>
    <w:p w:rsidR="00FE0907" w:rsidRDefault="00FE0907" w:rsidP="00FE0907">
      <w:pPr>
        <w:pStyle w:val="TextoNormal"/>
      </w:pPr>
      <w:r>
        <w:t xml:space="preserve">d) La Tesorería de la Seguridad Social interpuso recurso de suplicación ante el Tribunal Central de Trabajo. En él se denunciaba la infracción del art. 7.2 LGSS, norma que se consideraba vigente, por lo que había de afirmarse la imposibilidad de que el cónyuge del empresario pueda estar afiliado a la Seguridad Social aunque trabaje para éste. Por su parte, en el escrito de impugnación, los ahora recurrentes destacaban la correcta aplicación del Derecho realizada por la Sentencia de instancia y también la inconstitucionalidad del art. 7.2 de la Ley General de la Seguridad Social al discriminarse a una persona, en contra de lo establecido en el art. 14 C.E., por el hecho de contraer matrimonio. La existencia de discriminación aparecía más evidente a la vista de que mientras en el Régimen General se excluye al cónyuge "en el Régimen de Autónomos está obligatoriamente incluído en dicho Régimen de acuerdo con el art. 3 b) del Real Decreto 24 de octubre de 1980". </w:t>
      </w:r>
    </w:p>
    <w:p w:rsidR="00FE0907" w:rsidRDefault="00FE0907" w:rsidP="00FE0907">
      <w:pPr>
        <w:pStyle w:val="TextoNormal"/>
      </w:pPr>
      <w:r>
        <w:lastRenderedPageBreak/>
        <w:t>e) El recurso de suplicación interpuesto por el INSS fue estimado por Sentencia de la Sala Cuarta del Tribunal Central de Trabajo de 14 de abril de 1989. El Tribunal Central, sobre la base de que "la exclusión de la afiliación de un cónyuge como trabajador al servicio del otro ha sido constante en nuestra legislación sobre Seguridad Social y así, tanto el art. 5 del Decreto de 4 de junio de 1959 sobre seguros sociales unificados, como el art. 62.2 de la Ley General de la Seguridad Social de 21 de abril de 1966, el art. 3.2 de la Orden de 28 de diciembre de 1966 y el art. 7.2 del actual texto articulado de la Ley de Seguridad Social de 30 de mayo de 1974", revocó la Sentencia de instancia y desestimó las demandas de los ahora recurrentes.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la demanda de amparo, dirigida formalmente contra esta última Sentencia del Tribunal Central de Trabajo, se invocan los arts. 24.1 y 14 C.E. </w:t>
      </w:r>
    </w:p>
    <w:p w:rsidR="00FE0907" w:rsidRDefault="00FE0907" w:rsidP="00FE0907">
      <w:pPr>
        <w:pStyle w:val="TextoNormal"/>
      </w:pPr>
      <w:r>
        <w:t xml:space="preserve">a) La vulneración del derecho a la tutela judicial efectiva sin indefensión resulta de la aparición de incongruencia constitucionalmente relevante. Según los recurrentes, "el debate en el proceso se produjo sustancial y primordialmente como dice el único fundamento de la Sentencia de instancia en torno a la colisión del art. 1.3 e) del Estatuto de los Trabajadores y 7.2 de la Ley General de la Seguridad Social". Sin embargo, el Tribunal Central de Trabajo limita su argumentación a la de que en la legislación sobre Seguridad Social se establece que no se considerará núnca como asalariado del empresario a su cónyuge y prohibe la afiliación de éste. No entra, por ello, "en la controversia del pleito planteado ya desde la vía administrativa". No se trata, pues, de que el Tribunal Central de Trabajo sostenga una tesis distinta a la del Magistrado respecto de la colisión de normas sino que ignora "por completo" el problema. Y en ello radica la lesión del derecho fundamental. </w:t>
      </w:r>
    </w:p>
    <w:p w:rsidR="00FE0907" w:rsidRDefault="00FE0907" w:rsidP="00FE0907">
      <w:pPr>
        <w:pStyle w:val="TextoNormal"/>
      </w:pPr>
      <w:r>
        <w:t xml:space="preserve">b) El art. 14 C.E. garantiza, en segundo lugar, la igualdad de trato, sin que pueda prevalecer discriminación alguna por razón de sexo o cualquier circunstancia personal o social como el matrimonio. Así, el art. 7.1 de la Ley General de la Seguridad Social incluye en el sistema de Seguridad Social a "todos los españoles cualquiera que sea su sexo, estado civil y profesión". Sin embargo, el art. 7.2 de la misma Ley excluye de la "consideración" de trabajador al cónyuge del empresario cuando trabaja para éste, apareciendo con ello una discriminación por razón de estado civil, sobre todo en un caso como el de la codemandante en el que se ha privado de la Seguridad Social a quien venía prestando servicios con anterioridad al matrimonio. El carácter discriminatorio del art. 7.2 LGSS aparece más evidente en la medida en que la exclusión del cónyuge sólo se produce en el Régimen General y no en el Régimen Especial de trabajadores autónomos en el que el cónyuge del titular de la explotación sí puede estar incluído (art. 3.2 Decreto 2.530/1970). </w:t>
      </w:r>
    </w:p>
    <w:p w:rsidR="00FE0907" w:rsidRDefault="00FE0907" w:rsidP="00FE0907">
      <w:pPr>
        <w:pStyle w:val="TextoNormal"/>
      </w:pPr>
      <w:r>
        <w:t xml:space="preserve">c) La discriminación denunciada ha de entenderse superada por el Estatuto de los Trabajadores que permite la relación laboral entre cónyuges [art. 1.3.e)], cuya cláusula derogatoria ha de afectar al art. 7.2 de la Ley General de la Seguridad Social. La propia normativa reciente de Seguridad Social -como demuestra el art. 25 del Real Decreto 1.258/1987- admite, bien que con ciertas especialidades formales, la afiliación y el alta de los "familiares del empresario". En fin, el art. 7.2 LGSS aparece contrario al Derecho comunitario europeo cuyas directivas sobre aplicación del principio de igualdad de trato entre hombres y mujeres en materia de Seguridad Social imponen que el cónyuge del trabajador no asalariado que participe significativamente en la actividad de éste puede devengar derechos propios en materia de Seguridad Social. </w:t>
      </w:r>
    </w:p>
    <w:p w:rsidR="00FE0907" w:rsidRDefault="00FE0907" w:rsidP="00FE0907">
      <w:pPr>
        <w:pStyle w:val="TextoNormal"/>
      </w:pPr>
      <w:r>
        <w:t xml:space="preserve">La demanda de amparo termina solicitando la concesión del amparo con anulación de la Sentencia impugnada así como su suspensión durante la tramitación, por poder causar, </w:t>
      </w:r>
      <w:r>
        <w:lastRenderedPageBreak/>
        <w:t>en caso contrario, graves efectos sobre la trabajadora codemandante -que queda privada de la protección de la Seguridad Social-.</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En providencia de 2 de octubre de 1989, la Sección Cuarta de este Tribunal acordó poner de manifiesto la posible existencia de la causa de inadmisibilidad del art. 50.1 c) LOTC y, conforme a lo dispuesto en el art. 50.3 de la citada Ley Orgánica, conceder plazo común de diez días a los solicitantes de amparo y al Ministerio Fiscal para la formulación de las alegaciones que estimasen pertinentes. </w:t>
      </w:r>
    </w:p>
    <w:p w:rsidR="00FE0907" w:rsidRDefault="00FE0907" w:rsidP="00FE0907">
      <w:pPr>
        <w:pStyle w:val="TextoNormal"/>
      </w:pPr>
      <w:r>
        <w:t xml:space="preserve">En sus alegaciones, los solicitantes de amparo afirman que la demanda no carece en absoluto de contenido que justifique su admisión. Tras reiterar la cita de diversos pronunciamientos de este Tribunal sobre incongruencia con relevancia constitucional, se alude a "las Sentencias sobre viudedad o del impuesto sobre la renta" en relación con la posible inconstitucionalidad del art. 7.2 de la Ley General de la Seguridad Social por discriminatoria en razón del estado civil. </w:t>
      </w:r>
    </w:p>
    <w:p w:rsidR="00FE0907" w:rsidRDefault="00FE0907" w:rsidP="00FE0907">
      <w:pPr>
        <w:pStyle w:val="TextoNormal"/>
      </w:pPr>
      <w:r>
        <w:t>Por su parte, el Ministerio Fiscal interesa la inadmisión de la demanda. A su juicio, no existe incongruencia: el Tribunal Central de Trabajo resolvió conforme a la Ley, aunque no contestara a los argumentos expuestos por la parte. No hay, en consecuencia, lesión del art. 24.1 C.E. que garantiza la satisfacción fundada de pretensiones y no necesariamente la contestación a todas las alegaciones. En relación con la invocada lesión del principio de igualdad, el Ministerio Fiscal señala la STC 109/1988 cuya doctrina implica que no sea discriminatorio tomar en consideración la situación personal del trabajador con respecto al empresario en los casos en que medie una relación de parentesco. La circunstancia de que en el Régimen de Autónomos la solución sea distinta no implica tampoco discriminación contraria al art. 14 C.E. al no caber, según la jurisprudencia constitucional, la comparación entre regímenes de Seguridad Social distintos. En fin, la derogación del art. 7.2 de la Ley General de la Seguridad Social por el Estatuto de los Trabajadores es cuestión de estricta legalidad ordinaria y ajena, por tanto, a la competencia del Tribunal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providencia de 13 de noviembre de 1989, la referida Sección acordó incorporar al presente proceso los escritos presentados en el incidente del art. 50.3 LOTC y admitir a trámite la demanda de amparo. En consecuencia, en aplicación del art. 51 LOTC, acordó asimismo solicitar a los órganos judiciales intervinientes en los autos la remisión de certificación o copia adverada de las actuaciones, así como la práctica de los emplazamientos procedentes.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otra providencia de la misma fecha, la Sección acordó, conforme a lo dispuesto en el art. 56.2 LOTC, formar pieza separada de suspensión, concediendo plazo común de tres días a los solicitantes de amparo y al Ministerio Fiscal para la formulación de alegaciones. </w:t>
      </w:r>
    </w:p>
    <w:p w:rsidR="00FE0907" w:rsidRDefault="00FE0907" w:rsidP="00FE0907">
      <w:pPr>
        <w:pStyle w:val="TextoNormal"/>
      </w:pPr>
      <w:r>
        <w:t>Realizadas éstas, la Sala Segunda dictó Auto, de 11 de diciembre de 1989, en el que acordaba la suspensión de la ejecución de la Sentencia del Tribunal Central de Trabajo de 14 de abril de 1989.</w:t>
      </w:r>
    </w:p>
    <w:p w:rsidR="00FE0907" w:rsidRDefault="00FE0907" w:rsidP="00FE0907">
      <w:pPr>
        <w:pStyle w:val="TextoNormal"/>
      </w:pPr>
    </w:p>
    <w:p w:rsidR="00FE0907" w:rsidRDefault="00FE0907" w:rsidP="00FE0907">
      <w:pPr>
        <w:pStyle w:val="TextoNormal"/>
      </w:pPr>
      <w:r w:rsidRPr="00FE0907">
        <w:rPr>
          <w:rStyle w:val="NumeroAFNegritaCaracter"/>
        </w:rPr>
        <w:t>7</w:t>
      </w:r>
      <w:r>
        <w:t>. Por escrito presentado el 22 de diciembre de 1989, don Carlos de Zulueta Cebrián se personó en las actuaciones en nombre del Instituto Nacional de la Seguridad Social.</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Por providencia de 22 de enero de 1990, la Sección Cuarta acordó acusar recibo de las actuaciones remitidas por los órganos judiciales, tener por personado al Instituto Nacional de la Seguridad Social así como, de conformidad con lo dispuesto en el art. 52 LOTC, dar vista de las actuaciones recibidas a las partes personadas y al Ministerio Fiscal, al objeto de que formularan las alegaciones que estimasen oportunas.</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Los solicitantes de amparo dan por reproducidos los argumentos contenidos en la demanda, añadiendo algunos datos normativos. De un lado, se alude a la Disposición adicional decimocuarta del Real Decreto Ley 7/1989, de 29 de diciembre, sobre medidas urgentes en materia presupuestaria, financiera y tributaria; precepto que ha modificado el art. 7.2 de la Ley General de la Seguridad Social en el sentido de permitir que el cónyuge del empresario pueda ser considerado trabajador por cuenta ajena si acredita esta condición. En definitiva, la controversia objeto del proceso, que no mereció ni siquiera una leve referencia en la Sentencia del Tribunal Central de Trabajo, ha quedado resuelta a favor de la tesis de las recurrentes "al suprimirse la discriminación del cónyuge del art. 7.2 LGSS". </w:t>
      </w:r>
    </w:p>
    <w:p w:rsidR="00FE0907" w:rsidRDefault="00FE0907" w:rsidP="00FE0907">
      <w:pPr>
        <w:pStyle w:val="TextoNormal"/>
      </w:pPr>
      <w:r>
        <w:t>De otra parte, afirman los recurrentes que esta modificación debía haberse entendido producida con anterioridad ya que el Tribunal Central de Trabajo no tenía que haber aplicado una norma -el art. 7.2 de la Ley General de la Seguridad Social en su primitiva redacción- contraria al art. 14 C.E. y a la Directiva CEE 79/7, de 19 de diciembre de 1978. Esta última en su art. 4, establece que "el principio de igualdad de trato supondrá la ausencia de toda discriminación por razón de sexo, ya sea directa o indirectamente, en especial con relación al estado matrimonial o familar, particularmente en lo relativo al ámbito de aplicación de los regímenes de Seguridad Social y las condiciones de acceso a los mismos". Esta Directiva, según su art. 8º, debía haberse cumplimentado en seis años desde su notificación; por tanto, "el 31 de diciembre de 1984 como máximo el Gobierno tenía que haber modificado el ya citado art. 7.2 y el Tribunal Central de Trabajo no tenía que haber aplicado este derecho en contra del Derecho comunitario europeo y la Constitución".</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La representación del Instituto Nacional de la Seguridad Social se opone a la concesión del amparo. Es claro, a su juicio, que la Sentencia impugnada no ha infringido el art. 24.1 C.E. El principio de congruencia exige la existencia de "correspondencia" entre las pretensiones de la parte y el fallo. Y, en este caso, el Tribunal Central de Trabajo lo ha respetado toda vez que "no ha concedido más de lo pedido, no ha omitido la decisión sobre cuestiones planteadas, no ha resuelto lo que no fue objeto del debate, ni, mucho menos, ha cambiado los elementos reales o pesonales". Ciertamente, el T.C.T. "no alude expresamente al problema de la posible derogación de la Ley General de la Seguridad Social por el Estatuto de los Trabajadores en lo que respecta al punto controvertido". Sin embargo, "ese silencio judicial no impica un olvido del asunto debatido, sino que, muy al contrario, el Tribunal ha estimado tácitamente que no se ha producido la derogación pretendida por los recurrentes". </w:t>
      </w:r>
    </w:p>
    <w:p w:rsidR="00FE0907" w:rsidRDefault="00FE0907" w:rsidP="00FE0907">
      <w:pPr>
        <w:pStyle w:val="TextoNormal"/>
      </w:pPr>
      <w:r>
        <w:t xml:space="preserve">Tampoco puede admitirse que la Sentencia impugnada haya lesionado el principio de igualdad. Es evidente, en primer término, que el art. 7.2 de la Ley General de la Seguridad Social "no establece desigualdad por razón de estado civil". El precepto "no discrimina en relación con la afiliación al Régimen General de la Seguridad Social atendiendo a la circunstancia del estado civil en sí mismo, al serle indiferente que el interesado haya o no contraído matrimonio". Lo que trata de evitar es "el alta indiferenciada en la Seguridad Social del cónyuge del empresario, al objeto de evitar posibles situaciones fraudulentas". </w:t>
      </w:r>
      <w:r>
        <w:lastRenderedPageBreak/>
        <w:t>Esta conclusión no viene alterada por la comparación que se pretende establecer entre el Régimen Especial de Trabajadores Autónomos. Con arreglo a doctrina constitucional reiterada, no pueden establecerse comparaciones entre situaciones diferentes. Pues bien, siendo claramente diferentes los regímenes jurídicos previstos para distintos tipos de trabajadores (STC 56/1988), sus diferentes regímenes de protección no pueden ser comparados para fundar la existencia de desigualdad contraria al art. 14 C.E. (STC 103/1982), sin perjuicio de que la equiparación pueda ser socialmente deseable (STC 27/1988).</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El Ministerio Fiscal interesa, en fin, que se otorgue el amparo. Es claro que no existe incongruencia contraria al art. 24.1 C.E. ya que, con arreglo a la jurisprudencia constitucional (SSTC 168/1987 o 48/1989), ésta requiere la "modificación sustancial de los términos en que se planteó el debate", y no sólo la falta de contestación "a todos los argumentos expuestos por dicha parte". Sin embargo, a pesar de su anterior informe contrario a la admisión, el Ministerio Fiscal entiende que concurre lesión del derecho de igualdad. </w:t>
      </w:r>
    </w:p>
    <w:p w:rsidR="00FE0907" w:rsidRDefault="00FE0907" w:rsidP="00FE0907">
      <w:pPr>
        <w:pStyle w:val="TextoNormal"/>
      </w:pPr>
      <w:r>
        <w:t>De entrada, señala la existencia de una clara "divergencia" entre el Estatuto de los Trabajadores y la Ley General de la Seguridad Social. Si en el primero "se presume que el cónyuge no es asalariado por cuenta ajena, salvo que demuestre lo contrario", la Ley General de la Seguridad Social establece una presunción iuris et de iure. Esta circunstancia "coloca en evidente situación de desprotección a los trabajadores que se encuentren en semejante situación" lo que supone la apreciación de una diferencia exclusivamente por razón del matrimonio que puede lesionar el derecho del art. 14 C.E. Ciertamente, el TC, en Sentencia 109/1988, ha afirmado que "el parentesco no puede considerarse un factor discriminatorio si se le relaciona con la finalidad que persigue la norma" y que "el parentesco y los trabajos familiares ponen de manifiesto una diferente situación real entre los unidos por tales vínculos respecto de los que no lo están". Sin embargo, tales afirmaciones imponen examinar la finalidad del art. 7.2 de la Ley General de la Seguridad Social para comprobar si el mandato normativo es necesario para el logro de la finalidad perseguida y, por lo tanto, proporcionado a la misma. Pues bien, para el Ministerio Fiscal, el art. 7.2 de la Ley General de la Seguridad Social va más lejos en sus restricciones que el Estatuto de los Trabajadores sin que exista fundamento para ello. "Es evidente que si una persona se encuentra trabajando por cuenta ajena y, en un momento dado, contrae matrimonio con el titular de la empresa y continua efectuando después su trabajo... el Legislador podrá presumir que la situación familiar ha modificado las condiciones de trabajo, y ello justificará las diferencias que introduzca". Quizá pueda exigirse que se acredite la continuidad del trabajo pero "prohibir la prueba en ese sentido es tanto como afirmar que por el hecho de contraer matrimonio, y sólo por esa circunstan cia, los trabajadores necesariamente realizan un trabajo distinto de los demás". Quedan, por ello, desprotegidos pues ni pueden obtener el alta en el Régimen Especial de Trabajadores Autónomos -si no reunen los requisitos legales [art. 7.1 b) Ley General de la Seguridad Social]- ni pueden mantenerse en el Régimen General, a pesar de ser asalariados. La literalidad del art. 7.2 de la citada Ley supone, pues, una diferencia por razón de matrimonio lesiva del art. 14 C.E. De ahí que sea preciso realizar una interpretación de aquél conforme a las exigencias de la Constitución. A tenor de esta interpretación el cónyuge que trabajaba para su consorte quedará excluído del Régimen General, salvo que acredite su condición de asalariado.</w:t>
      </w:r>
    </w:p>
    <w:p w:rsidR="00FE0907" w:rsidRDefault="00FE0907" w:rsidP="00FE0907">
      <w:pPr>
        <w:pStyle w:val="TextoNormal"/>
      </w:pPr>
    </w:p>
    <w:p w:rsidR="00FE0907" w:rsidRDefault="00FE0907" w:rsidP="00FE0907">
      <w:pPr>
        <w:pStyle w:val="TextoNormal"/>
      </w:pPr>
      <w:r w:rsidRPr="00FE0907">
        <w:rPr>
          <w:rStyle w:val="NumeroAFNegritaCaracter"/>
        </w:rPr>
        <w:t>12</w:t>
      </w:r>
      <w:r>
        <w:t>. Mediante providencia de 10 de octubre de 1991 se señaló para deliberación y fallo el día 13 de enero de 1992.</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Según resulta de los hechos declarados probados en la vía judicial previa, la codemandante doña Paz Navarro Aguilar venía trabajando desde diciembre de 1978 en la empresa del otro codemandante don Ignacio Falcó Naval, un despacho de Abogados del que este último es cotitular. En razón de esta prestación de servicios, se encontraba en alta en el Régimen General de la Seguridad Social.  Sin embargo, en junio de 1985, la Tesorería Territorial de la Seguridad Social de Zaragoza acordó de oficio, en aplicación del art. 7.2 de la Ley General de la Seguridad Social, darla de baja en el Régimen General con efectos del 31 de julio de 1983, fecha en la que los recurrentes contrajeron matrimonio.  Desestimadas sus reclamaciones previas por Resoluciones de 24 de julio de 1985, los solicitantes de amparo interpusieron demanda ante la jurisdicción social que dió lugar a la Sentencia de la Magistratura de Trabajo núm. 4 de Zaragoza, de 13 de febrero de 1986.  Para el Magistrado de Trabajo, el art.  7.2 de la Ley General de la Seguridad Social -cuya redación original impedía considerar al cónyuge del empresario, ocupado en centro de trabajo de éste y conviviendo en su hogar y a su cargo, como trabajador por cuenta ajena a efectos de Seguridad Social- había de entenderse derogado "implícitamente" por el art. 1.3 e) del Estatuto de los Trabajadores -que, aunque excluye los trabajos familiares del ámbito laboral, permite considerar al cónyuge del empresario como trabajador por su cuenta siempre que acredite su condición de asalariado-. En consecuencia, el Magistrado, tras declarar que la codemandante continuaba ostentando la condición de asalariada en la empresa de su cónyuge, estimó la demanda anulando la baja que había sido acordada por el Entidad gestora.</w:t>
      </w:r>
    </w:p>
    <w:p w:rsidR="00FE0907" w:rsidRDefault="00FE0907" w:rsidP="00FE0907">
      <w:pPr>
        <w:pStyle w:val="TextoNormal"/>
      </w:pPr>
      <w:r>
        <w:t>Interpuesto recurso de suplicación por esta última, recayó Sentencia de la Sala Cuarta del Tribunal Central de Trabajo, de 14 de abril de 1989. En ella, tras rechazarse la revisión de hechos probados propuesta por la Entidad gestora -por referirse "a precisiones sobre datos que ya están suficientemente expuestos en la Sentencia de instancia"-, el Tribunal Central acoge su argumentación jurídica y revoca el pronunciamiento de la Magistratura.  Para la Sala, el art. 7.2 de la Ley General de la Seguridad Social -en línea con lo preceptuado en otras normas anteriores- establece que "no se considerará nunca como asalariado del empresario a su cónyuge" por lo que la Sentencia de instancia, al sostener una solución distinta infringió tal precepto.</w:t>
      </w:r>
    </w:p>
    <w:p w:rsidR="00FE0907" w:rsidRDefault="00FE0907" w:rsidP="00FE0907">
      <w:pPr>
        <w:pStyle w:val="TextoNormal"/>
      </w:pPr>
    </w:p>
    <w:p w:rsidR="00FE0907" w:rsidRDefault="00FE0907" w:rsidP="00FE0907">
      <w:pPr>
        <w:pStyle w:val="TextoNormal"/>
      </w:pPr>
      <w:r w:rsidRPr="00FE0907">
        <w:rPr>
          <w:rStyle w:val="NumeroAFNegritaCaracter"/>
        </w:rPr>
        <w:t>2</w:t>
      </w:r>
      <w:r>
        <w:t>. Dos son las lesiones de derechos fundamenales que los demandantes de amparo imputan a la Sentencia del Tribunal Central de Trabajo. En primer lugar, la vulneración del art. 24.1 C.E., que se habría producido al "ignorar por completo" el órgano judicial la controversia que se había establecido entre las partes lo que generaría, a su juicio, incongruencia lesiva del derecho fundamental a la tutela judicial efectiva sin que se produzca indefensión.  En todo momento, el debate procesal había girado en torno a la posible colisión entre los arts. 1.3 e) del Estatuto de los Trabajadores y 7.2 de la Ley General de la Seguridad Social que era "el único punto condicionante del fallo".  Sin embargo, el Tribunal Central de Trabajo no dedica siquiera una "leve referencia" a esta cuestión, limitándose a aplicar el último de los preceptos.</w:t>
      </w:r>
    </w:p>
    <w:p w:rsidR="00FE0907" w:rsidRDefault="00FE0907" w:rsidP="00FE0907">
      <w:pPr>
        <w:pStyle w:val="TextoNormal"/>
      </w:pPr>
      <w:r>
        <w:t>Sin embargo, resulta evidente que la Sentencia impugnada no lesiona ninguno de los derechos fundamentales consagrados en el art. 24.1 C.E. De entrada, no ha alterado en modo alguno el objeto del debate procesal sino que, antes al contrario, da respuesta preci</w:t>
      </w:r>
      <w:r>
        <w:lastRenderedPageBreak/>
        <w:t>samente a la cuestión que había sido suscitada por los demandantes en la vía previa: si era o no procedente la baja en el Régimen General acordada de oficio por la Entidad gestora.  Por otra parte, la cuestión planteada se ha resuelto, aunque en sentido contrario al interés de los ahora recurrentes, de forma suficientemente motivada. Es cierto, como estos argumentan, que la sala sentenciadora no ha entrado expresamente en la controversia suscitada en la instancia respecto a la subsistencia o derogación implícita tras la promulgación del Estatuto de los Trabajadores del art. 7.2 de la Ley General de la Seguridad Social en lo que se refiere al cónyuge. Mas no por ello la Sentencia impugnada aparece contraria a la tutela judicial efectiva.  Las exigencias de motivación que el art. 24.1 C.E. impone a las resoluciones judiciales no implican necesariamente una contestación expresa a todas y cada una de las alegaciones vertidas por las partes a lo largo del proceso.  Por el contrario, según doctrina de este Tribunal (por todas, STC 175/1990), el silencio del órgano judicial respecto a alguna de las cuestiones suscitadas por las partes puede resultar ajustado a las exigencias del art.  24.1 C.E. cuando, atendidas las circunstancias del caso, pueda ser razonablemente interpretado como desestimación tácita de la argumentación esgrimida por el litigante. Esto es lo que ocurre precisamente en el presente caso ya que, como señalan tanto la representación del INSS como el Ministerio Fiscal, de la aplicación literal del art. 7.2 de la Ley General de la Seguridad Social al supuesto controvertido se deduce de forma inmediata que el Tribunal Central de Trabajo ha rechazado implícitamente la tesis de su derogación sostenida tanto por la Sentencia de instancia como por los recurrentes en el trámite de la suplicación.</w:t>
      </w:r>
    </w:p>
    <w:p w:rsidR="00FE0907" w:rsidRDefault="00FE0907" w:rsidP="00FE0907">
      <w:pPr>
        <w:pStyle w:val="TextoNormal"/>
      </w:pPr>
    </w:p>
    <w:p w:rsidR="00FE0907" w:rsidRDefault="00FE0907" w:rsidP="00FE0907">
      <w:pPr>
        <w:pStyle w:val="TextoNormal"/>
      </w:pPr>
      <w:r w:rsidRPr="00FE0907">
        <w:rPr>
          <w:rStyle w:val="NumeroAFNegritaCaracter"/>
        </w:rPr>
        <w:t>3</w:t>
      </w:r>
      <w:r>
        <w:t>. La segunda vulneración constitucional se refiere al derecho a la igualdad ante la Ley del art. 14 C.E., que se entiende producida al impedirse por la Sentencia impugnada que la codemandante continúe en el Régimen General de la Seguridad Social después de contraer matrimonio con su empleador y sin posibilidad de acreditar la existencia de un contrato de trabajo entre ellos.  Obviamente, esta lesión habría de imputarse en realidad a la Resolución de la Entidad Gestora que acordó de oficio la baja y, en último término, al art. 7.2 de la Ley General de la Seguridad Social en su antigua redacción, cuya aplicación literal en sede administrativa y jurisdiccional ha producido el resultado discriminatorio que se reputa contrario al derecho a la igualdad.  De ahí que la argumentación de los solicitantes de amparo se dirija a discutir la adecuación entre el art.  7.2 LGSS, en su redacción original y por lo que se refiere al cónyuge del empresario, y el art. 14 C.E.  En este mismo plano se mueven las alegaciones de la Entidad Gestora y el Ministerio Fiscal.</w:t>
      </w:r>
    </w:p>
    <w:p w:rsidR="00FE0907" w:rsidRDefault="00FE0907" w:rsidP="00FE0907">
      <w:pPr>
        <w:pStyle w:val="TextoNormal"/>
      </w:pPr>
      <w:r>
        <w:t xml:space="preserve">Es claro que la primitiva redacción de aquel precepto establece una diferencia de trato entre el trabajador subordinado al servicio de su cónyuge y los demás trabajadores, incluídos aquéllos, como pueden ser otros parientes cercanos del empresario, cuya posición puede materialmente asemejarse.  En efecto, si los trabajadores por cuenta ajena han de ser afiliados y dados de alta en el Régimen correspondiente de la Seguridad Social, el art. 7.2 de la Ley General de la Seguridad Social, en su redacción original, dificulta la afiliación de determinados parientes de un empresario "ocupados en su centro o centros de trabajo, cuando convivan en su hogar y estén a su cargo" e impide radicalmente la del cónyuge -y la de los hijos sometidos a patria potestad-.  Los primeros quedan afectados por una presunción iuris tantum en su contra de modo que no serán considerados trabajadores subordinados a efectos de Seguridad Social salvo que acrediten reunir esta condición; el cónyuge y los hijos sometidos a patria potestad no serán núnca considerados trabajadores por cuenta ajena en el terreno de la Seguridad Social toda vez que, respecto de ellos, el art. 7.2 de la Ley General de la Seguridad Social establece una presunción iuris et de iure en ese </w:t>
      </w:r>
      <w:r>
        <w:lastRenderedPageBreak/>
        <w:t>sentido.  Hay que tener en cuenta, por otra parte, que el Estatuto de los Trabajadores, si bien considera globalmente que los "trabajos familiares" son ajenos al contrato de trabajo, no impide de forma radical que los familiares lo establezcan entre si.  En este sentido, su art. 1.3 e) excluye de su ámbito de aplicación los "trabajos familiares", considerando como tales los prestados por determinados familiares del empresario -entre ellos, el cónyuge- siempre que convivan con aquél; sin embargo, el precepto no es de aplicación cuando "se demuestre la condición de asalariados de quienes los llevan a cabo".</w:t>
      </w:r>
    </w:p>
    <w:p w:rsidR="00FE0907" w:rsidRDefault="00FE0907" w:rsidP="00FE0907">
      <w:pPr>
        <w:pStyle w:val="TextoNormal"/>
      </w:pPr>
    </w:p>
    <w:p w:rsidR="00FE0907" w:rsidRDefault="00FE0907" w:rsidP="00FE0907">
      <w:pPr>
        <w:pStyle w:val="TextoNormal"/>
      </w:pPr>
      <w:r w:rsidRPr="00FE0907">
        <w:rPr>
          <w:rStyle w:val="NumeroAFNegritaCaracter"/>
        </w:rPr>
        <w:t>4</w:t>
      </w:r>
      <w:r>
        <w:t>. No puede ocultarse, pues, que el art. 7.2 de la Ley General de la Seguridad Social implica una diferencia de trato de situaciones aparentemente iguales. En su virtud, un trabajador por cuenta ajena -como puede llegar a serlo el cónyuge a tenor del art.  1.3 e) del Estatuto de los Trabajadores- recibirá un tratamiento distinto en materia de Seguridad Social que el resto de los trabajadores en razón única y exclusivamente del vínculo matrimonial.  Habrá, por ello, que determinar si la diferenciación establecida por esta causa se ajusta o no a las exigencias del art. 14 C.E.</w:t>
      </w:r>
    </w:p>
    <w:p w:rsidR="00FE0907" w:rsidRDefault="00FE0907" w:rsidP="00FE0907">
      <w:pPr>
        <w:pStyle w:val="TextoNormal"/>
      </w:pPr>
      <w:r>
        <w:t>Ciertamente, la concurrencia de una relación familiar con otra de carácter laboral permite al Legislador el establecimiento de particularidades en el régimen de esta última sin que, por esta sola circunstancia, se viole el derecho fundamental a la igualdad.  Como ya se dijo en la STC 109/1988, "no hay entre parientes del empleador y personas ajenas a todo vínculo familiar situaciones equivalentes que permitan una comparación". Y ello, en atención a que la existencia de relaciones familiares puede evidenciar una "diferente situación real" entre los unidos por tales vínculos y los que no lo están.  Ahora bien, como señala el Ministerio Fiscal, esta constatación no basta para excluir la existencia de violación del principio de igualdad. Se hace preciso además examinar la finalidad perseguida por la norma diferenciadora para comprobar si esta última es proporcionada a aquélla o, por el contrario, excede de lo razonable.  Así, las SSTC 79/1991 y 92/1991 han excluído que toda diferencia de trato en materia de Seguridad Social basada en las relaciones de tipo familiar existentes entre empresario y trabajador resulte conforme a las exigencias del principio de igualdad.  Por el contrario, ambas han insistido en que la relación familiar subyacente sólo permite justificar aquellas diferencias que resulten razonables a la luz del conjunto del ordenamiento.</w:t>
      </w:r>
    </w:p>
    <w:p w:rsidR="00FE0907" w:rsidRDefault="00FE0907" w:rsidP="00FE0907">
      <w:pPr>
        <w:pStyle w:val="TextoNormal"/>
      </w:pPr>
      <w:r>
        <w:t>Estas consideraciones, llevan a concluir que la imposibilidad de que una persona pueda encontrarse de alta en la Seguridad Social en razón exclusivamente de la existencia de un vínculo matrimonial con el empleador para el que presta sus servicios resulta contraria al art. 14 C.E.  Como ocurría en los supuestos resueltos en las SSTC 79/1991 y 92/1991, ello no resulta coherente con el conjunto del ordenamiento jurídico toda vez que, lo mismo que entonces acontecía, la aplicación literal del art. 7.2 de la Ley General de la Seguridad Social conduce a una absoluta desprotección por parte de la Seguridad Social de quien, sin embargo, puede concluir, al amparo de la legislación laboral, un contrato de trabajo. El resultado es, además, manifiestamente desproporcionado respecto a la finalidad perseguida por la norma. Si ésta se fundamenta en la diferente situación real que puede existir en la prestación de trabajos familiares, lo cierto es que el resultado que produce va más allá de tal fundamento pues no se limita a endurecer los requisitos de inclusión en el sistema sino que pasa directamente a ignorar la posible existencia real de la relación de prestación de servicios, impidiéndose de modo absoluto el acceso a la Seguridad Social. En este último sentido, conviene tener en cuenta que la codemandante, a pesar de que efectivamente presta servicios no puede acceder, por ministerio del art. 7.2 de la Ley General de la Seguridad Social, al Régimen General ni, en aplicación del art. 3 b) del Decreto 2.530/1970, al Espe</w:t>
      </w:r>
      <w:r>
        <w:lastRenderedPageBreak/>
        <w:t>cial de Autónomos -al quedar acreditada la condición de laborales de aquellos servicios-. De otra parte, si como señala el INSS, la finalidad del precepto es evitar el "alta indiferenciada" al objeto de impedir "situaciones fraudulentas" de "compra de pensiones", es claro que el art. 7.2 de la Ley General de la Seguridad Social introduce una medida que la excede ampliamente.  Tal finalidad puede justificar la exigencia de determinada actividad probatoria por parte del interesado en la inclusión -en línea con lo exigido en el art. 1.3 e) del Estatuto de los Trabajadores y en la actual redacción del art. 7.2 de la repetida Ley-, pero nunca la radical y absoluta expulsión del sistema de quien resulta ser un trabajador subordinado.</w:t>
      </w:r>
    </w:p>
    <w:p w:rsidR="00FE0907" w:rsidRDefault="00FE0907" w:rsidP="00FE0907">
      <w:pPr>
        <w:pStyle w:val="TextoNormal"/>
      </w:pPr>
    </w:p>
    <w:p w:rsidR="00FE0907" w:rsidRDefault="00FE0907" w:rsidP="00FE0907">
      <w:pPr>
        <w:pStyle w:val="TextoNormal"/>
      </w:pPr>
      <w:r w:rsidRPr="00FE0907">
        <w:rPr>
          <w:rStyle w:val="NumeroAFNegritaCaracter"/>
        </w:rPr>
        <w:t>5</w:t>
      </w:r>
      <w:r>
        <w:t>. Resulta evidente, por todo ello, que se ha lesionado el derecho a la igualdad ante la Ley de la codemandante. A diferencia de la Sentencia de la Magistratura, la Entidad Gestora primero y el Tribunal Central de Trabajo después han excluído a la codemandante de la protección del Régimen General. Y lo han hecho de forma automática, a través de una aplicación mecánica del art.  7.2 de la Ley General de la Seguridad Social, sin atender a los interesados en su intento de acreditar la existencia de un contrato de trabajo entre ellos.  Se impone por ello otorgar el amparo solicitado, con anulación de la Sentencia del Tribunal Central de Trabajo. No será preciso, sin embargo, devolver las actuaciones toda vez que, en suplicación, la Entidad gestora no ha discutido la existencia del contrato de trabajo entre los codemandantes -afirmada por la Sentencia de instancia- sino simplemente, aparte de datos fácticos irrelevantes, la legalidad de aquel pronunciamiento.  Por lo demás, la modificación del art. 7.2 de la Ley General de la Seguridad Social por el Real Decreto-Ley 7/1989 (Disposición adicional decimocuarta) recogida, posteriormente, en la Ley 5/1990 (Disposición adicional undécima) hace innecesario que la Sala dé cumplimiento a lo previsto en el art.  55.2 LOTC, ante todo por tratarse de una norma preconstitucional cuya contradicción con la Constitución puede ser apreciada directamente por esta Sala y además tampoco es necesario dotar de efectos erga omnes a esta declaración toda vez que los efectos lesivos de la igualdad que en su redacción anterior podía originar el citado precepto legal han desaparecido con la nueva redacción dada al mismo.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y, en su virtud:</w:t>
      </w:r>
    </w:p>
    <w:p w:rsidR="00FE0907" w:rsidRDefault="00FE0907" w:rsidP="00FE0907">
      <w:pPr>
        <w:pStyle w:val="TextoNormal"/>
      </w:pPr>
      <w:r>
        <w:t>1º Restablecer a doña Paz Navarro Aguilar en su derecho a la igualdad.</w:t>
      </w:r>
    </w:p>
    <w:p w:rsidR="00FE0907" w:rsidRDefault="00FE0907" w:rsidP="00FE0907">
      <w:pPr>
        <w:pStyle w:val="TextoNormal"/>
      </w:pPr>
      <w:r>
        <w:t>2º Anular la Sentencia de la Sala Cuarta del Tribunal Central de Trabajo, de 14 de abril de 1989, recaída en el recurso de suplicación núm. 1.773/86.</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trece de enero de mil novencientos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 w:name="SENTENCIA_1992_3"/>
      <w:r>
        <w:lastRenderedPageBreak/>
        <w:t>SENTENCIA 3/1992, de 13 de enero de 1992</w:t>
      </w:r>
    </w:p>
    <w:bookmarkEnd w:id="6"/>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ECLI:ES:TC:1992:3</w:t>
      </w:r>
    </w:p>
    <w:p w:rsidR="00FE0907" w:rsidRDefault="00FE0907" w:rsidP="00FE0907">
      <w:pPr>
        <w:pStyle w:val="SntesisDescriptiva"/>
      </w:pPr>
    </w:p>
    <w:p w:rsidR="00FE0907" w:rsidRDefault="00FE0907" w:rsidP="00FE0907">
      <w:pPr>
        <w:pStyle w:val="SntesisDescriptiva"/>
      </w:pPr>
      <w:r>
        <w:t>Recurso de amparo 1.564/1989. Contra Autos del Juzgado de Instrucción núm. 26 de Madrid en relación con la prisión provisional de la recurrente en amparo.</w:t>
      </w:r>
    </w:p>
    <w:p w:rsidR="00FE0907" w:rsidRDefault="00FE0907" w:rsidP="00FE0907">
      <w:pPr>
        <w:pStyle w:val="SntesisDescriptiva"/>
      </w:pPr>
    </w:p>
    <w:p w:rsidR="00FE0907" w:rsidRDefault="00FE0907" w:rsidP="00FE0907">
      <w:pPr>
        <w:pStyle w:val="SntesisAnaltica"/>
      </w:pPr>
      <w:r>
        <w:t>Supuesta vulneración de los derechos a la tutela judicial efectiva y a la libertad</w:t>
      </w:r>
    </w:p>
    <w:p w:rsidR="00FE0907" w:rsidRDefault="00FE0907" w:rsidP="00FE0907">
      <w:pPr>
        <w:pStyle w:val="SntesisAnaltica"/>
      </w:pPr>
    </w:p>
    <w:p w:rsidR="00FE0907" w:rsidRDefault="00FE0907" w:rsidP="00FE0907">
      <w:pPr>
        <w:pStyle w:val="Extracto"/>
      </w:pPr>
      <w:r>
        <w:t>1.</w:t>
      </w:r>
      <w:r>
        <w:tab/>
        <w:t>Este Tribunal ha afirmado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la posibilidad de recurrir sería ilimitada [F.J. 3].</w:t>
      </w:r>
    </w:p>
    <w:p w:rsidR="00FE0907" w:rsidRDefault="00FE0907" w:rsidP="00FE0907">
      <w:pPr>
        <w:pStyle w:val="Extracto"/>
      </w:pPr>
    </w:p>
    <w:p w:rsidR="00FE0907" w:rsidRDefault="00FE0907" w:rsidP="00FE0907">
      <w:pPr>
        <w:pStyle w:val="Extracto"/>
      </w:pPr>
      <w:r>
        <w:t>2.</w:t>
      </w:r>
      <w:r>
        <w:tab/>
        <w:t>Es una exigencia legal del infanticicio el que la muerte del niño tenga lugar «para evitar la deshonra de la madre», pues, faltando tal elemento, se convertiría el hecho en un parricidio. La alternativa entre ambas calificaciones tiene importante trascendencia en cuanto al procedimiento a seguir para el enjuiciamiento de esos delitos, puesto que el delito de parricidio supone la aplicación del procedimiento ordinario mientras que el delito de infanticidio es sometido al procedimiento abreviado del Título III, del Libro IV de la Ley de Enjuiciamiento Criminal. El art. 780 L.E.Crim. ha previsto, para supuestos de este tipo, la posibilidad de cambio en la sustanciación del procedimiento, del común al abreviado, o viceversa, pero también dicho precepto impone que, acordado el procedimiento que debe seguirse, se le hará saber inmediatamente al imputado [F.J. 4].</w:t>
      </w:r>
    </w:p>
    <w:p w:rsidR="00FE0907" w:rsidRDefault="00FE0907" w:rsidP="00FE0907">
      <w:pPr>
        <w:pStyle w:val="Extracto"/>
      </w:pPr>
    </w:p>
    <w:p w:rsidR="00FE0907" w:rsidRDefault="00FE0907" w:rsidP="00FE0907">
      <w:pPr>
        <w:pStyle w:val="Extracto"/>
      </w:pPr>
      <w:r>
        <w:t>3.</w:t>
      </w:r>
      <w:r>
        <w:tab/>
        <w:t>A la luz del art. 5.4 del Convenio Europeo de Derechos Humanos, conforme a su vez a la jurisprudencia del Tribunal Europeo de Derechos Humanos, la única constitucionalmente relevante, en cuanto garantía sustancial del procedimiento de privación de libertad, es la existencia misma de un control o recurso ante un órgano superior, y que se preserve la garantía de contradicción y de brevedad en la sustanciación del remedio que la legislación instrumente [F.J. 4].</w:t>
      </w:r>
    </w:p>
    <w:p w:rsidR="00FE0907" w:rsidRDefault="00FE0907" w:rsidP="00FE0907">
      <w:pPr>
        <w:pStyle w:val="Extracto"/>
      </w:pPr>
    </w:p>
    <w:p w:rsidR="00FE0907" w:rsidRDefault="00FE0907" w:rsidP="00FE0907">
      <w:pPr>
        <w:pStyle w:val="Extracto"/>
      </w:pPr>
      <w:r>
        <w:t>4.</w:t>
      </w:r>
      <w:r>
        <w:tab/>
        <w:t>La medida cautelar personal que nuestras leyes procesales penales conocen como prisión provisional ha de ser adoptada por un Juez en plena sintonía con los criterios legales, si bien no se le impone que la adopte de un modo mecánico ni automático, sino que deja a su necesario arbitrio (SSTC 89/1983 y 230/1991), el aplicar caso por caso dicha medida cautelar. Como contrapartida de este arbitrio, el Juez ha de manifestar expresamente, aunque sea de modo parco y sucinto, las razones de entre las legalmente previstas que le han llevado a adoptar la resolución restrictiva de derechos que, aunque provisional, no deja de tener efectos tan graves como si fuera definitiva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 Ferrer, don José Luis de los Mozos y de los Mozos, don Álvaro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1.564/89, interpuesto por el Procurador de los Tribunales don Francisco Álvarez del Valle García, en nombre de doña Ana María Collado Matías, asistida por el Letrado don F. Javier Monge Zamorano, frente a los Autos del Juzgado de Instrucción núm. 26 de Madrid, de 10 y 30 de marzo, y 19 de abril de 1989 (diligencias previas 1255/89-A) , y los Autos de la Sección Primera de la Audiencia Provincial de esta Capital, de 8 y 20 de junio siguientes (rollo 163/89), por los que se desestima el recurso de queja y se inadmite a trámite el de súplica. Ha sido parte el Ministerio Fiscal y Ponente el Magistrado don Miguel Rodríguez-Piñero y Bravo-Ferrer,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26 de julio de 1989 el Procurador de los Tribunales don Francisco Álvarez del Valle García, en nombre de doña Ana María Collado Matías, presentó demanda de amparo contra los Autos del Juzgado de Instrucción núm. 26 de Madrid, de 10 y 30 de marzo, y 19 de abril de 1989, por los que respectivamente se acuerda la prisión provisional de la recurrente y se niega la reforma de dicha resolución y la tramitación del recurso de apelación contra esta última denegación, y los Autos de la Sección Primera de la Audiencia Provincial de esta Capital, de 8 y 20 de junio siguientes, por los que se desestima el recurso de queja y se inadmite a trámite el de súplica, por entender todas estas resoluciones contrarias a los derechos fundamentales de la libertad personal (art. 17 C.E.), por producir indefensión, por privar de las garantías debidas al justiciable y por falta de tutela judicial efectiva (art. 24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fundamentalmente en los siguientes hechos: </w:t>
      </w:r>
    </w:p>
    <w:p w:rsidR="00FE0907" w:rsidRDefault="00FE0907" w:rsidP="00FE0907">
      <w:pPr>
        <w:pStyle w:val="TextoNormal"/>
      </w:pPr>
      <w:r>
        <w:t xml:space="preserve">a) El 10 de marzo de 1989 el Juzgado de Instrucción num. 26 de los de Madrid, en funciones de guardia, al recibir un parte médico hospitalario relativo a la recurrente que indicaba que había experimentado un alumbramiento reciente, y tras personarse la policía judicial en el domicilio de la misma y hallar el cadáver de un feto, acordó la prisión provisional de la actora. La fundamentación de dicha resolución es del siguiente tenor literal: </w:t>
      </w:r>
    </w:p>
    <w:p w:rsidR="00FE0907" w:rsidRDefault="00FE0907" w:rsidP="00FE0907">
      <w:pPr>
        <w:pStyle w:val="TextoNormal"/>
      </w:pPr>
      <w:r>
        <w:t xml:space="preserve">"Los hechos que han motivado las presentes diligencias presentan caracteres de delito, existiendo motivos bastantes para creer responsable criminalmente del mismo, dada la intervención que se imputa, a Ana María Collado Matías, (...), por lo que es procedente, </w:t>
      </w:r>
      <w:r>
        <w:lastRenderedPageBreak/>
        <w:t xml:space="preserve">por ahora, decretar la prisión provisional de la misma, conforme a lo dispuesto en los arts. 503 y 504 de la Ley de Enjuiciamiento Criminal. </w:t>
      </w:r>
    </w:p>
    <w:p w:rsidR="00FE0907" w:rsidRDefault="00FE0907" w:rsidP="00FE0907">
      <w:pPr>
        <w:pStyle w:val="TextoNormal"/>
      </w:pPr>
      <w:r>
        <w:t xml:space="preserve">b) Contra dicho auto se recurrió en reforma, que fue desestimada con un nuevo auto de 30 de marzo de 1989, cuyo único fundamento jurídico reza como sigue: </w:t>
      </w:r>
    </w:p>
    <w:p w:rsidR="00FE0907" w:rsidRDefault="00FE0907" w:rsidP="00FE0907">
      <w:pPr>
        <w:pStyle w:val="TextoNormal"/>
      </w:pPr>
      <w:r>
        <w:t xml:space="preserve">"Tras las pruebas practicadas en autos, y de conformidad con el informe emitido por el Ministerio Fiscal, no procede estimar el recurso de reforma interpuesto contra el Auto de prisión provisional por la representación de la detenida y mantener la prisión provisional de Ana María Collado Matías". </w:t>
      </w:r>
    </w:p>
    <w:p w:rsidR="00FE0907" w:rsidRDefault="00FE0907" w:rsidP="00FE0907">
      <w:pPr>
        <w:pStyle w:val="TextoNormal"/>
      </w:pPr>
      <w:r>
        <w:t xml:space="preserve">c) Recurrida en apelación dicha resolución, entre otras, invocando el carácter no delictivo del hecho y, como mucho, considerándolo infanticidio, el Juzgado de Instrucción, por Auto de 19 de abril, señala que la tramitación que se sigue en las presentes diligencias previas es la prevista en el Título III del Libro II de la Ley de Enjuiciamiento Criminal (es decir, el procedimiento llamado, tras la L.O. 7/1988, abreviado), y que, en atención a lo prevenido en el art. 787 L.E.Crim., no procede dicho recurso de apelación, toda vez que la Ley no prevé dicho remedio contra el Auto que se impugna; </w:t>
      </w:r>
    </w:p>
    <w:p w:rsidR="00FE0907" w:rsidRDefault="00FE0907" w:rsidP="00FE0907">
      <w:pPr>
        <w:pStyle w:val="TextoNormal"/>
      </w:pPr>
      <w:r>
        <w:t xml:space="preserve">d) Se eleva un recurso de queja ante la Sección Primera de la Audiencia Provincial, en el que se efectúan consideraciones procesales y de fondo de interés para el incidente en cuestión, y el Tribunal, por Auto de 8 de junio de 1989, declara que no ha lugar a aceptar la queja propuesta. </w:t>
      </w:r>
    </w:p>
    <w:p w:rsidR="00FE0907" w:rsidRDefault="00FE0907" w:rsidP="00FE0907">
      <w:pPr>
        <w:pStyle w:val="TextoNormal"/>
      </w:pPr>
      <w:r>
        <w:t xml:space="preserve">En primer término, se desechan las objeciones formales, siendo la principal la de la incorrección del procedimiento, de lo que disiente la Audiencia al entender que el seguido es conforme a Derecho. </w:t>
      </w:r>
    </w:p>
    <w:p w:rsidR="00FE0907" w:rsidRDefault="00FE0907" w:rsidP="00FE0907">
      <w:pPr>
        <w:pStyle w:val="TextoNormal"/>
      </w:pPr>
      <w:r>
        <w:t xml:space="preserve">En lo tocante al aspecto de fondo, es decir, a la legitimidad de la provisional privación de libertad de la recurrente acordada en su día por el Juez de Instrucción y reiteradamente impugnada, el Tribunal Provincial en el fundamento cuarto de su Auto afirma: </w:t>
      </w:r>
    </w:p>
    <w:p w:rsidR="00FE0907" w:rsidRDefault="00FE0907" w:rsidP="00FE0907">
      <w:pPr>
        <w:pStyle w:val="TextoNormal"/>
      </w:pPr>
      <w:r>
        <w:t xml:space="preserve">"Centrado el objeto del recurso en la privación de libertad que viene sufriendo Ana María Collado Matías desde el día 10 de marzo de 1989, todo ello por las vinculaciones que pudo tener con el hallazgo del cadáver de un recién nacido decapitado, son lógicas las prevenciones adoptadas por el Instructor, tanto en cuanto a la situación personal de la recurrente, como en lo atinente al alcance penal que el hecho base pudiera tener, en el supuesto de que tales indicios -necesarios para iniciar un proceso y decretar medidas personales como la recurrida- tengan sustantividad suficiente para que las actuaciones penales prosigan, otorgándole la Ley (art. 780 de la Ley Procesal) como norma (...) facultad de acondicionar el proceso sin retrotraerse en el resultado de la instrucción. </w:t>
      </w:r>
    </w:p>
    <w:p w:rsidR="00FE0907" w:rsidRDefault="00FE0907" w:rsidP="00FE0907">
      <w:pPr>
        <w:pStyle w:val="TextoNormal"/>
      </w:pPr>
      <w:r>
        <w:t xml:space="preserve">Es, en definitiva, el titular del Juzgado de Instrucción, quien se encuentra en situación privilegiada para ponderar los indicios que se desprendan de la investigación por él realizada, atendiendo a la inmediación con que tal actuación se lleva a cabo y de la que no goza este Tribunal en el momento presente, y encontrándose el mismo ante un abanico de posibilidades tan amplio que va desde la irrelevancia penal de la conducta hasta la posible existencia de un delito tan grave como es el de parricidio, decretar la prisión provisional no es una medida a priori inadecuada, por lo que, en definitiva, esta Sala ha de recordarlo, sin perjuicio por supuesto de que, atendiendo a tal situación, cuide el Instructor de acelerar la tramitación de la causa al máximo o la (...) modificación de la situación restrictiva de libertad, facultad que en todo momento le atribuye nuestro ordenamiento jurídico." </w:t>
      </w:r>
    </w:p>
    <w:p w:rsidR="00FE0907" w:rsidRDefault="00FE0907" w:rsidP="00FE0907">
      <w:pPr>
        <w:pStyle w:val="TextoNormal"/>
      </w:pPr>
      <w:r>
        <w:t>e) Contra este auto se interpone un recurso de súplica que la Audiencia inadmite con expresa referencia a la doctrina de este Tribunal, en concreto, al Auto de 17 de abril de 1989, en cuya virtud no es arbitrario inadmitir la súplica contra resoluciones de las Audiencias que hayan resuelto recurso de índole jerárquica.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 se basa, en síntesis, en los siguientes argumentos. </w:t>
      </w:r>
    </w:p>
    <w:p w:rsidR="00FE0907" w:rsidRDefault="00FE0907" w:rsidP="00FE0907">
      <w:pPr>
        <w:pStyle w:val="TextoNormal"/>
      </w:pPr>
      <w:r>
        <w:t xml:space="preserve">En primer lugar, la tramitación que se ha dado a las diligencias previas 1.255/89, instruidas por el Juzgado de Instrucción núm. 26 de los de Madrid, ha dejado en una situación de indefensión a la solicitante de amparo, por cuanto se han tomado, ora las normas de un proceso, ora las de otro, según las actuaciones que se pretendiere desarrollar, con una privación de su libertad, derecho fundamental de la persona, y del derecho a una defensa que no ha podido ser ejercida en la forma que prevé el Texto constitucional. La absoluta falta de cumplimiento de las normas de procedimiento, en estos autos, han conducido a una situación en la cual se inadmiten recursos procedentes, en relación con los actos del Instructor, y éste, para justificar su inadmisión, debe manifestar variaciones de procedimiento que no se han notificado a la parte y que son meras declaraciones que no se corresponden con la realidad de la instrucción. Además, la tramitación de las diligencias por el Juzgado de Instrucción, ha conducido a una evidente falta de las garantías legales exigibles en un proceso penal, el conocimiento procesal que se está dando a la instrucción, que no se ofrece hasta la inadmisión de su recurso de apelación, contra la desestimación de su recurso de reforma, interpuesto contra el Auto de prisión incondicional. La evidente contradicción existente entre la apertura de unas diligencias previas, la rotulación del expediente como "parricidio", la redacción dada al auto de prisión de 10 de marzo respecto de la tramitación por las normas de procedimiento abreviado, conduce a una situación de privación de las garantías que deben presidir la actuación del instructor, respecto del sospechoso. </w:t>
      </w:r>
    </w:p>
    <w:p w:rsidR="00FE0907" w:rsidRDefault="00FE0907" w:rsidP="00FE0907">
      <w:pPr>
        <w:pStyle w:val="TextoNormal"/>
      </w:pPr>
      <w:r>
        <w:t xml:space="preserve">En segundo lugar, el recurso de queja se produce como consecuencia de haberse inadmitido el recurso de apelación, inadmisión con base en el criterio mantenido por el Instructor de que el procedimiento adecuado para llevar la instrucción es el procedimiento abreviado, introducido por la Ley Orgánica 7/1988. Precisamente, la tipificación provisional, en relación con la adecuación de procedimiento, es el objeto del recurso de queja, y este extremo no es resuelto por la Sección Primera de la Audiencia Provincial, con evidente indefensión y carencia de tutela judicial efectiva, por cuanto este extremo de vital importancia no es resuelto y se continúa una tramitación procesal absolutamente contradictoria respecto de la tipificación provisional efectuada. La Audiencia se inhibe de la revisión de los criterios del Instructor y manifiesta que la tipificación debe efectuarse en Sentencia y no antes, ello conduce a que se estén produciendo tramitaciones procesales, contrarias a la Ley, sin que la Sala entre a revisar estos criterios. Es evidente, prosigue la demandante, que la tipificación de las conductas, antes de la modificación operada por la reforma de la Ley Orgánica 7/1988, se establecía en la Sentencia, pero, al determinarse los procedimientos en virtud de las penas que puedan recaer, es exigible del Instructor una tipificación provisional y de la Sala una revisión de los criterios del Instructor en este caso, de no hacerlo carece la parte de la tutela de los órganos de la Administración de Justicia y éste es el derecho fundamental que la parte actora considera conculcado y para el que se solicita el amparo. </w:t>
      </w:r>
    </w:p>
    <w:p w:rsidR="00FE0907" w:rsidRDefault="00FE0907" w:rsidP="00FE0907">
      <w:pPr>
        <w:pStyle w:val="TextoNormal"/>
      </w:pPr>
      <w:r>
        <w:t xml:space="preserve">Por último, el contenido del art. 503 L.E.Crim. establece, con carácter imperativo, la forma que deben revestir los autos que acuerdan la prisión y los casos en que proceda ésta. Ahora bien, en las diligencias previas 1.255/1989 instruidas por el Juzgado de Instrucción núm. 26, se da la curiosa circunstancia de que el procedimiento se está tramitando por las normas del procedimiento abreviado, que, al amparo del art. 779 L.E.Crim., supone que la presunta pena a imponer no puede ser superior a la de prisión mayor; como quiera que de los hechos sólo pueden deducirse la existencia, ora de un parricidio (art. 405 C.P.), ora de </w:t>
      </w:r>
      <w:r>
        <w:lastRenderedPageBreak/>
        <w:t xml:space="preserve">un infanticidio (art. 409 C.P.), y que aquél tiene señalada pena privativa de libertad de reclusión mayor y éste de prisión menor, se llega, fácilmente a la conclusión de que se está tramitando un presunto delito de infanticidio, y en este caso se ha acordado indebidamente la situación de prisión, en el fondo y en la forma. En el fondo, por cuanto no concurren, ni antecedentes desfavorables de la sospecha, ni especiales circunstancias del hecho, ni alarma social, ni frecuencia del presunto delito. En la forma, porque el Auto no contiene las razones por las que el Instructor toma esta decisión, para la que tiene competencia, pero que debe poner en conocimiento de la defensa para poder adoptar las medidas que más interesen a la sospechosa. Puede argumentarse que el presunto delito es el de parricidio, cuya pena está señalada en reclusión mayor, a cuyo efecto debe señalarse que, si bien el Auto de prisión sería correcto, no lo sería la inadmisión del recurso de apelación, ni la tramitación procesal por las normas del procedimiento abreviado, del que está expresamente excluído por el art. 779 de la Ley ritual penal. En cualquier caso, desde cualquier perspectiva que se efectúe el análisis, se llega a una misma conclusión, y es que se ha producido una concatenación de errores en la instrucción que conducen a la indefensión de la sospechosa, a la negación reiterada del acceso a la tutela judicial efectiva. </w:t>
      </w:r>
    </w:p>
    <w:p w:rsidR="00FE0907" w:rsidRDefault="00FE0907" w:rsidP="00FE0907">
      <w:pPr>
        <w:pStyle w:val="TextoNormal"/>
      </w:pPr>
      <w:r>
        <w:t>Se concluye solicitando el otorgamiento del amparo que en Derecho corresponda.</w:t>
      </w:r>
    </w:p>
    <w:p w:rsidR="00FE0907" w:rsidRDefault="00FE0907" w:rsidP="00FE0907">
      <w:pPr>
        <w:pStyle w:val="TextoNormal"/>
      </w:pPr>
    </w:p>
    <w:p w:rsidR="00FE0907" w:rsidRDefault="00FE0907" w:rsidP="00FE0907">
      <w:pPr>
        <w:pStyle w:val="TextoNormal"/>
      </w:pPr>
      <w:r w:rsidRPr="00FE0907">
        <w:rPr>
          <w:rStyle w:val="NumeroAFNegritaCaracter"/>
        </w:rPr>
        <w:t>4</w:t>
      </w:r>
      <w:r>
        <w:t>. Tras la apertura del trámite del art. 50 LOTC, por providencia de 15 de enero de 1990, la Sección acordó admitir a trámite la presente demanda y, en consecuencia, acordó dirigirse a los órganos judiciales competentes para la remisión de actuaciones y emplazamientos de rigor.</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la Sección, de 12 de marzo de 1990, se procedió al oportuno acuse de recibo de las actuaciones recibidas y se dio vista de las mismas, por el término común de veinte días, al Ministerio Fiscal y a la representación actora a fin de que alegaran lo que estimaren oportuno.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3 de abril de 1990 el Ministerio Fiscal presentó su escrito de alegaciones. </w:t>
      </w:r>
    </w:p>
    <w:p w:rsidR="00FE0907" w:rsidRDefault="00FE0907" w:rsidP="00FE0907">
      <w:pPr>
        <w:pStyle w:val="TextoNormal"/>
      </w:pPr>
      <w:r>
        <w:t xml:space="preserve">A su decir, la actora apoya su razonamiento para la obtención de un recurso de apelación improcedente en un mero nominalismo accidental sin realidad procesal alguna y que no responde a la actuación del órgano judicial en ningún momento de la investigación porque el Juez mantiene la calificación indiciaria y el procedimiento a seguir consecuente con dicha calificación. </w:t>
      </w:r>
    </w:p>
    <w:p w:rsidR="00FE0907" w:rsidRDefault="00FE0907" w:rsidP="00FE0907">
      <w:pPr>
        <w:pStyle w:val="TextoNormal"/>
      </w:pPr>
      <w:r>
        <w:t xml:space="preserve">En el momento en que se dicta el Auto de prisión la norma procesal era la reguladora de las diligencias previas del proceso abreviado y esta normativa no prevé ni establece un recurso de apelación contra la resolución del recurso de reforma. El único recurso contra dicha resolución es el de queja. </w:t>
      </w:r>
    </w:p>
    <w:p w:rsidR="00FE0907" w:rsidRDefault="00FE0907" w:rsidP="00FE0907">
      <w:pPr>
        <w:pStyle w:val="TextoNormal"/>
      </w:pPr>
      <w:r>
        <w:t xml:space="preserve">La recurrente impugna ante el Tribunal Superior la resolución que deniega la reforma solicitada mediante el recurso de queja que constituye en este supuesto una auténtica alzada. El Tribunal examina todas las pretensiones deducidas por la recurrente, en especial la privación y libertad y el procedimiento seguido y las responde de manera razonada y motivada, y expone también la imposibilidad legal de contestar a aquéllas pretensiones que no planteó la actora en el recurso de reforma. </w:t>
      </w:r>
    </w:p>
    <w:p w:rsidR="00FE0907" w:rsidRDefault="00FE0907" w:rsidP="00FE0907">
      <w:pPr>
        <w:pStyle w:val="TextoNormal"/>
      </w:pPr>
      <w:r>
        <w:t>No ha existido cambio alguno del procedimiento seguido en la instrucción que haya podido limitar a disminuir las garantías procesales de la actora. El Juez ha seguido siempre el mismo procedimiento sin variación alguna, atendida la calificación provisional o indi</w:t>
      </w:r>
      <w:r>
        <w:lastRenderedPageBreak/>
        <w:t xml:space="preserve">ciaria y siempre con la posibilidad, si la tipificación del hecho variara, de cambiar de procedimiento, de acuerdo con el art. 780 L.E.Crim. La actora siempre ha conocido el procedimiento seguido y los derechos que este procedimiento le concedía, por lo que no ha existido limitación y vulneración de su derecho de defensa. </w:t>
      </w:r>
    </w:p>
    <w:p w:rsidR="00FE0907" w:rsidRDefault="00FE0907" w:rsidP="00FE0907">
      <w:pPr>
        <w:pStyle w:val="TextoNormal"/>
      </w:pPr>
      <w:r>
        <w:t xml:space="preserve">La falta de indicación por el Juez de los recursos procedentes contra las resoluciones judiciales no ha producido indefensión porque la actora tenía dirección letrada, conocedora de los recursos deducibles y los ha utilizado como se acredita en los autos. </w:t>
      </w:r>
    </w:p>
    <w:p w:rsidR="00FE0907" w:rsidRDefault="00FE0907" w:rsidP="00FE0907">
      <w:pPr>
        <w:pStyle w:val="TextoNormal"/>
      </w:pPr>
      <w:r>
        <w:t xml:space="preserve">El Auto impugnado que ordena la prisión, aunque la pena, dada la calificación indiciaria, no era superior a prisión menor, fundamenta la privación de libertad. Un estudio del sumario justifica la prisión provisional de la actora, dada la naturaleza del hecho que tiene una dimensión especial por tratarse del nacimiento y muerte de un recién nacido, en una casa particular, con el desconocimiento de su realidad por los restantes habitantes y sin saber las circunstancias de personalidad de la presunta culpable, las razones de su actuación, fundamentales para la calificación del tipo delictivo, la causa de la muerte y la necesidad de profundizar en las declaraciones de los testigos sin olvidar la dimensión, repulsa y alarma social que produce la muerte de un niño recién nacido. </w:t>
      </w:r>
    </w:p>
    <w:p w:rsidR="00FE0907" w:rsidRDefault="00FE0907" w:rsidP="00FE0907">
      <w:pPr>
        <w:pStyle w:val="TextoNormal"/>
      </w:pPr>
      <w:r>
        <w:t xml:space="preserve">Todas estas circunstancias surgen, se contienen y se deducen de la investigación y constituyen el fundamento y justificación del Auto de prisión de la recurrente, unidas a la necesidad de un examen médico y psiquiátrico para la determinación de su posible responsabilidad, la práctica de la autopsia para esclarecer la muerte y sus causas y la posibilidad en todo momento de cambiar la calificación indiciaria del tipo delictivo en otra distinta en naturaleza superior en pena como consecuencia del resultado de la investigación e instrucción. La prisión se ha dictado con una finalidad preventiva y atendiendo la exigencia de una investigación profunda de todas las circunstancias del hecho. </w:t>
      </w:r>
    </w:p>
    <w:p w:rsidR="00FE0907" w:rsidRDefault="00FE0907" w:rsidP="00FE0907">
      <w:pPr>
        <w:pStyle w:val="TextoNormal"/>
      </w:pPr>
      <w:r>
        <w:t xml:space="preserve">El Auto, al basarse así en la legislación procesal y, en especial, en los arts. 503 y 504 L.E.Crim., asume y declara la existencia de los requisitos o presupuestos exigidos por estos preceptos para el establecimiento de la prisión provisional, es decir, se fundamenta en la alarma social y las circunstancias del hecho que se encuentran en el propio procedimiento y que una simple lectura pone de relieve. El Auto que resuelve la reforma también fundamenta el mantenimiento de la prisión provisional en las pruebas practicadas y asume también las razones del informe del Ministerio Fiscal. La Sala, al resolver el recurso de queja, razona, explica y fundamenta el mantenimiento de la prisión y complementa las resoluciones del Instructor y, por ello, da una respuesta a la pretensión de la recurrente. </w:t>
      </w:r>
    </w:p>
    <w:p w:rsidR="00FE0907" w:rsidRDefault="00FE0907" w:rsidP="00FE0907">
      <w:pPr>
        <w:pStyle w:val="TextoNormal"/>
      </w:pPr>
      <w:r>
        <w:t xml:space="preserve">Hay que advertir que, terminada la investigación y el examen de la personalidad y motivación de la inculpada, el Juez ha ordenado su libertad con la obligación apud acta por Auto de 28 de noviembre de 1989. </w:t>
      </w:r>
    </w:p>
    <w:p w:rsidR="00FE0907" w:rsidRDefault="00FE0907" w:rsidP="00FE0907">
      <w:pPr>
        <w:pStyle w:val="TextoNormal"/>
      </w:pPr>
      <w:r>
        <w:t>Se concluye por el Ministerio Público solicitando la desestimación de la presente demanda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En escrito presentado por la representación actora el 9 de abril siguiente, se suplica a este Tribunal que tenga por reproducidas las alegaciones ya vertidas en las fases precedentes puesto que, a la vista de las actuaciones, nada nuevo tiene que añadir.</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la Sala Segunda, de 10 de diciembre de 1991, se tuvo por efectuadas las alegaciones pertinentes, se nombró Ponente de la Sentencia al Magistrado don Miguel Rodríguez-Piñero y Bravo-Ferrer, fijándose para deliberación y votación del presente recurso de amparo el día 13 de enero de 1992.</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Aunque nominalmente son cuatro las quejas que la representación actora suscita, sólo tres pueden entenderse formuladas con autonomía propia a fin y efecto de poder ser estudiadas por este Tribunal, las relativas a la quiebra de la tutela judicial efectiva con producción de indefensión, la pérdida del derecho a un proceso con todas las garantías y la vulneración del derecho a la libertad del art. 17.1 C.E. .</w:t>
      </w:r>
    </w:p>
    <w:p w:rsidR="00FE0907" w:rsidRDefault="00FE0907" w:rsidP="00FE0907">
      <w:pPr>
        <w:pStyle w:val="TextoNormal"/>
      </w:pPr>
      <w:r>
        <w:t>La primera de tales lesiones resultaría de que el procedimiento penal elegido por el Juez de Instrucción, a la vista del delito cuya persecución parece colegirse, no sería el legalmente idóneo al caso; por otro lado, se habría producido igual lesión de la garantía de la tutela judicial al desatender la Audiencia Provincial la queja de la actora desechando expresa y tácitamente sus argumentos, sin entrar, a su juicio, en el fondo del asunto, y al inadmitir el recurso de súplica contra la desestimación del recurso de queja.  La segunda de dichas lesiones radicaría en que producida esa alteración procedimental se habría privado a la demandante del recurso de apelación a la hora de impugnar la privación provisional de libertad acordada por el Juez a quo.  La tercera de las lesiones se habría producido por la privación de libertad sin que exista en las resoluciones judiciales explicitación de la base legal de la que se ha servido el Instructor para acordar la pérdida provisional de libertad.</w:t>
      </w:r>
    </w:p>
    <w:p w:rsidR="00FE0907" w:rsidRDefault="00FE0907" w:rsidP="00FE0907">
      <w:pPr>
        <w:pStyle w:val="TextoNormal"/>
      </w:pPr>
    </w:p>
    <w:p w:rsidR="00FE0907" w:rsidRDefault="00FE0907" w:rsidP="00FE0907">
      <w:pPr>
        <w:pStyle w:val="TextoNormal"/>
      </w:pPr>
      <w:r w:rsidRPr="00FE0907">
        <w:rPr>
          <w:rStyle w:val="NumeroAFNegritaCaracter"/>
        </w:rPr>
        <w:t>2</w:t>
      </w:r>
      <w:r>
        <w:t>. Todas las quejas constitucionales se relacionan con la decisión judicial de decretar, por Auto de 10 de marzo de 1989, la prisión provisional sin fianza de la recurrente, madre de un feto o recien nacido, cuyo hallazgo del cadaver decapitado motivó el inicio de las actuaciones judiciales. En dicho Auto se afirma que los hechos que motivaron las diligencias previas presentan carácter de delito, y que existen motivos bastantes para creer responsable criminalmente de los mismos a la hoy actora "por lo que es procecente, por ahora, decretar la prisión provisional de la misma, conforme a lo dipuesto en los arts.  503 y 504 L.E.Crim." . En el recurso de reforma frente a dicho Auto se sostiene que de lo actuado no se desprenden indicios suficientes para considerar a la actora autora de ningún delito, que el niño nació muerto y que el Auto de privación de libertad debe ser reformado hasta tanto no se pueda obtener de lo actuado una conclusión respecto a una presunta culpabilidad que no existe ni puede deducirse de lo actuado hasta el momento. En el Auto de 30 de marzo siguiente, denegatorio de la reforma, se afirma que, tras las pruebas practicadas en autos, no procede estimar el recurso de reforma sino mantener la situación de prisión provisional.</w:t>
      </w:r>
    </w:p>
    <w:p w:rsidR="00FE0907" w:rsidRDefault="00FE0907" w:rsidP="00FE0907">
      <w:pPr>
        <w:pStyle w:val="TextoNormal"/>
      </w:pPr>
      <w:r>
        <w:t>Frente a dichos Autos se interpone recurso de apelación al amparo del art. 517 L.E.Crim. basado en la no culpabilidad de la autora, en la inexistencia de un hecho que presente los caracteres de delito, como exige el art. 503.1 L.E.Crim.  , y en el hecho de que el delito imputado en su caso sería el de infanticidio, pues en ningún momento se ha tipificado como parricidio, por lo que procedería la libertad bajo fianza. Por Auto de 19 de abril de 1989 se inadmite el recurso de apelación porque el procedimiento seguido es el del Título III del Libro IV de la L.E.Crim. (procedimiento abreviado), y en dicho Título no está expresamente prevista la posibilidad de ejercitar ese recurso de apelación.</w:t>
      </w:r>
    </w:p>
    <w:p w:rsidR="00FE0907" w:rsidRDefault="00FE0907" w:rsidP="00FE0907">
      <w:pPr>
        <w:pStyle w:val="TextoNormal"/>
      </w:pPr>
      <w:r>
        <w:t xml:space="preserve">Contra esta resolución se formuló recurso de queja con base a la contradicción existente entre la tramitación procesal de las diligencias y la tipificación efectuada por el instructor, del presunto delito como parricidio, produciendo ello una grave indefensión, e impidiéndole el acceso al recurso de apelación.  Al mismo tiempo se afirma estarse de acuerdo con </w:t>
      </w:r>
      <w:r>
        <w:lastRenderedPageBreak/>
        <w:t>el instructor en cuanto al procedimiento aplicable, y aunque se reitera la negación de existencia del delito, se sostiene que de existir algún indicio de acción delictiva este sería el de infanticidio, en cuyo caso habría que adecuar la situación personal a las disposiciones correspondientes de la Ley de enjuiciamiento Criminal.  Se solicita que se modifique la situación personal, en el sentido de conceder la libertad provisional con fianza, se declare que los presuntos delitos de parricidio deben tramitarse por los preceptos contenidos en el Libro II de la L.E.Crim., quedando exceptuados de la tramitación por procedimiento abreviado, y se declara que la tipificación provisional adecuada es la de infanticidio, por lo que las diligencias deben tramitarse por las normas previstas para el procedimiento abreviado. La Audiencia Provincial de Madrid, por Auto de 8 de junio de 1989, desestimó el recurso de queja por entender ajustada a Derecho la actuación del instructor; recurrida en suplicación esta decisión, la Audiencia la inadmitió a trámite por Auto de 20 de junio siguiente.</w:t>
      </w:r>
    </w:p>
    <w:p w:rsidR="00FE0907" w:rsidRDefault="00FE0907" w:rsidP="00FE0907">
      <w:pPr>
        <w:pStyle w:val="TextoNormal"/>
      </w:pPr>
      <w:r>
        <w:t>Según la parte recurrente, tal como ha transcurrido la tramitación de las diligencias penales, el trato que ha recibido ha sido el más desfavorable en todo momento. En cuanto a la prisión provisional porque parece haberse considerado implícitamente los hechos como posible delito de parricidio, al aplicársele la prisión provisional de forma automática, y por eso como si tuviese señalado el delito imputado pena superior a la prisión menor, en cambio cuando se impugna esa decisión, se hace referencia al procedimiento abreviado, por lo que implicitamente se está indicando que el delito imputado es el de infanticidio, reduciendose con ello la intensidad de los remedios que hubieran existido frente a la decisión de prisión provisional consecuente al delito más grave.</w:t>
      </w:r>
    </w:p>
    <w:p w:rsidR="00FE0907" w:rsidRDefault="00FE0907" w:rsidP="00FE0907">
      <w:pPr>
        <w:pStyle w:val="TextoNormal"/>
      </w:pPr>
      <w:r>
        <w:t>Antes de entrar en el análisis de la demanda, resulta necesario delimitar el objeto de la misma en relación al cumplimiento de las exigencias que impone el art. 44.1 c) LOTC. El acceso directo a las actuaciones ha permitido comprobar a este Tribunal que la primera invocación de derechos constitucionales que se hace en el proceso penal a quo es en el escrito del recurso de queja ante la Audiencia Provincial, lo que implica que solo pueden ser objeto de examen por este Tribunal el Auto del Juzgado de Instrucción núm. 26 de Madrid, de 19 de abril de 1989, y los Autos de la Sección Primera de la Audiencia Provincial de Madrid de 8 y 20 de junio siguiente. Sólo respecto a los mismos ha de entenderse referida la presente demanda, y sólo en relación a ellos ha de examinarse si, efectivamente, se ha producido la indefensión, el desconocimiento del derecho a un proceso con todas las garantías, y la violación del derecho de libertad personal, denunciados en la demanda.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Por de pronto, ha de rechazarse que haya existido violación del art. 24.1 C.E. porque el Auto de la Audiencia de 20 de junio de 1989 haya inadmitido a trámite el recurso de súplica deducido contra la desestimación del de queja.  Como la propia Audiencia Provincial pone de relieve, basándose en jurisprudencia de este Tribunal, no resulta sostenible que contra la desestimación de un recurso jerárquico, como es en definitiva el de queja, quepa interponer un nuevo remedio ante el mismo órgano; ello llevaría, entendida literalmente la dicción del art. 236 L.E.Crim., a una cadena infinita de resursos de súplica. En su Auto de 20 de junio de 1989, la Audiencia ha razonado ampliamente por qué no procede a su juicio el recurso de súplica, razonamiento que revela que no ha habido un impedimento arbitrario y sin base legal al acceso de los actores al sistema de recursos. Este Tribunal ha afirmado en supuestos similares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del </w:t>
      </w:r>
      <w:r>
        <w:lastRenderedPageBreak/>
        <w:t>recurso de súplica, la posibilidad de recurrir sería ilimitada (AATC 814/1987; 1113/1987; 181/1989; SSTC 203/1989 -fundamento jurídico 1º- y 212/1991 -fundamento jurídico 1º-).</w:t>
      </w:r>
    </w:p>
    <w:p w:rsidR="00FE0907" w:rsidRDefault="00FE0907" w:rsidP="00FE0907">
      <w:pPr>
        <w:pStyle w:val="TextoNormal"/>
      </w:pPr>
    </w:p>
    <w:p w:rsidR="00FE0907" w:rsidRDefault="00FE0907" w:rsidP="00FE0907">
      <w:pPr>
        <w:pStyle w:val="TextoNormal"/>
      </w:pPr>
      <w:r w:rsidRPr="00FE0907">
        <w:rPr>
          <w:rStyle w:val="NumeroAFNegritaCaracter"/>
        </w:rPr>
        <w:t>4</w:t>
      </w:r>
      <w:r>
        <w:t>. En relación al Auto del Juzgado de Instrucción de 19 de abril de 1989 que no admite a trámite el recurso de apelación, y en cuanto lo confirma en este aspecto el Auto de la Audiencia Provincial de 8 de junio de 1989, ha de afirmarse que la fundamentación de esta pretensión implica una cierta contradicción, al menos que se entienda como alternativa, frente a la pretensión principal, la relativa a la obtención de la libertad, ejercitada en el proceso a quo. Sólo existiría inadecuación del procedimiento si los hechos imputados han sido considerados como presunto parricidio, en cuyo caso sí podría hablarse de inadecuación del procedimiento, que debería haber sido el procedimiento originario. En otro caso si se le imputa un presunto infanticidio, el procedimiento seguido sería el adecuado, y existiría base legal para la inadmisión del recurso de apelación, sin perjuicio de las consecuencias que ello podría tener para la revisión de la pérdida de libertad, de acuerdo a lo previsto en el inciso final del art. 503 L.E.Crim..  Aunque la queja constitucional se pone en relación con la indefinición del tipo delictivo imputado efectivamente a la actora, parece basarse en la presunta consideración de parricidio del delito imputado, aunque esa conclusión no resulte en modo alguno convincente.</w:t>
      </w:r>
    </w:p>
    <w:p w:rsidR="00FE0907" w:rsidRDefault="00FE0907" w:rsidP="00FE0907">
      <w:pPr>
        <w:pStyle w:val="TextoNormal"/>
      </w:pPr>
      <w:r>
        <w:t>Los graves hechos que están en el origen de las diligencias judiciales, que se refieren a la muerte de un recien nacido que apareció con la cabeza seccionada, podrían ser constitutivos tanto de un delito de parricidio (art.  405 C.P.)  como de un delito de infanticidio (art. 410 C.P.), siendo éste, según autorizada doctrina, lex specialis en relación con el parricidio, pese a la autonomía del delito, al que el Código consagra un Capítulo especial. Es una exigencia legal del infanticidio el que la muerte del niño tenga lugar "para evitar la deshonra de la madre", pues, faltando tal elemento, se convertiría el hecho en un parricidio. La alternativa entre ambas calificaciones tiene importante trascendencia en cuanto al procedimiento a seguir para el enjuiciamiento de esos delitos, puesto que el delito de parricidio supone la aplicación del procedimiento ordinario, mientras que el delito de infanticidio es sometido al procedimiento abreviado del Título III, del Libro IV de la L.E.Crim. . El art.  780 L.E.Crim ha previsto, para supuestos de este tipo, la posibilidad de cambio en la sustanciación del procedimiento, del común al abreviado, o viceversa, pero también dicho precepto impone que acordado el procedimiento que deba seguirse se le hará saber inmediatamente al imputado.</w:t>
      </w:r>
    </w:p>
    <w:p w:rsidR="00FE0907" w:rsidRDefault="00FE0907" w:rsidP="00FE0907">
      <w:pPr>
        <w:pStyle w:val="TextoNormal"/>
      </w:pPr>
      <w:r>
        <w:t>El examen de las actuaciones permite comprobar que no ha existido una indefinición de procedimiento, antes bien, la apertura de las diligencias previas, diligencias inexistentes en el procedimiento ordinario, ya presuponía la elección del procedimiento sumario, y por si hubiera alguna duda al respecto, el Auto de 19 de abril de 1989, así lo indica expresamente, invocando al mismo tiempo la reserva de la facultad de cambio de procedimiento previsto en el art.  780 L.E.Crim.  Claramente manifestado el procedimiento a seguir, cuando se rechaza por el Instructor la admisión a trámite del recurso de apelación contra le denegación de la reforma intentada contra el Auto inicial en el que se acordaba la prisión provisional sin fianza, cabalmente habría de deducirse -como así parece entenderlo tácitamente el Juez de Instrucción- que el delito que estaba en juego era el de infanticidio, pues ello implicaba que se enjuiciaba un delito castigado con pena privativa de libertad no superior a la de prisión mayor, o lo que es lo mismo, que no se trataba en principio de un delito de parricidio.</w:t>
      </w:r>
    </w:p>
    <w:p w:rsidR="00FE0907" w:rsidRDefault="00FE0907" w:rsidP="00FE0907">
      <w:pPr>
        <w:pStyle w:val="TextoNormal"/>
      </w:pPr>
      <w:r>
        <w:t>Pero aun en el caso de que ello no fuera así, el defecto denunciado en la confección de las diligencias por parte del Juzgado de Instrucción a consecuencia de una posible indefi</w:t>
      </w:r>
      <w:r>
        <w:lastRenderedPageBreak/>
        <w:t>nicion inicial del delito imputado carece de relevancia a efectos de haber originado una indefension material y concreta de la actora con alcance constitucional (STC 218/1991, fundamento jurídico 6º).</w:t>
      </w:r>
    </w:p>
    <w:p w:rsidR="00FE0907" w:rsidRDefault="00FE0907" w:rsidP="00FE0907">
      <w:pPr>
        <w:pStyle w:val="TextoNormal"/>
      </w:pPr>
      <w:r>
        <w:t>Ninguna de las denuncias que formula la representación actora tiene tal carácter, puesto que ni puede considerarse como un trato más desfavorable la aplicación de un procedimiento más rápido del que en su caso podrá deducirse además una condena penal menos rigurosa, ni se ha producido efectivamente privación o limitación alguna del derecho de defensa en relación con algún interés del sujeto que invoca el derecho fundamental (STC 90/1988, fundamento jurídico 2º II).  La posición de defensa de la recurrente no se ha visto obstaculizada por el hecho de la alteración procedimental reseñada dado que, como recuerda el Ministerio Fiscal, ni esta pretendida indefensión ni la que se imputa a la falta de instrucción de recursos -que fue remediada- han impedido a la interesada formular cuantas peticiones y reclamaciones ha estimado procedentes, ni recibir respuesta adecuada a las mismas.  Tampoco resulta lesión de relevancia constitucional el comportamiento procesal de la Audiencia Provincial al considerar conforme a Derecho la elección del procedimiento que efectuó el Instuctor desde el momento en que el hecho presuntamente delictivo pudiera revestir finalmente un haz tan variado como contradictorio de subsunciones.</w:t>
      </w:r>
    </w:p>
    <w:p w:rsidR="00FE0907" w:rsidRDefault="00FE0907" w:rsidP="00FE0907">
      <w:pPr>
        <w:pStyle w:val="TextoNormal"/>
      </w:pPr>
      <w:r>
        <w:t>La eventual privación a la demandante del recurso de apelación tampoco ha supuesto quiebra del derecho fundamental a un proceso con todas las garantías, puesto que al haber tenido acceso al recurso de queja, y dado que en tema de prisión provisional el recurso de apelación tiene, en principio, efecto devolutivo pero no suspensivo, no se puede entender que esta hipotética infracción procedimental se haya acompañado de una reducción de la garantía de la revisión por un Tribunal superior, de la decisión de pérdida de libertad.  La revisión ha sido vista mediante un procedimiento contradictorio, en un plazo breve, y ante un Tribunal superior independiente del que acordó la privación de libertad que es la garantía exigible, también a la luz del art.  5.4 del Convenio Europeo de Derechos Humanos, conforme a su vez a la jurisprudencia del Tribunal Europeo de Derechos Humanos (SS de Wilde, Ooms y Versyp -18.6.1971-, Winterwerp -24.10.1979-, Schiesser -4.12.1979-, X contra Reino Unido -5.11.1981-, van Droogenbreck -24.6.1982-, Sánchez-Reisse -21.10.1986-, Weeks -2.3.1987-, entre otras). Lo único constitucionalmente relevante, en cuanto garantía sustancial del procedimiento, es la existencia misma de un control o recurso ante un órgano superior, y que se preserve la garantía de contradicción y de brevedad en la sustanciación del remedio que la legislación instrumente. La única posibilidad que, teóricamente, cabría efectuar aquí de crítica constitucional sería la de haberse dilatado por los órganos judiciales la sustanciación del incidente remitiendo al justiciable injustificadamente de uno a otro procedimiento, lo cual, a no dudar, redundaría en diferir la resolución del incidente.  Pero, a la vista de cómo se ha tramitado la reclamación contra la medida de privación de libertad acordada por el Instructor, no cabe afirmar que tal dilatación temporal se haya efectuado; ni tan siquiera por no haberse instruido de los recursos a una persona que se encuentra en situación de prisión provisional, pero perfectamente asistida jurídicamente, a sus expensas, desde el momento en que se efectúan las primeras e indiciarias imputaciones.  En todo caso, sería a la recurrente a quien corresponde la carga de demostrar que la tramitación ha supuesto para su libertad una ablación injustificada e injustificable constitucionalmente hablando. No obstante, ninguna de estas consideraciones ha sido efectuada y, por lo tanto, no cabe entrar a dilucidar tal posibilidad.</w:t>
      </w:r>
    </w:p>
    <w:p w:rsidR="00FE0907" w:rsidRDefault="00FE0907" w:rsidP="00FE0907">
      <w:pPr>
        <w:pStyle w:val="TextoNormal"/>
      </w:pPr>
      <w:r>
        <w:t>Por todo ello, ha de rechazarse que el Auto del Juzgado de Instrucción de 19 de abril de 1989 haya incurrido en violación alguna del derecho a la no indefensión del art. 24.1 C.E., y del derecho a un proceso con todas las garantías del art. 24.2 C.E.</w:t>
      </w:r>
    </w:p>
    <w:p w:rsidR="00FE0907" w:rsidRDefault="00FE0907" w:rsidP="00FE0907">
      <w:pPr>
        <w:pStyle w:val="TextoNormal"/>
      </w:pPr>
    </w:p>
    <w:p w:rsidR="00FE0907" w:rsidRDefault="00FE0907" w:rsidP="00FE0907">
      <w:pPr>
        <w:pStyle w:val="TextoNormal"/>
      </w:pPr>
      <w:r w:rsidRPr="00FE0907">
        <w:rPr>
          <w:rStyle w:val="NumeroAFNegritaCaracter"/>
        </w:rPr>
        <w:t>5</w:t>
      </w:r>
      <w:r>
        <w:t>. Queda, por último, examinar si el Auto de la Audiencia Provincial de 8 de junio de 1989, al confirmar la prisión provisional de la recurrente ha respetado las exigencias del art. 17.1 C.E.</w:t>
      </w:r>
    </w:p>
    <w:p w:rsidR="00FE0907" w:rsidRDefault="00FE0907" w:rsidP="00FE0907">
      <w:pPr>
        <w:pStyle w:val="TextoNormal"/>
      </w:pPr>
      <w:r>
        <w:t>La libertad representa un papel nuclear en el sistema del Estado democrático de Derecho (por todas, STC 32/1987, fundamento jurídico 3º). Por ello, las privaciones de libertad, cautelares o definitivas, han de decidirse con las garantías constitucionales y legales (así desde STC 41/1982, fundamento jurídico 2º).  Cuando, como es aquí el caso, la Constitución remite a las previsiones y requisitos que la ley ordinaria contenga, ello no supone, dado que tales requisitos existen, que la Constitución transfiera al órgano encargado de aplicar la previsión normativa un pleno arbitrio que se satisfaga sólo con una referencia pro forma y rituaria a la existencia legal de tales previsiones.</w:t>
      </w:r>
    </w:p>
    <w:p w:rsidR="00FE0907" w:rsidRDefault="00FE0907" w:rsidP="00FE0907">
      <w:pPr>
        <w:pStyle w:val="TextoNormal"/>
      </w:pPr>
      <w:r>
        <w:t>Del art.  17.1 C.E.  se desprende, tan clara como indeclinablemente, que los supuestos de privación de libertad han de ser acordados por quienes deban hacerlo de acuerdo a las atribuciones competenciales que contenga la ley en la forma que ésta determina.  De ello se deduce que la medida cautelar personal que nuestras leyes procesales penales conocen como prisión provisional ha de ser adoptada por un Juez -extremo aquí cumplimentado- y que dicho órgano ha de adoptar dicha medida que no ha de olvidarse es cautelar y por lo tanto excepcional en plena sintonía con los criterios legales (por todas, STC 34/1987, fundamento jurídico 2º). Sentado lo que antecede por nuestro ordenamiento, ante la radicalidad de la medida para un bien jurídico tan preciado como es el de la libertad, no se impone al Juez que la adopte de un modo mecánico ni automático, sino que deja a su necesario arbitrio (SSTC 89/1983 -fundamento jurídico 3º, 230/1991 -fundamento jurídico 6º-), al aplicar caso por caso dicha medida cautelar.  De esta suerte, el arbitrio que establece la Ley tiene como contrapartida de control y de seguridad jurídicos, que el Juez -y quienes tienen encomendada la función de verificación de tal medida- manifieste expresamente, aunque sea de modo parco y sucinto, las razones de entre las legalmente previstas que le han llevado a adoptar la resolución restrictiva de derechos que, aunque provisional, no deja de tener efectos tan graves como si fuera definitiva, dada la no fungilidad de un derecho fundamental, valor radical además del ordenamiento jurídico, como es el de la libertad, único elemento que aquí interesa (STC 11/1985, fundamento jurídico 6º).</w:t>
      </w:r>
    </w:p>
    <w:p w:rsidR="00FE0907" w:rsidRDefault="00FE0907" w:rsidP="00FE0907">
      <w:pPr>
        <w:pStyle w:val="TextoNormal"/>
      </w:pPr>
      <w:r>
        <w:t>Ha de reiterarse en este momento que lo que es cuestionable en este proceso constitucional no es el Auto de 10 de marzo del Juzgado de Instrucción, frente al que no se formuló ninguna queja de violación del derecho fundamental en el momento procesal oportuno, sino la decisión de la Audiencia Provincial que en cuanto confirmatoria de dicho Auto supuso el mantenimiento de la prisión provisional. A este respecto ha de tenerse en cuenta que dicha Audiencia, al entrar a conocer de la queja frente a la decisión del Juez de Instrucción hubo de responder a las contradictorias peticiones incluidas en el suplico del recurso, centradas por un lado en la presunta indefensión y en el derecho al acceso al recurso de apelación, en cuanto que el delito de parricidio debía tramitarse por el procedimiento ordinario, junto a la afirmación que de existir el delito habría de calificarse como infanticidio, solicitándose la tramitación por el procedimiento abreviado, con la petición subsidiaria de la nulidad de las actuaciones.</w:t>
      </w:r>
    </w:p>
    <w:p w:rsidR="00FE0907" w:rsidRDefault="00FE0907" w:rsidP="00FE0907">
      <w:pPr>
        <w:pStyle w:val="TextoNormal"/>
      </w:pPr>
      <w:r>
        <w:t>La respuesta del Tribunal se centra, sobre todo, en las otras peticiones, y en lo que se refiere a la tutela de la libertad personal, da una respuesta escueta, pero constitucionalmente suficiente para justificar la confirmación del Auto originario que decreto la prisión provisional, por estimar que no era una decisión inadecuada o sea desproporcionada a las circunstancias y a la eventual gravedad del caso.  Al mismo tiempo, la Audiencia dejó expre</w:t>
      </w:r>
      <w:r>
        <w:lastRenderedPageBreak/>
        <w:t>samente abierta la posibilidad de modificación posterior de la situación restrictiva de la libertad, indicando implícitamente a la parte la vía procesal adecuada para conseguir la modificación de la situación restrictiva de libertad, de acuerdo a lo previsto en el párrafo final del núm. 2 del art.  503 L.E.Crim., el solicitarlo directamente del Juez de Instrucción.  Sin embargo, la actora, en vez de solicitar esa modificación, utilizó la vía de la impugnación del Auto originario, el cual ha sido considerado correcto legal y constitucionalmente por la Audiencia, con una interpretación de la legalidad, razonada, no arbitraria ni incompatible con el derecho fundamental reconocido en el art. 17.1 C.E..  No es ocioso recordar que dicho Juez, posteriormente a la presentación de la presente demanda, ordenó la libertad de la actora, con obligación apud acta, por Auto de 28 de noviembre de 1989, ello confirma que la vía adecuada y el órgano competente para decidir sobre esa modificación de la situación de libertad, era el Juez de Instrucción, tal como en su resolución indicaba la Audiencia Provincial.</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CONSTITUCIÓN DE LA NACIÓN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trece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7" w:name="SENTENCIA_1992_4"/>
      <w:r>
        <w:lastRenderedPageBreak/>
        <w:t>SENTENCIA 4/1992, de 13 de enero de 1992</w:t>
      </w:r>
    </w:p>
    <w:bookmarkEnd w:id="7"/>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ECLI:ES:TC:1992:4</w:t>
      </w:r>
    </w:p>
    <w:p w:rsidR="00FE0907" w:rsidRDefault="00FE0907" w:rsidP="00FE0907">
      <w:pPr>
        <w:pStyle w:val="SntesisDescriptiva"/>
      </w:pPr>
    </w:p>
    <w:p w:rsidR="00FE0907" w:rsidRDefault="00FE0907" w:rsidP="00FE0907">
      <w:pPr>
        <w:pStyle w:val="SntesisDescriptiva"/>
      </w:pPr>
      <w:r>
        <w:t>Recurso de amparo 1.724/1991. Contra Acuerdos de la Mesa de la Asamblea de Madrid y del Pleno de la misma, relativos a distribución del número de Senadores que corresponde a cada Grupo Parlamentario y a su designación.</w:t>
      </w:r>
    </w:p>
    <w:p w:rsidR="00FE0907" w:rsidRDefault="00FE0907" w:rsidP="00FE0907">
      <w:pPr>
        <w:pStyle w:val="SntesisDescriptiva"/>
      </w:pPr>
    </w:p>
    <w:p w:rsidR="00FE0907" w:rsidRDefault="00FE0907" w:rsidP="00FE0907">
      <w:pPr>
        <w:pStyle w:val="SntesisAnaltica"/>
      </w:pPr>
      <w:r>
        <w:t>Supuesta vulneración del derecho de acceso a los cargos públicos</w:t>
      </w:r>
    </w:p>
    <w:p w:rsidR="00FE0907" w:rsidRDefault="00FE0907" w:rsidP="00FE0907">
      <w:pPr>
        <w:pStyle w:val="SntesisAnaltica"/>
      </w:pPr>
    </w:p>
    <w:p w:rsidR="00FE0907" w:rsidRDefault="00FE0907" w:rsidP="00FE0907">
      <w:pPr>
        <w:pStyle w:val="Extracto"/>
      </w:pPr>
      <w:r>
        <w:t>1.</w:t>
      </w:r>
      <w:r>
        <w:tab/>
        <w:t>Conforme a doctrina de este Tribunal muy consolidada, no puede entenderse que «la adecuada representación proporcional» que exige el art. 69.5 de la Constitución para la designación de los Senadores de las Comunidades Autónomas deba ser una proporcionalidad estrictamente matemática, sino que sólo puede ser, por definición, imperfecta, y resultar exigible dentro de un razonable margen de flexibilidad, siempre y cuando no llegue a alterarse su propia esencia [F.J. 2].</w:t>
      </w:r>
    </w:p>
    <w:p w:rsidR="00FE0907" w:rsidRDefault="00FE0907" w:rsidP="00FE0907">
      <w:pPr>
        <w:pStyle w:val="Extracto"/>
      </w:pPr>
    </w:p>
    <w:p w:rsidR="00FE0907" w:rsidRDefault="00FE0907" w:rsidP="00FE0907">
      <w:pPr>
        <w:pStyle w:val="Extracto"/>
      </w:pPr>
      <w:r>
        <w:t>2.</w:t>
      </w:r>
      <w:r>
        <w:tab/>
        <w:t>Ni la Constitución ni el Estatuto de la Comunidad de Madrid ni el Reglamento de la Asamblea (art. 165) ni Ley autonómica alguna concretan el procedimiento de designación de los Senadores de la Comunidad de Madrid hasta el punto de predeterminar una regla concreta de proporcionalidad. En consecuencia, la ausencia de previsión normativa en el ordenamiento autonómico no puede suponer la necesaria aplicación subsidiaria de la regla D'Hondt prevista para las elecciones generales y autonómicas, pero no para una designación de Senadores por parte de la Asamblea de una Comunidad Autónoma [F.J. 3].</w:t>
      </w:r>
    </w:p>
    <w:p w:rsidR="00FE0907" w:rsidRDefault="00FE0907" w:rsidP="00FE0907">
      <w:pPr>
        <w:pStyle w:val="Extracto"/>
      </w:pPr>
    </w:p>
    <w:p w:rsidR="00FE0907" w:rsidRDefault="00FE0907" w:rsidP="00FE0907">
      <w:pPr>
        <w:pStyle w:val="Extracto"/>
      </w:pPr>
      <w:r>
        <w:t>3.</w:t>
      </w:r>
      <w:r>
        <w:tab/>
        <w:t>La Mesa y la Asamblea de Madrid no están constitucional ni legalmente obligadas a la utilización de la regla D'Hondt y pueden, en suma, distribuir libremente los Senadores de designación automática entre los diversos Grupos Parlamentarios conforme a cualquier técnica y, en concreto, la fórmula proporcional de reparto de los restos, siempre y cuando no llegue a alterar la misma esencia proporcional del sistema electoral y, por tanto, cumpla la exigencia constitucional de una «adecuada representación proporcional»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1.724/91, promovido por el Grupo Parlamentario Popular de la Asamblea de Madrid, representado por el Procurador de los Tribunales don Argimiro Vázquez Guillén y asistido del Letrado don Luis Carlos Fernández-Espinar, contra los Acuerdos de la Mesa de dicha Asamblea, de 8 de julio de 1991, y del Pleno de la misma, del día 16 siguiente, relativos a distribución del número de Senadores que corresponden a cada Grupo Parlamentario y a su designación. Han intervenido el Ministerio Fiscal, el Grupo Parlamentario Socialista de la misma Asamblea, representado por el Procurador don Roberto Granizo Palomeque y asistido del Letrado Manuel de la Rocha Rubí, el Grupo Parlamentario de Izquierda Unida, representado por la Procuradora doña Mª Jesús González Garrido, y la propia Asamblea de Madrid, representada por su Secretario General, don Gregorio Valero Jordana. Ha sido Ponente el Magistrado don Miguel Rodríguez-Piñero y Bravo 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registrado en este Tribunal Constitucional el 31 de julio de 1991, don Argimiro Vázquez Guillén, Procurador de los Tribunales, en nombre y representación del Grupo Parlamentario Popular de la Asamblea de Madrid, interpone recurso de amparo contra los Acuerdos de la Mesa de dicha Asamblea, de 8 de julio de 1991, y del Pleno de la misma, del día 16 siguiente, relativos a distribución del número de Senadores que corresponden a cada Grupo Parlamentario y a su designación.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trae origen en los siguientes antecedentes de hecho: </w:t>
      </w:r>
    </w:p>
    <w:p w:rsidR="00FE0907" w:rsidRDefault="00FE0907" w:rsidP="00FE0907">
      <w:pPr>
        <w:pStyle w:val="TextoNormal"/>
      </w:pPr>
      <w:r>
        <w:t xml:space="preserve">a) En las elecciones a la Asamblea de Madrid celebradas el pasado 26 de mayo, el Partido Popular (PP) fue la candidatura más votada y obtuvo cuarenta y siete escaños (un 46'62 por 100 del total de ciento uno que componen dicho Parlamento); al Partido Socialista Obrero Español (PSOE) le correspondieron cuarenta y un escaños (un 36'56 por 100); a Izquierda Unida (IU), trece escaños (un 12'04 por 100); las restantes candidaturas no obtuvieron representación parlamentaria. Una vez constituida la Asamblea, se procedió al nombramiento de la Mesa; el Grupo Parlamentario recurrente denuncia en la demanda que el compromiso entre los otros dos Grupos llevó a relegarlo en la composición de la misma y, pese a ser la minoría mayoritaria, se le otorgaron únicamente dos miembros de la Mesa sobre los siete que la forman. Reunida la nueva Mesa, con fecha 8 de julio de 1991, acordó, por unanimidad, fijar en cinco el número de Senadores de designación autonómica a elegir; y, por mayoría con el voto en contra de los miembros de la Mesa pertenecientes al PP, distribuir esos Senadores entre los Grupos de la siguiente manera: PP, dos; PSOE, dos; IU, uno. Ya en este momento, el Grupo Parlamentario recurrente se opuso a esa forma de distribución proporcional de los Senadores, invocando su derecho a obtener un tercer Senador en detrimento de IU, y anunciando su intención de interponer recurso de amparo, todo ello mediante escrito de fecha 15 de julio, cuya pretensión fue desestimada por la Mesa. </w:t>
      </w:r>
    </w:p>
    <w:p w:rsidR="00FE0907" w:rsidRDefault="00FE0907" w:rsidP="00FE0907">
      <w:pPr>
        <w:pStyle w:val="TextoNormal"/>
      </w:pPr>
      <w:r>
        <w:lastRenderedPageBreak/>
        <w:t>b) En sesión celebrada el 16 de julio de 1991, el Pleno de la Asamblea procedió a la elección de la lista conjunta de candidatos a Senadores propuesta por la Mesa; votación en la que el Grupo Parlamentario recurrente se abstuvo.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Grupo Parlamentario solicitante de amparo entiende lesionado, por los Acuerdos parlamentarios impugnados, el derecho fundamental de sus miembros a acceder en condiciones de igualdad y con los requisitos que señalen las Leyes a los cargos públicos (art. 23.2 de la Constitución). </w:t>
      </w:r>
    </w:p>
    <w:p w:rsidR="00FE0907" w:rsidRDefault="00FE0907" w:rsidP="00FE0907">
      <w:pPr>
        <w:pStyle w:val="TextoNormal"/>
      </w:pPr>
      <w:r>
        <w:t xml:space="preserve">En efecto, el derecho fundamental constitucionalizado en el art. 23.2 de la Norma suprema es un derecho de configuración legal y, por lo que aquí atañe, viene regulado en el propio art. 69.5 de la Constitución que se remite para la designación por cada Asamblea legislativa de estos Senadores a lo que establezcan sus Estatutos "que asegurarán, en todo caso, la adecuada representación proporcional"; en este sentido, el Estatuto de la Comunidad de Madrid, art. 14.12, dispone que "serán designados en proporción del número de miembros de los grupos políticos representados en la Asamblea"; y el art. 165, apartado 3º, del Reglamento parlamentario correspondiente señala que "la Mesa fijará el número de Senadores que corresponda proporcionalmente a cada Grupo Parlamentario"; más adelante, en el apartado 5, se añade que la Mesa someterá al Pleno la lista definitiva de los Senadores, una vez revisadas las propuestas de los Grupos. </w:t>
      </w:r>
    </w:p>
    <w:p w:rsidR="00FE0907" w:rsidRDefault="00FE0907" w:rsidP="00FE0907">
      <w:pPr>
        <w:pStyle w:val="TextoNormal"/>
      </w:pPr>
      <w:r>
        <w:t xml:space="preserve">De esta normativa se desprende que la designación debe hacerse, como ha reconocido la STC 76/1986, en proporción al número de escaños de cada Grupo representado en la Asamblea y "no en proporción al conjunto de grupos en oposición al mayoritario", como parece pretenderse en este caso. Esta exigencia coincide con la misma lógica de un sistema parlamentario representativo de la voluntad popular, representación que no puede venir alterada en el Senado por una elección indirecta. </w:t>
      </w:r>
    </w:p>
    <w:p w:rsidR="00FE0907" w:rsidRDefault="00FE0907" w:rsidP="00FE0907">
      <w:pPr>
        <w:pStyle w:val="TextoNormal"/>
      </w:pPr>
      <w:r>
        <w:t xml:space="preserve">Pues bien, concebido el Acuerdo de la Mesa sobre este extremo como un acto reglado, que vincula y limita la posterior decisión del Pleno, y no como un acto político o discrecional, la cuestión se centra en establecer qué criterio de proporcionalidad debe seguir la Mesa, para lo cual no es ocioso tener presente la doctrina constitucional expuesta en las SSTC 40/1981 y 75/1985. Es también de indudable relevancia poner de manifiesto que la regla D'Hondt fue el criterio adoptado por la Mesa en las dos anteriores legislaturas (como acreditan los Diarios de Sesiones de 25 de junio de 1983 y 28 de julio de 1987), regla cuya aplicación a los hechos llevaría a que el Grupo Parlamentario del PP obtuviera un tercer Senador al ser su cociente mayor que el de IU (PP 47/3 = 15.6 ; IU 13/1 = 13); sin embargo, este criterio fue inesperadamente modificado en esta legislatura por la Mesa. Dicha regla de proporcionalidad se ajusta también al resultado electoral en votos de ambos Grupos Parlamentarios, pues el PP obtuvo 3'5 veces más votos que IU (955.994 frente a 270.011). Además, la regla D'Hondt es la establecida por el legislador en el art. 163 de la Ley Orgánica de Régimen Electoral General, precepto que resulta de aplicación supletoria a las Comunidades Autónomas por mandato de la Disposición adicional primera, apartado 3º, de esa Ley. Y es también el criterio que ordena aplicar a las elecciones para la Asamblea de Madrid el art. 118.3 de la Ley 11/1986, de 16 de diciembre, Electoral de la Comunidad de Madrid. Por consiguiente, de acuerdo con cuanto precede, pese a no establecerse un determinado sistema de designación de los Senadores en representación de la Comunidad ni en el Estatuto ni en el Reglamento parlamentario, debe aplicarse la mencionada regla de propocionalidad, pues si la Asamblea hubiera querido ordenar un sistema de designación distinto del general lo hubiese hecho constar así en su Reglamento. </w:t>
      </w:r>
    </w:p>
    <w:p w:rsidR="00FE0907" w:rsidRDefault="00FE0907" w:rsidP="00FE0907">
      <w:pPr>
        <w:pStyle w:val="TextoNormal"/>
      </w:pPr>
      <w:r>
        <w:lastRenderedPageBreak/>
        <w:t xml:space="preserve">En virtud de lo expuesto, se solicita de este Tribunal que declare la nulidad de los Acuerdos parlamentarios impugnados y que reconozca el derecho, deducible del art. 23.2 de la Constitución, del Grupo Parlamentario Popular de la Asamblea de Madrid a obtener un tercer Senador. </w:t>
      </w:r>
    </w:p>
    <w:p w:rsidR="00FE0907" w:rsidRDefault="00FE0907" w:rsidP="00FE0907">
      <w:pPr>
        <w:pStyle w:val="TextoNormal"/>
      </w:pPr>
      <w:r>
        <w:t>Por otrosí se solicita la suspensión de la ejecución de las resoluciones recurridas, y, en consecuencia, la suspensión del otorgamiento de la credencial como Senadora designada por IU a doña Isabel Villalonga Elvira.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30 de septiembre de 1991, la Sección Cuarta (Sala Segunda) acordó admitir a trámite la demanda y, en aplicación de lo dispuesto en el art. 51 de la Ley Orgánica del Tribunal Constitucional (en adelante, LOTC), dirigir atenta comunicación al Excmo. Sr. Presidente de la Asamblea de Madrid a fin de que, en un plazo que no excediese de diez días, remitiese certificación o copia adverada de los Acuerdos de la Mesa de 8 de julio de 1991 y del Pleno del día 16 siguiente, así como para que pusiese en conocimiento de quienes fueron partes afectadas por dichos Acuerdos la existencia de este proceso constitucional, por si deseaban comparecer y personarse en el mismo en idéntico plazo.</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providencia de 31 de octubre de 1991, la Sección precitada acordó: a) tener por personada y parte a la Asamblea de Madrid, representada por su Secretario General, don Gregorio Valero Jordana, así como a los Procuradores doña Mª Jesús González Díez, en nombre y representación del Grupo Parlamentario de Izquierda Unida en esa Asamblea, y don Roberto Granizo Palomeque, en nombre y representación del Grupo Parlamentario Socialista; b) acusar recibo al Excmo. Sr. Presidente de la Asamblea de Madrid de las actuaciones remitidas; c) dar vista de las mismas a las partes personadas y al Ministerio Fiscal, por un plazo común de veinte días, con el fin de que presentasen las alegaciones que estimasen procedentes, según determina el art. 52.1 de la LOTC.</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interesa de este Tribunal que otorgue el amparo que se solicita y anule los Acuerdos impugnados, reconociendo el derecho que asiste al Grupo Parlamentario Popular a la designación de tres Senadores de los cinco atribuídos a la Comunidad. </w:t>
      </w:r>
    </w:p>
    <w:p w:rsidR="00FE0907" w:rsidRDefault="00FE0907" w:rsidP="00FE0907">
      <w:pPr>
        <w:pStyle w:val="TextoNormal"/>
      </w:pPr>
      <w:r>
        <w:t xml:space="preserve">Tras reseñar los hechos, recuerda el Ministerio Público que el art. 14.2 del Estatuto de Madrid se limita prácticamente a reproducir el art. 69.5 de la Constitución, y el art. 165 del Reglamento de la Asamblea tampoco se refiere al criterio de proporcionalidad que haya de seguirse, simplemente dice que la Mesa "fijará el número de Senadores que corresponden proporcionalmente a cada Grupo Parlamentario" y, una vez examinadas las propuestas de los Grupos, someterá al Pleno la lista de Senadores definitiva para ser sometida a una votación de conjunto; no existe una Ley específica que regule este tema. </w:t>
      </w:r>
    </w:p>
    <w:p w:rsidR="00FE0907" w:rsidRDefault="00FE0907" w:rsidP="00FE0907">
      <w:pPr>
        <w:pStyle w:val="TextoNormal"/>
      </w:pPr>
      <w:r>
        <w:t xml:space="preserve">Partiendo de esta indeterminación normativa, en los antecedentes remitidos por la Asamblea no hay explicación alguna del criterio de proporcionalidad efectivamente empleado ni, menos aún, se indica en el Acuerdo adoptado por la Mesa. A juicio del Ministerio Fiscal, "ante la ausencia de una norma legal de proporcionalidad en esta específica materia, caso de no ordenarse por la Cámara un criterio predeterminado, no puede seguirse otro que el general de nuestro sistema electoral", la llamada regla D´Hondt. Así, el art. 18.3 de la Ley Electoral de la Comunidad de Madrid dispone que la atribución de escaños se hará en la forma establecida en la Ley Electoral General y ésta, en su art. 163, introduce la regla mencionada. No puede olvidarse, además, que la Ley General Electoral es de aplicación supletoria a la de las Comunidades Autónomas (Disposición adicional tercera ). </w:t>
      </w:r>
      <w:r>
        <w:lastRenderedPageBreak/>
        <w:t xml:space="preserve">Teóricamente, cabría cualquier otro criterio de proporcionalidad, pero ni la Mesa indicó cuál seguía ni se encuentra una explicación atendible para apartarse del sistema general. "Y hasta parece que la regla D´Hondt fue la seguida en las dos legislaturas precedentes", los datos que ofrece la demanda permiten llegar a esta conclusión, pues "su verosimilitud es manifiesta", "ante la carencia de más información" y "si no se acredita en la tramitación de este recurso otra cosa". En todo caso, lo que no permite la racionalidad de un sistema electoral es que se cambien los criterios de proporcionalidad en virtud de los resultados electorales y en función "de las mayorías y coaliciones que puedan resultar o conformarse después de las elecciones". </w:t>
      </w:r>
    </w:p>
    <w:p w:rsidR="00FE0907" w:rsidRDefault="00FE0907" w:rsidP="00FE0907">
      <w:pPr>
        <w:pStyle w:val="TextoNormal"/>
      </w:pPr>
      <w:r>
        <w:t xml:space="preserve">La aplicación de la regla D´Hondt a la designación de Senadores por las Comunidades Autónomas ha sido aceptada en la STC 76/1989, en un caso semejante a éste, y es el único criterio existente en nuestro sistema electoral para cargos públicos de representación territorial, introducir otro -y no se explica cuál sea- supone una vulneración del art. 23.2 de la Constitución. </w:t>
      </w:r>
    </w:p>
    <w:p w:rsidR="00FE0907" w:rsidRDefault="00FE0907" w:rsidP="00FE0907">
      <w:pPr>
        <w:pStyle w:val="TextoNormal"/>
      </w:pPr>
      <w:r>
        <w:t xml:space="preserve">Frente a esta conclusión, no puede reclamarse la necesidad de impedir la exclusión de IU, a la hora de la distribución de escaños, pues son bien conocidas las limitaciones a la proporcionalidad que impone la realidad en colegios reducidos en número (SSTC 40/1981 y 76/1989). </w:t>
      </w:r>
    </w:p>
    <w:p w:rsidR="00FE0907" w:rsidRDefault="00FE0907" w:rsidP="00FE0907">
      <w:pPr>
        <w:pStyle w:val="TextoNormal"/>
      </w:pPr>
      <w:r>
        <w:t xml:space="preserve">En suma, si la Mesa determina el número de Senadores que corresponden, proporcionalmente, a cada Grupo Parlamentario y la normativa aplicable no singulariza el cauce técnico de proporcionalidad que debe utilizarse, lo que no puede hacerse es que tal decisión se adopte siguiendo un criterio que no se revela y es "hasta donde sabemos" variable; actuar de esta manera supone violar el derecho fundamental comprendido en el art. 23.2 de la Constitución. </w:t>
      </w:r>
    </w:p>
    <w:p w:rsidR="00FE0907" w:rsidRDefault="00FE0907" w:rsidP="00FE0907">
      <w:pPr>
        <w:pStyle w:val="TextoNormal"/>
      </w:pPr>
      <w:r>
        <w:t>Por lo demás, las operaciones matemáticas que en la demanda se hacen, por su sencillez y claridad, no arrojan dudas sobre a quién corresponde el quinto Senador controvertido.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Grupo Parlamentario de Izquierda Unida en la Asamblea de Madrid solicita que se deniegue el amparo que se impetra y, en consecuencia, que se reconozca la validez de los Acuerdos parlamentarios impugnados. </w:t>
      </w:r>
    </w:p>
    <w:p w:rsidR="00FE0907" w:rsidRDefault="00FE0907" w:rsidP="00FE0907">
      <w:pPr>
        <w:pStyle w:val="TextoNormal"/>
      </w:pPr>
      <w:r>
        <w:t xml:space="preserve">La pretensión del recurso es inadmisible, pues la designación de Senadores implica una votación conjunta y no unipersonal. En efecto, según el art. 165 del Reglamento de la Asamblea de Madrid, es la Mesa la competente para fijar el número de Senadores que corresponde a cada Grupo y lo somete al Pleno en una votación de conjunto; por tanto, la pretensión del Grupo recurrente de "intercambiar" la Senadora de IU por un Senador del PP es jurídicamente imposible. </w:t>
      </w:r>
    </w:p>
    <w:p w:rsidR="00FE0907" w:rsidRDefault="00FE0907" w:rsidP="00FE0907">
      <w:pPr>
        <w:pStyle w:val="TextoNormal"/>
      </w:pPr>
      <w:r>
        <w:t xml:space="preserve">Por otro lado, de la lectura de los arts. 69.5 de la Constitución, 14.12 del Estatuto de Autonomía de Madrid y 165 del Reglamento parlamentario, se desprende que no existe un criterio de proporcionalidad fijado normativamente; en consecuencia, no puede tratarse de un acto reglado como señala el Grupo Popular. La propuesta de la Mesa, pues, nada dice sobre el sistema electoral. Los criterios son adoptados discrecionalmente por la Mesa, asegurando que haya proporcionalidad. No es obligado aplicar la regla D´Hondt, sino únicamente no aplicar criterios mayoritarios. </w:t>
      </w:r>
    </w:p>
    <w:p w:rsidR="00FE0907" w:rsidRDefault="00FE0907" w:rsidP="00FE0907">
      <w:pPr>
        <w:pStyle w:val="TextoNormal"/>
      </w:pPr>
      <w:r>
        <w:t>La doctrina del Tribunal Constitucional es contraria a la tesis del Grupo recurrente, así cuando se ha enfrentado a esta cuestión, en las SSTC 40/1981 y 30/1983, ha elaborado la siguiente doctrina: la elección de Senadores por las Comunidades Autónomas es un régimen electoral especial que no se incluye en el general; precisamente por eso la Constitu</w:t>
      </w:r>
      <w:r>
        <w:lastRenderedPageBreak/>
        <w:t xml:space="preserve">ción (art. 69.5) emplea la expresión "designación" para referirse al procedimiento de elección; los Estatutos de Autonomía pueden establecer razonables diferenciaciones en el régimen jurídico de tales Senadores, según se desprende del concepto de autonomía; la "adecuada representación proporcional" que exige el indicado art. 69.5 sólo podrá serlo imperfectamente y en el margen de una discrecionalidad que la haga flexible, siempre que no se altere su esencia. A modo de conclusión, cada concreta Asamblea autonómica puede usar criterios propios de proporcionalidad, y el sistema D´Hondt, cuya aplicación al caso es solicitada por el Grupo Popular, es el menos proporcional de los sistemas utilizables, es decir, el que ofrece una menos adecuada representación proporcional. </w:t>
      </w:r>
    </w:p>
    <w:p w:rsidR="00FE0907" w:rsidRDefault="00FE0907" w:rsidP="00FE0907">
      <w:pPr>
        <w:pStyle w:val="TextoNormal"/>
      </w:pPr>
      <w:r>
        <w:t>De lo anterior se deduce que la Asamblea de Madrid ha actuado dentro de la legalidad, porque nada le obligaba a utilizar, necesariamente, la regla D´Hondt. Los actos recurridos asignan escaños "según la fuerza de cada Grupo y no a partir de la alianza entre dos Grupos, como gratuítamente señala el recurso". Y el criterio seguido ha permitido que IU, con trece Diputados regionales, tenga una Senadora, lo que es mucho más proporcional que lo que pretende el PP, quien con cuarenta y siete Diputados regionales, intenta "acaparar" tres escaños y excluir a IU, pese a que esta formación obtuvo 270.011 votos en las elecciones regionales.</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Grupo Parlamentario Socialista pide también que se deniegue el amparo que el actor solicita. La demanda afirma que la designación de Senadores por la Comunidad de Madrid en las dos legislaturas anteriores se hizo aplicando la regla D´Hondt y que la Mesa se había apartado inmotivadamente de este criterio. Sin embargo, este "hecho es completamente ajeno a la realidad", pues en las dos legislaturas precedentes el criterio usado fue el de la proporcionalidad con el sistema de mayor resto. </w:t>
      </w:r>
    </w:p>
    <w:p w:rsidR="00FE0907" w:rsidRDefault="00FE0907" w:rsidP="00FE0907">
      <w:pPr>
        <w:pStyle w:val="TextoNormal"/>
      </w:pPr>
      <w:r>
        <w:t xml:space="preserve">De este modo, la aplicación del criterio de proporcionalidad aritmética con sistema de mayor resto, produjo los siguientes resultados: </w:t>
      </w:r>
    </w:p>
    <w:p w:rsidR="00FE0907" w:rsidRDefault="00FE0907" w:rsidP="00FE0907">
      <w:pPr>
        <w:pStyle w:val="TextoNormal"/>
      </w:pPr>
      <w:r>
        <w:t xml:space="preserve">A) I LEGISLATURA </w:t>
      </w:r>
    </w:p>
    <w:p w:rsidR="00FE0907" w:rsidRDefault="00FE0907" w:rsidP="00FE0907">
      <w:pPr>
        <w:pStyle w:val="TextoNormal"/>
      </w:pPr>
      <w:r>
        <w:t xml:space="preserve">escaños cocientes Senadores </w:t>
      </w:r>
    </w:p>
    <w:p w:rsidR="00FE0907" w:rsidRDefault="00FE0907" w:rsidP="00FE0907">
      <w:pPr>
        <w:pStyle w:val="TextoNormal"/>
      </w:pPr>
      <w:r>
        <w:t xml:space="preserve">PSOE 51 2´71 3 </w:t>
      </w:r>
    </w:p>
    <w:p w:rsidR="00FE0907" w:rsidRDefault="00FE0907" w:rsidP="00FE0907">
      <w:pPr>
        <w:pStyle w:val="TextoNormal"/>
      </w:pPr>
      <w:r>
        <w:t xml:space="preserve">Alianza Popular 34 1´88 2 </w:t>
      </w:r>
    </w:p>
    <w:p w:rsidR="00FE0907" w:rsidRDefault="00FE0907" w:rsidP="00FE0907">
      <w:pPr>
        <w:pStyle w:val="TextoNormal"/>
      </w:pPr>
      <w:r>
        <w:t xml:space="preserve">PCE 9 0´47 - </w:t>
      </w:r>
    </w:p>
    <w:p w:rsidR="00FE0907" w:rsidRDefault="00FE0907" w:rsidP="00FE0907">
      <w:pPr>
        <w:pStyle w:val="TextoNormal"/>
      </w:pPr>
      <w:r>
        <w:t xml:space="preserve">___ ____ ____ </w:t>
      </w:r>
    </w:p>
    <w:p w:rsidR="00FE0907" w:rsidRDefault="00FE0907" w:rsidP="00FE0907">
      <w:pPr>
        <w:pStyle w:val="TextoNormal"/>
      </w:pPr>
      <w:r>
        <w:t xml:space="preserve">TOTAL 94 5 </w:t>
      </w:r>
    </w:p>
    <w:p w:rsidR="00FE0907" w:rsidRDefault="00FE0907" w:rsidP="00FE0907">
      <w:pPr>
        <w:pStyle w:val="TextoNormal"/>
      </w:pPr>
      <w:r>
        <w:t xml:space="preserve">B) II LEGISLATURA </w:t>
      </w:r>
    </w:p>
    <w:p w:rsidR="00FE0907" w:rsidRDefault="00FE0907" w:rsidP="00FE0907">
      <w:pPr>
        <w:pStyle w:val="TextoNormal"/>
      </w:pPr>
      <w:r>
        <w:t xml:space="preserve">escaños cocientes Senadores </w:t>
      </w:r>
    </w:p>
    <w:p w:rsidR="00FE0907" w:rsidRDefault="00FE0907" w:rsidP="00FE0907">
      <w:pPr>
        <w:pStyle w:val="TextoNormal"/>
      </w:pPr>
      <w:r>
        <w:t xml:space="preserve">PSOE 40 2´8 2 </w:t>
      </w:r>
    </w:p>
    <w:p w:rsidR="00FE0907" w:rsidRDefault="00FE0907" w:rsidP="00FE0907">
      <w:pPr>
        <w:pStyle w:val="TextoNormal"/>
      </w:pPr>
      <w:r>
        <w:t xml:space="preserve">Alianza Popular 32 1´66 2 </w:t>
      </w:r>
    </w:p>
    <w:p w:rsidR="00FE0907" w:rsidRDefault="00FE0907" w:rsidP="00FE0907">
      <w:pPr>
        <w:pStyle w:val="TextoNormal"/>
      </w:pPr>
      <w:r>
        <w:t xml:space="preserve">CDS 17 0´88 1 </w:t>
      </w:r>
    </w:p>
    <w:p w:rsidR="00FE0907" w:rsidRDefault="00FE0907" w:rsidP="00FE0907">
      <w:pPr>
        <w:pStyle w:val="TextoNormal"/>
      </w:pPr>
      <w:r>
        <w:t xml:space="preserve">IU 7 0´36 - </w:t>
      </w:r>
    </w:p>
    <w:p w:rsidR="00FE0907" w:rsidRDefault="00FE0907" w:rsidP="00FE0907">
      <w:pPr>
        <w:pStyle w:val="TextoNormal"/>
      </w:pPr>
      <w:r>
        <w:t xml:space="preserve">__ ____ ___ </w:t>
      </w:r>
    </w:p>
    <w:p w:rsidR="00FE0907" w:rsidRDefault="00FE0907" w:rsidP="00FE0907">
      <w:pPr>
        <w:pStyle w:val="TextoNormal"/>
      </w:pPr>
      <w:r>
        <w:t xml:space="preserve">TOTAL 96 5 </w:t>
      </w:r>
    </w:p>
    <w:p w:rsidR="00FE0907" w:rsidRDefault="00FE0907" w:rsidP="00FE0907">
      <w:pPr>
        <w:pStyle w:val="TextoNormal"/>
      </w:pPr>
      <w:r>
        <w:t xml:space="preserve">Es de destacar que en esa II Legislatura la designación de Senadores no fue hecha por unanimidad, produciéndose un debate parlamentario, que se recoge en el Diario de Sesiones del 28 de julio de 1987, debate en el cual queda claro que el criterio utilizado no fue la regla D´Hondt, como se desprende de la intervención de la Senadora Sra. Villalonga, quien justificó su oposición a la designación "dado por añadidura que por razones aritméticas y aplicando estrictas proporcionalidades, no aplicadas, por cierto, en las elecciones a otros órganos de la Cámara, se nos deja fuera de esta representación". </w:t>
      </w:r>
    </w:p>
    <w:p w:rsidR="00FE0907" w:rsidRDefault="00FE0907" w:rsidP="00FE0907">
      <w:pPr>
        <w:pStyle w:val="TextoNormal"/>
      </w:pPr>
      <w:r>
        <w:lastRenderedPageBreak/>
        <w:t xml:space="preserve">Tampoco se utilizó la regla D´Hondt en la elección de los miembros del Consejo de Administración de Radio Televisión Madrid (de acuerdo con el art. 4.1 de la Ley 13/1984, de 30 de junio, de creación de dicho ente público) y de la Diputación Permanente de la Cámara (según el art. 54.1 del Reglamento parlamentario), según se deduce de una lectura del Diario de Sesiones, sino un criterio de "proporcionalidad estrictamente política" que vino "impuesto" por los Grupos Parlamentarios del CDS y PP, modificando el criterio que se venía utilizando con anterioridad -un sistema de proporción aritmética basado en el mayor resto-, por eso es sorprendente que el propio PP reclame ahora el empleo de la regla D´Hondt. </w:t>
      </w:r>
    </w:p>
    <w:p w:rsidR="00FE0907" w:rsidRDefault="00FE0907" w:rsidP="00FE0907">
      <w:pPr>
        <w:pStyle w:val="TextoNormal"/>
      </w:pPr>
      <w:r>
        <w:t xml:space="preserve">En la actual Legislatura, se ha seguido también el criterio del mayor resto con el siguiente resultado: </w:t>
      </w:r>
    </w:p>
    <w:p w:rsidR="00FE0907" w:rsidRDefault="00FE0907" w:rsidP="00FE0907">
      <w:pPr>
        <w:pStyle w:val="TextoNormal"/>
      </w:pPr>
      <w:r>
        <w:t xml:space="preserve">C) III LEGISLATURA </w:t>
      </w:r>
    </w:p>
    <w:p w:rsidR="00FE0907" w:rsidRDefault="00FE0907" w:rsidP="00FE0907">
      <w:pPr>
        <w:pStyle w:val="TextoNormal"/>
      </w:pPr>
      <w:r>
        <w:t xml:space="preserve">escaños cociente Senadores </w:t>
      </w:r>
    </w:p>
    <w:p w:rsidR="00FE0907" w:rsidRDefault="00FE0907" w:rsidP="00FE0907">
      <w:pPr>
        <w:pStyle w:val="TextoNormal"/>
      </w:pPr>
      <w:r>
        <w:t xml:space="preserve">PP 47 2´32 2 </w:t>
      </w:r>
    </w:p>
    <w:p w:rsidR="00FE0907" w:rsidRDefault="00FE0907" w:rsidP="00FE0907">
      <w:pPr>
        <w:pStyle w:val="TextoNormal"/>
      </w:pPr>
      <w:r>
        <w:t xml:space="preserve">PSOE 41 2´02 2 </w:t>
      </w:r>
    </w:p>
    <w:p w:rsidR="00FE0907" w:rsidRDefault="00FE0907" w:rsidP="00FE0907">
      <w:pPr>
        <w:pStyle w:val="TextoNormal"/>
      </w:pPr>
      <w:r>
        <w:t xml:space="preserve">IU 13 0´64 1 </w:t>
      </w:r>
    </w:p>
    <w:p w:rsidR="00FE0907" w:rsidRDefault="00FE0907" w:rsidP="00FE0907">
      <w:pPr>
        <w:pStyle w:val="TextoNormal"/>
      </w:pPr>
      <w:r>
        <w:t xml:space="preserve">___ ____ ___ </w:t>
      </w:r>
    </w:p>
    <w:p w:rsidR="00FE0907" w:rsidRDefault="00FE0907" w:rsidP="00FE0907">
      <w:pPr>
        <w:pStyle w:val="TextoNormal"/>
      </w:pPr>
      <w:r>
        <w:t xml:space="preserve">TOTAL 101 5 </w:t>
      </w:r>
    </w:p>
    <w:p w:rsidR="00FE0907" w:rsidRDefault="00FE0907" w:rsidP="00FE0907">
      <w:pPr>
        <w:pStyle w:val="TextoNormal"/>
      </w:pPr>
      <w:r>
        <w:t xml:space="preserve">Como se ve, por los cocientes enteros corresponden dos Senadores al PP y otros dos al PSOE, atribuyéndose el quinto Senador al mayor resto, que es precisamente el de IU. </w:t>
      </w:r>
    </w:p>
    <w:p w:rsidR="00FE0907" w:rsidRDefault="00FE0907" w:rsidP="00FE0907">
      <w:pPr>
        <w:pStyle w:val="TextoNormal"/>
      </w:pPr>
      <w:r>
        <w:t xml:space="preserve">Respecto del fondo del asunto, la cuestión no es tanto establecer criterios de proporcionalidad a los que deba ajustar su actuación la Mesa, como determinar si el concreto criterio de proporcionalidad usado viola el art. 23.2 de la Constitución. Planteada así la cuestión, debe recordarse que la proporcionalidad no es un sistema puro sino un criterio tendencial (STC 75/1985, fundamento jurídico 5º), que debe procurar una cierta adecuación entre votos recibidos y obtención de escaños, o, dicho con otras palabras, asegurar a cada Grupo una representación ajustada a su importancia real (STC 40/1981, fundamento jurídico 2º). Por último, las directrices constitucionales y estatutarias en este tema tienen un considerable ámbito de indefinición (STC 75/1985, fundamento jurídico 5º). </w:t>
      </w:r>
    </w:p>
    <w:p w:rsidR="00FE0907" w:rsidRDefault="00FE0907" w:rsidP="00FE0907">
      <w:pPr>
        <w:pStyle w:val="TextoNormal"/>
      </w:pPr>
      <w:r>
        <w:t xml:space="preserve">El criterio de proporcionalidad utilizado por la Mesa cumple con los requisitos de constitucionalidad expuestos y, además, se acerca mejor a una abstracta proporcionalidad que la regla D" Hondt, así como, desde el punto de vista político, garantiza bien el derecho de los Grupos minoritarios y su adecuada representación. En este mismo sentido, la STC 32/1985 sentó que las Comisiones municipales deben reproducir, en cuanto sea posible, la estructura de proporcionalidad del Pleno. Ciertamente puede afirmarse que es posible usar un criterio distinto al seguido, pero ello no priva de racionalidad al empleado. </w:t>
      </w:r>
    </w:p>
    <w:p w:rsidR="00FE0907" w:rsidRDefault="00FE0907" w:rsidP="00FE0907">
      <w:pPr>
        <w:pStyle w:val="TextoNormal"/>
      </w:pPr>
      <w:r>
        <w:t>Por último, carece de fundamento la tacha de desigualdad en el acceso a los cargos públicos (art. 23.2 de la Constitución), puesto que tal principio debe predicarse a partir de las reglas del sistema y no desde cualquier otro. Y este alegato revela el "oportunismo" del Grupo recurrente quien pretende beneficiarse de una regla electoral que le concede mejores resultados.</w:t>
      </w:r>
    </w:p>
    <w:p w:rsidR="00FE0907" w:rsidRDefault="00FE0907" w:rsidP="00FE0907">
      <w:pPr>
        <w:pStyle w:val="TextoNormal"/>
      </w:pPr>
    </w:p>
    <w:p w:rsidR="00FE0907" w:rsidRDefault="00FE0907" w:rsidP="00FE0907">
      <w:pPr>
        <w:pStyle w:val="TextoNormal"/>
      </w:pPr>
      <w:r w:rsidRPr="00FE0907">
        <w:rPr>
          <w:rStyle w:val="NumeroAFNegritaCaracter"/>
        </w:rPr>
        <w:t>9</w:t>
      </w:r>
      <w:r>
        <w:t>. El Grupo Parlamentario recurrente en amparo ratifica las alegaciones efectuadas en la demanda y solicita que se otorgue el amparo que se insta.</w:t>
      </w:r>
    </w:p>
    <w:p w:rsidR="00FE0907" w:rsidRDefault="00FE0907" w:rsidP="00FE0907">
      <w:pPr>
        <w:pStyle w:val="TextoNormal"/>
      </w:pPr>
    </w:p>
    <w:p w:rsidR="00FE0907" w:rsidRDefault="00FE0907" w:rsidP="00FE0907">
      <w:pPr>
        <w:pStyle w:val="TextoNormal"/>
      </w:pPr>
      <w:r w:rsidRPr="00FE0907">
        <w:rPr>
          <w:rStyle w:val="NumeroAFNegritaCaracter"/>
        </w:rPr>
        <w:t>10</w:t>
      </w:r>
      <w:r>
        <w:t>. La Asamblea de Madrid, por mediación de su Secretario General, solicita que se acuerde denegar el amparo. Una vez reseñados el escrito de demanda y los preceptos constitucionales y estatutarios de aplicación, se afirma que los Acuerdos parlamentarios im</w:t>
      </w:r>
      <w:r>
        <w:lastRenderedPageBreak/>
        <w:t xml:space="preserve">pugnados satisfacen las exigencias de distribución proporcional entre los Grupos requeridos, puesto que aplican el sistema proporcional de los restos mayores, lo que lleva a la Mesa a atribuir el quinto Senador a IU al ser la formación que posee un resto mayor, resultado al que se llega: </w:t>
      </w:r>
    </w:p>
    <w:p w:rsidR="00FE0907" w:rsidRDefault="00FE0907" w:rsidP="00FE0907">
      <w:pPr>
        <w:pStyle w:val="TextoNormal"/>
      </w:pPr>
      <w:r>
        <w:t xml:space="preserve">"dividiendo el número de escaños en la Asamblea (Popular, 47; Socialista, 41; e Izquierda Unida, 13) entre la totalidad de los miembros de la Cámara (101), multiplicando el cociente obtenido (Popular, 0,465; Socialista, 0,405; e Izquierda Unida, 0,128) por el número de Senadores a elegir (cinco) y atribuyendo a cada formación un número de Senadores igual a la cifra resultante de la multiplicación, sin decimales, (Popular, dos Senadores, al ser el resultado 2,325; Socialista, dos Senadores, al ser el resultado 2,025; e Izquierda Unida, ninguno, por ser dicho resultado 0,64), atribuyendo el quinto Senador a este último Grupo Parlamentario al ser la formación que tiene un resto mayor". </w:t>
      </w:r>
    </w:p>
    <w:p w:rsidR="00FE0907" w:rsidRDefault="00FE0907" w:rsidP="00FE0907">
      <w:pPr>
        <w:pStyle w:val="TextoNormal"/>
      </w:pPr>
      <w:r>
        <w:t xml:space="preserve">Y ya en la STC 40/1981, y luego en la STC 36/1990, se sostuvo que cualesquiera modalidades de representación proporcional satisfacen las exigencias de proporcionalidad constitucionalmente exigibles, a la par que se expuso que la proporcionalidad enjuiciable en amparo, en cuanto constitutiva de discriminación, no puede ser entendida de forma matemática, sino que debe venir anudada a una situación notablemente desventajosa y a la ausencia de todo criterio objetivo o razonamiento que la justifique. Mas ninguna de estas dos circunstancias se dan en el presente supuesto, porque el resto de IU es el doble que el del PP y existe un criterio objetivo que justifica el reparto. </w:t>
      </w:r>
    </w:p>
    <w:p w:rsidR="00FE0907" w:rsidRDefault="00FE0907" w:rsidP="00FE0907">
      <w:pPr>
        <w:pStyle w:val="TextoNormal"/>
      </w:pPr>
      <w:r>
        <w:t xml:space="preserve">Carece, por otra parte, de sentido la pretensión del Grupo recurrente, referida a la inevitable y obligada aplicación de la regla D´Hondt, al ser la fórmula electoral establecida por el legislador a nivel nacional y en la Comunidad de Madrid y, en segundo lugar, al ser la aplicada por la Mesa en las dos anteriores legislaturas, para realizar la distribución de Senadores entre los distintos Grupos. Ambos razonamientos no pueden ser admitidos. </w:t>
      </w:r>
    </w:p>
    <w:p w:rsidR="00FE0907" w:rsidRDefault="00FE0907" w:rsidP="00FE0907">
      <w:pPr>
        <w:pStyle w:val="TextoNormal"/>
      </w:pPr>
      <w:r>
        <w:t xml:space="preserve">En efecto, nada puede llevar a pensar que la regla D´Hondt sea el único sistema proporcional que pueda aplicar la Mesa, tanto más si se cae en la cuenta que esta fórmula se usa en nuestro ordenamiento en las elecciones directas y los Acuerdos recurridos contemplan una elección indirecta de segundo grado, no cabe por ello pensar en la supletoriedad de esta pretendida regla general; cuestión bien distinta es que, voluntariamente, se elija la regla D´Hondt, pero puede perfectamente seguirse otra modalidad de proporcionalidad, como se señaló en la STC 76/1989, y, entre ellas, el sistema de cociente con aplicación de restos mayores. </w:t>
      </w:r>
    </w:p>
    <w:p w:rsidR="00FE0907" w:rsidRDefault="00FE0907" w:rsidP="00FE0907">
      <w:pPr>
        <w:pStyle w:val="TextoNormal"/>
      </w:pPr>
      <w:r>
        <w:t xml:space="preserve">A mayor abundamiento, es ese el sistema "tradicionalmente seguido en la Asamblea de Madrid" para cualquier distribución proporcional de puestos entre los Grupos Parlamentarios -Diputación Permanente, Comisiones-, sin perjuicio de que en algunos casos se haya modulado: </w:t>
      </w:r>
    </w:p>
    <w:p w:rsidR="00FE0907" w:rsidRDefault="00FE0907" w:rsidP="00FE0907">
      <w:pPr>
        <w:pStyle w:val="TextoNormal"/>
      </w:pPr>
      <w:r>
        <w:t xml:space="preserve">"En todo caso, en las actas de la Mesa de 9 de junio de 1983 y 21 de julio de 1987, reuniones en las que se acordó la distribución entre los Grupos Parlamentarios de los Senadores a designar por la Asamblea en la primera y segunda legislatura, no existe referencia alguna al sistema seguido, por lo que la afirmación del recurrente de que la Mesa se ha apartado en la tercera legislatura del criterio mantenido en las dos anteriores, en los que afirma se aplicó el sistema D´Hondt, no puede ser probado, tanto menos cuanto que la distribución que se realizó en las dos anteriores legislaturas....es un resultado al que se llega no sólo a través del sistema D´Hondt sino también por aplicación del sistema de cociente con restos mayores". </w:t>
      </w:r>
    </w:p>
    <w:p w:rsidR="00FE0907" w:rsidRDefault="00FE0907" w:rsidP="00FE0907">
      <w:pPr>
        <w:pStyle w:val="TextoNormal"/>
      </w:pPr>
      <w:r>
        <w:t xml:space="preserve">Por consiguiente, la modificación de criterio que se imputa a la Mesa no se ha producido. </w:t>
      </w:r>
    </w:p>
    <w:p w:rsidR="00FE0907" w:rsidRDefault="00FE0907" w:rsidP="00FE0907">
      <w:pPr>
        <w:pStyle w:val="TextoNormal"/>
      </w:pPr>
      <w:r>
        <w:lastRenderedPageBreak/>
        <w:t xml:space="preserve">No obstante, "para el caso que el Tribunal Constitucional considerase que en casos anteriores la Mesa aplicó sistema D´ Hondt en la distribución de los Senadores", debe traerse a colación que en la STC 149/1990, fundamento jurídico 5º, se dijo que la existencia de un sólo precedente en sentido contrario no puede ser argumento para sostener la infracción del derecho fundamental comprendido en el art. 23.2 de la constitución, si tal precedente puede considerarse "integrado" en la Ley que ha de ser aplicada en condiciones de igualdad para el acceso al cargo público. </w:t>
      </w:r>
    </w:p>
    <w:p w:rsidR="00FE0907" w:rsidRDefault="00FE0907" w:rsidP="00FE0907">
      <w:pPr>
        <w:pStyle w:val="TextoNormal"/>
      </w:pPr>
      <w:r>
        <w:t>Finalmente, y en contra de lo que defiende el Grupo recurrente, la proporcionalidad debe predicarse respecto del número de miembros de cada Grupo Parlamentario y no respecto de los votos obtenidos en las elecciones autonómicas.</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8 de enero de 1991, se acordó señalar el día 13 de enero siguiente para votación y deliberación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Grupo Parlamentario Popular de la Asamblea de Madrid denuncia la lesión del derecho de acceso en condiciones de igualdad a los cargos públicos con los requisitos que señalen las Leyes (art. 23.2 de la Constitución), como consecuencia de la decisión de la Mesa de la Cámara de atribuirle dos Senadores de designación autonómica, en vez de los tres que le habrían correspondido de aplicarse la regla D´Hondt como fórmula de proporcionalidad.  De este modo, se afirma en la demanda que la Mesa modificó "inesperadamente" en la tercera legislatura de la Cámara el criterio seguido en las dos precedentes, no era otro que el D'Hondt, en virtud de un Acuerdo que luego hizo suyo el Pleno, desprovisto de toda justificación. Se impugnan por este motivo los Acuerdo de la Mesa de la Asamblea de 8 de julio de 1991, y del Pleno de la misma del día 16 siguiente. Según el Grupo recurrente, el Diario de Sesiones de la Cámara de 25 de junio de 1983 y el de 28 de julio de 1987 acreditan suficientemente que la regla D'Hondt fue la fórmula de proporcionalidad utilizada en los casos anteriores y más tarde -se pretende- arbitrariamente modificada.</w:t>
      </w:r>
    </w:p>
    <w:p w:rsidR="00FE0907" w:rsidRDefault="00FE0907" w:rsidP="00FE0907">
      <w:pPr>
        <w:pStyle w:val="TextoNormal"/>
      </w:pPr>
      <w:r>
        <w:t>Partiendo de esta argumentación, el Grupo recurrente se extiende, por otro lado, en razonar que la regla D'Hondt es el criterio de proporcionalidad que, con carácter general, emplea tanto el legislador nacional (art. 163.1 de la Ley Orgánica de Régimen Electoral General), como el autonómico (art. 18.3 de la Ley 11/1986, de 16 de diciembre, Electoral de la Comunidad de Madrid); y asevera que, al no prever la Constitución (art.  69.5) ni el Estatuto de Autonomía de Madrid (art.  14.2) ni tampoco el Reglamento de la Asamblea (art.  165) una determinada fórmula de proporcionalidad en el procedimiento para la designación de Senadores en representación de la Comunidad Autónoma, debe aplicarse supletoriamente tal regla. De suerte que el Acuerdo de la Mesa por el cual se fijó el número de Senadores que correspondían proporcionalmente a cada Grupo Parlamentario era un acto reglado y no discrecional, puesto que, si se hubiera querido establecer una regla distinta a la D'Hondt, "se hubiera hecho constar así en el Reglamento de la Asamblea".</w:t>
      </w:r>
    </w:p>
    <w:p w:rsidR="00FE0907" w:rsidRDefault="00FE0907" w:rsidP="00FE0907">
      <w:pPr>
        <w:pStyle w:val="TextoNormal"/>
      </w:pPr>
      <w:r>
        <w:t xml:space="preserve">Por su parte, el resto de los Grupos Parlamentarios que han comparecido en el presente proceso constitucional (IU y PSOE), así como la representación de la Asamblea de Madrid, defienden la validez de los Acuerdos parlamentarios impugnados, sosteniendo, sustancialmente, que la Mesa puede adoptar libremente cualquier criterio de proporcionalidad sin venir obligada al empleo de la regla D'Hondt, y niegan -con mayor o menor rotundidad- que dicha regla fuera la empleada en las dos legislaturas anteriores, y que la Mesa se </w:t>
      </w:r>
      <w:r>
        <w:lastRenderedPageBreak/>
        <w:t>apartase en la tercera de este criterio, sin razón expresa para ello y a la vista del resultado de las elecciones autonómicas.  El Ministerio Fiscal, en cambio, discrepa de la tesis expuesta y afirma que, ante la ausencia de una previsión normativa sobre un criterio de proporcionalidad, no puede seguirse otra fórmula que la D´Hondt, pues es la regla general de nuestro sistema electoral.</w:t>
      </w:r>
    </w:p>
    <w:p w:rsidR="00FE0907" w:rsidRDefault="00FE0907" w:rsidP="00FE0907">
      <w:pPr>
        <w:pStyle w:val="TextoNormal"/>
      </w:pPr>
    </w:p>
    <w:p w:rsidR="00FE0907" w:rsidRDefault="00FE0907" w:rsidP="00FE0907">
      <w:pPr>
        <w:pStyle w:val="TextoNormal"/>
      </w:pPr>
      <w:r w:rsidRPr="00FE0907">
        <w:rPr>
          <w:rStyle w:val="NumeroAFNegritaCaracter"/>
        </w:rPr>
        <w:t>2</w:t>
      </w:r>
      <w:r>
        <w:t>. Una vez reseñado el objeto del amparo y las posiciones de las partes, la solución del recurso exige tener presente una doctrina jurisprudencial de este Tribunal muy consolidada, conforme a la cual se recuerda que es notorio que una proporcionalidad estricta es algo difícil de alcanzar en toda representación, y tanto más cuanto más reducido sea el número de representantes a elegir o el colegio a designar; no puede entenderse, por tanto, "la adecuada representación proporcional" que exige el art.  69.5 de la Constitución para la designación de los Senadores de las Comunidades Autónomas como una proporcionalidad estrictamente matemática (STC 40/1981, fundamento jurídico 3º).  Por el contrario, esta "adecuada representación proporcional" sólo puede ser, por definición, imperfecta, y resultar exigible dentro de un razonable margen de flexibilidad, siempre y cuando no llegue a alterarse su propia esencia (SSTC 40/1981, 32/1985, 75/1985 y 36/1990).  En consecuencia, la proporcionalidad, o mejor las desviaciones de la misma enjuiciables en amparo por devenir en constitutivas de una discriminación vedada por el art.  23.2 de la Constitución, no pueden ser entendidas de una forma estrictamente matemática, sino que deben venir anudadas "a una situación notablemente desventajosa" y a "la ausencia de todo criterio objetivo o razonamiento que las justifique" (SSTC 75/1985, fundamento jurídico 3º, y 36/1990, fundamento jurídico 2º). Dicho de otra manera: las desviaciones de la proporcionalidad susceptibles de configurar una lesión del art. 23.2 de la Constitución y, por ello, revisables en vía de amparo constitucional tienen que poseer una innegable entidad, a la par que estar desprovistas de un criterio objetivo y razonable que pueda permitir justificarlas.</w:t>
      </w:r>
    </w:p>
    <w:p w:rsidR="00FE0907" w:rsidRDefault="00FE0907" w:rsidP="00FE0907">
      <w:pPr>
        <w:pStyle w:val="TextoNormal"/>
      </w:pPr>
      <w:r>
        <w:t>La aplicación de esta doctrina a los hechos permitiría, por sí misma y sin necesidad de posteriores razonamientos, denegar el amparo que se insta, declarando la inexistencia de transgresión alguna de derechos fundamentales, dado que no puede decirse, ni en la demanda se sostiene, que la decisión de la Mesa, aceptada por el Pleno de la Asamblea de Madrid, haya supuesto una desviación significativa de la proporcionalidad, ni que el criterio utilizado no haya sido objetivo y razonable, teniendo en cuenta además la dificultad de distribución proporcional de un número reducido de puestos, y dado también que el criterio elegido ha permitido, cumpliendo también finalidades propias de la regla de proporcionalidad, el acceso al Senado de representantes de todos los grupos parlamentarios de la Cámara.</w:t>
      </w:r>
    </w:p>
    <w:p w:rsidR="00FE0907" w:rsidRDefault="00FE0907" w:rsidP="00FE0907">
      <w:pPr>
        <w:pStyle w:val="TextoNormal"/>
      </w:pPr>
      <w:r>
        <w:t>Lo que la demanda cuestiona, sin embargo, no es tanto la falta de proporcionalidad y objetividad del criterio utilizado, sino que el criterio de distribución de Senadores entre los Grupos parlamentarios que la Mesa de la Asamblea de Madrid decide someter a la aprobación del Pleno de la Cámara (conforme al art.  165.5 de su Reglamento), no está reglamentariamente previsto, que no es el mismo -se dice- que el adoptado en las legislaturas anteriores y que, además, lleva a la pérdida de un escaño por el Grupo Parlamentario demandante, que lo habría obtenido de haberse utilizado el criterio que estima debería haberse seguido, el de la regla D´Hondt.</w:t>
      </w:r>
    </w:p>
    <w:p w:rsidR="00FE0907" w:rsidRDefault="00FE0907" w:rsidP="00FE0907">
      <w:pPr>
        <w:pStyle w:val="TextoNormal"/>
      </w:pPr>
      <w:r>
        <w:t xml:space="preserve">Desde la perspectiva del presente recurso de amparo sólo nos corresponde examinar si la decisión de la Asamblea de Madrid ha lesionado efectivamente el derecho fundamental invocado en la demanda, el del art. 23.2 C.E, de acceder en condiciones de igualdad a la </w:t>
      </w:r>
      <w:r>
        <w:lastRenderedPageBreak/>
        <w:t>función de Senador con los requisitos que señalan las leyes. Ello sólo sucería si, de acuerdo a esos requisitos, constitucional y legalmente, dicho escaño corresponde al Grupo Parlamentario Popular, de modo que la decisión de la Mesa y de la Asamblea, al negar o desconocer ese derecho, han lesionado aquel derecho fundamental. Para ello resulta decisivo pronunciarse sobre si, como pretende la demanda y sostiene también el Ministerio Fiscal, era constitucionalmente exigible la aplicación de la regla D´Hondt en el presente supuesto.</w:t>
      </w:r>
    </w:p>
    <w:p w:rsidR="00FE0907" w:rsidRDefault="00FE0907" w:rsidP="00FE0907">
      <w:pPr>
        <w:pStyle w:val="TextoNormal"/>
      </w:pPr>
    </w:p>
    <w:p w:rsidR="00FE0907" w:rsidRDefault="00FE0907" w:rsidP="00FE0907">
      <w:pPr>
        <w:pStyle w:val="TextoNormal"/>
      </w:pPr>
      <w:r w:rsidRPr="00FE0907">
        <w:rPr>
          <w:rStyle w:val="NumeroAFNegritaCaracter"/>
        </w:rPr>
        <w:t>3</w:t>
      </w:r>
      <w:r>
        <w:t>. Así singularizado el objeto del recurso, debe traerse a colación lo siguiente.  Es cierto, sin duda, que ni la Constitución ni el Estatuto de la Comunidad de Madrid ni el Reglamento de la Asamblea (Título XI, Capítulo Primero, art.  165) ni Ley autonómica alguna concretan el procedimiento de designación de los Senadores de la Comunidad de Madrid hasta el punto de predeterminar una regla concreta de proporcionalidad; a diferencia de lo que ocurre en otras muchas Comunidades Autónomas, donde con mejor técnica y seguridad jurídica, se prevé una regulación del método de designación dotada de las suficientes dosis de predeterminación normativa y fijeza de la regla.  Resta, por tanto, en el caso que nos ocupa, un amplio margen de decisión a la Cámara, para distribuir el número de Senadores con arreglo a cualesquiera de los criterios de proporcionalidad existentes.</w:t>
      </w:r>
    </w:p>
    <w:p w:rsidR="00FE0907" w:rsidRDefault="00FE0907" w:rsidP="00FE0907">
      <w:pPr>
        <w:pStyle w:val="TextoNormal"/>
      </w:pPr>
      <w:r>
        <w:t>La ausencia de una regulación expresa de la fórmula de reparto proporcional, tanto en el Estatuto de Autonomía, como en el Reglamento de la Cámara, hace decir al Ministerio Fiscal que "ante la ausencia de una norma legal de proporcionalidad en esta específica materia, caso de no ordenarse por la Cámara un criterio determinado, no puede seguirse otro que el general de nuestro sistema electoral", esto es, la llamada regla D´Hondt.  Tal tesis no puede en modo alguno ser admitida, puesto que, en primer lugar, la regla D´Hondt opera precisamente como correctivo de la regla de proporcionalidad pura, y como tal es una modulación de la regla de proporcionalidad que no puede ser objeto de aplicación extensiva y analógica allí donde el precepto se refiera sin más y sin matices a la proporcionalidad.  Por otro lado, el carácter supletorio del art.  163 de la Ley Orgánica de Régimen Electoral General opera ciertamente para las elecciones para la Asamblea de Madrid, a las que es aplicable además directamente la regla D´Hondt por el art. 118.3 de la Ley 11/1986, de 16 de diciembre, Electoral de la Comunidad de Madrid, regla que se ha aplicado precisamente para la distribución de escaños entre los grupos parlamentarios tras las correspondientes elecciones .  Ni una ni otra Ley son de aplicación, sin embargo, a la presente designación, por parte de la Asamblea, de los Senadores, de acuerdo a lo previsto en el art. 69.5 C.E., que se remite al respecto a los correspondientes Estatutos de Autonomía, imponiendoles precisamente como único límite la necesidad de asegurar "la adecuada representación proporcional". La ausencia de previsión normativa en el ordenamiento autonómico no puede suponer, en consecuencia, la necesaria aplicación subsidiaria de una regla prevista para las elecciones generales y autonómicas, pero no para una designación de Senadores por parte de la Asamblea de una Comunidad Autónoma.</w:t>
      </w:r>
    </w:p>
    <w:p w:rsidR="00FE0907" w:rsidRDefault="00FE0907" w:rsidP="00FE0907">
      <w:pPr>
        <w:pStyle w:val="TextoNormal"/>
      </w:pPr>
      <w:r>
        <w:t xml:space="preserve">En segundo lugar, no cabe hablar aquí de una laguna reglamentaria, en el sentido de imprevisión del procedimiento de designación de los Senadores, sino de la utilización de una fórmula, que puede ser discutible pero que es clara, la atribución a la Mesa de la facultad de fijar en cada caso el número de Senadores que proporcionalmente corresponden a cada Grupo Parlamentario (art.  30.9 en relación con el art. 165.3).  En el ejercicio de esta función, no existe previsión normativa alguna en el ordenamiento autonómico que limite la potestad de la Mesa para articular dicha proporcionalidad, como órgano de dirección y gobierno de la Cámara, y elevar su propuesta al Pleno.  Este procedimiento de designación, o la indeterminación del mismo dejando en manos de la Mesa su concreción, es el </w:t>
      </w:r>
      <w:r>
        <w:lastRenderedPageBreak/>
        <w:t>resultado querido por el juego de la autonomía, primero, de la Comunidad Autónoma mediante las potestades de autoorganización ejercidas en su respectivo Estatuto y, luego, de la autonomía reglamentaria de la Asamblea de Madrid; y no puede estimarse lesivo de los derechos fundamentales del Grupo recurrente, porque, una vez elegida la regla de proporcionalidad por la Mesa, se aplica a todos los Grupos Parlamentarios por igual, circunstancia que satisface lo exigido por el art.  23.2 de la Constitución en materia de acceso a los cargos públicos en condiciones de igualdad y con los requisitos que señalen las Leyes.  Y es patente que, cuando dicha Asamblea atribuye una potestad a la Mesa para aplicar el Reglamento, tras ser concedida esa facultad no cabe, lógicamente, pensar, en la necesidad de la aplicación supletoria de una pretendida regla general; cuestión bien distinta es que la Mesa al ejercer esa facultad hubiera podido adoptar, voluntariamente, en vez de la regla de proporcionalidad adoptada, el método de la regla D´Hondt, pero ello pertenece a la esfera de libre decisión de la Asamblea, sobre la que, en tanto no exista lesión de derechos fundamentales, no corresponde entrar a este Tribunal.</w:t>
      </w:r>
    </w:p>
    <w:p w:rsidR="00FE0907" w:rsidRDefault="00FE0907" w:rsidP="00FE0907">
      <w:pPr>
        <w:pStyle w:val="TextoNormal"/>
      </w:pPr>
    </w:p>
    <w:p w:rsidR="00FE0907" w:rsidRDefault="00FE0907" w:rsidP="00FE0907">
      <w:pPr>
        <w:pStyle w:val="TextoNormal"/>
      </w:pPr>
      <w:r w:rsidRPr="00FE0907">
        <w:rPr>
          <w:rStyle w:val="NumeroAFNegritaCaracter"/>
        </w:rPr>
        <w:t>4</w:t>
      </w:r>
      <w:r>
        <w:t>. El Grupo solicitante de amparo sostiene además que la Mesa de Asamblea de Madrid en la que poseen mayoría dos grupos parlamentarios minoritarios, PSOE e IU, a propuesta de estos mismo grupos, sometió a la aprobación del Pleno de la Cámara una propuesta de distribución de Senadores entre los Grupos parlamentarios elaborada a la vista de los resultados electorales siguiendo un criterio de proporcionalidad que no sería el mismo -se dice- que el adoptado en las legislaturas anteriores, para atribuir un escaño a IU a costa del que correspondía al Grupo demandante.  Se sostiene que habría existido una alteración, ex post facto, de la regla general, apartándose la Mesa de los precedentes parlamentarios anteriores, para impedir el acceso al cargo público de Senador con los requisitos señalados por las leyes de la persona propuesta por el Grupo Parlamentario Popular.</w:t>
      </w:r>
    </w:p>
    <w:p w:rsidR="00FE0907" w:rsidRDefault="00FE0907" w:rsidP="00FE0907">
      <w:pPr>
        <w:pStyle w:val="TextoNormal"/>
      </w:pPr>
      <w:r>
        <w:t>No es necesario entrar en el problema de la polémica "trascendencia normativa de los usos parlamentarios" y de la eventual de los precedentes (tema del que se ocupó ya este Tribunal en la STC 149/1990, fundamento jurídico 5º) , puesto que no ha quedado probado en este proceso constitucional la afirmación que se hace en la demanda, de la que arranca todo su posterior razonamiento, y que era su carga procesal demostrar: el cambio "inesperado" de criterio de la Mesa respecto de precedentes anteriores, a raiz de la última concurrencia electoral autonómica, y sin ofrecer justificación objetiva alguna para ello. Pues esos hechos no pueden darse por válidos e indubitados -como propone el Ministerio Fiscal: ante "la carencia de más información"- , sin necesidad de mayores acreditaciones.</w:t>
      </w:r>
    </w:p>
    <w:p w:rsidR="00FE0907" w:rsidRDefault="00FE0907" w:rsidP="00FE0907">
      <w:pPr>
        <w:pStyle w:val="TextoNormal"/>
      </w:pPr>
      <w:r>
        <w:t>Se afirma por el Grupo Parlamentario actor que los Diarios de Sesiones de fechas 25 de junio de 1983 y 28 de julio de 1987 acreditan que la regla D´Hondt fue usada en la I y II Legislatura de la Cámara; sin embargo, la lectura de los mismos no revela que en aquellos casos se utilizase esa regla, pues nada se dice al respecto. Por el contrario, la Asamblea de Madrid, a través de su Secretario General, asegura que en esta tercera legislatura, al igual que en ambos casos anteriores, se siguió el sistema de cocientes con aplicación de restos mayores y no la variante de la media más fuerte calculada por la regla D´Hondt como el Grupo actor pretende; es más, se advierte en el escrito de alegaciones que el sistema de los mayores restos es el "tradicionalmente seguido en la Asamblea de Madrid", para cualquier distribución de puestos entre Grupos Parlamentarios -Diputación Permanente, Comisiones, etc...-; aunque, finalmente, admita también la representación de la citada Asamblea que en algunos casos se ha "modulado" este sistema.  Esta afirmación, el empleo de la técnica de los mayores restos, se comparte, expresamente, por la representación del Grupo Parlamentario Socialista, quien ilustra su afirmación con distintos datos y cálculos.</w:t>
      </w:r>
    </w:p>
    <w:p w:rsidR="00FE0907" w:rsidRDefault="00FE0907" w:rsidP="00FE0907">
      <w:pPr>
        <w:pStyle w:val="TextoNormal"/>
      </w:pPr>
      <w:r>
        <w:lastRenderedPageBreak/>
        <w:t>La afirmación fáctica en la que se basa la demanda ha sido pues combatida por otras partes personadas en el presente proceso, sin que se hayan aportado por la parte actora elementos de convicción que pudieran llevar a este Tribunal al convencimiento de la exactitud de la afirmación de existencia de un cambio inesperado ex post facto, y a la vista de los resultados electorales del procedimiento de designación.  Resulta patente, que la aplicación del criterio del cociente y el reparto de los restos mediante la fórmula de los restos mayores conduce, de hecho, a la distribución de escaños que, efectivamente, la Mesa ha efectuado en las tres legislaturas que se ofrecen para comparar, si bien es no menos cierto que al mismo resultado se llegaría también mediante el empleo de la regla D´Hondt en la I y en la II Legislatura, difiriendo la distribución de Senadores que se alcanza mediante el empleo de una u otra técnica sólo en esta III Legislatura. Precisamente, la novedad del caso, la relevancia de la opción por una u otra regla, puede explicar que en las designaciones anteriores no se hubiera definido con claridad la regla utilizada para el reparto de puestos, pero ello mismo impide deducir que en las decisiones aquí impugnadas la Mesa y la Asamblea de Madrid se hayan apartado abierta y arbitrariamente de los criterios establecidos al respecto para la designación de Senadores tras las elecciones de 1983 y de 1987.</w:t>
      </w:r>
    </w:p>
    <w:p w:rsidR="00FE0907" w:rsidRDefault="00FE0907" w:rsidP="00FE0907">
      <w:pPr>
        <w:pStyle w:val="TextoNormal"/>
      </w:pPr>
    </w:p>
    <w:p w:rsidR="00FE0907" w:rsidRDefault="00FE0907" w:rsidP="00FE0907">
      <w:pPr>
        <w:pStyle w:val="TextoNormal"/>
      </w:pPr>
      <w:r w:rsidRPr="00FE0907">
        <w:rPr>
          <w:rStyle w:val="NumeroAFNegritaCaracter"/>
        </w:rPr>
        <w:t>5</w:t>
      </w:r>
      <w:r>
        <w:t>. La Mesa y la Asamblea de Madrid no estaban constitucional ni legalmente obligados a la utilización de la regla D´Hondt y podían, en suma, distribuir libremente los Senadores de designación autonómica entre los diversos Grupos Parlamentarios conforme a cualquier técnica y, en concreto, la fórmula proporcional de reparto de los restos, ya acabe dicha opción, inevitablemente, por beneficiar a los Grupos más grandes o a los pequeños y minoritarios, siempre y cuando no llegue a alterar la misma esencia proporcional de este sistema electoral, lo que no ha ocurrido en el presente caso, en cuanto que, y ello no se discute por el Grupo recurrente, la fórmula concreta elegida por la Asamblea cumple la exigencia constitucional de una "adecuada representación proporcional", por lo que la presente demanda ha de ser desestimada.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el Grupo Parlamentario Popular de la Asamblea de Madrid.</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trece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8" w:name="SENTENCIA_1992_5"/>
      <w:r>
        <w:lastRenderedPageBreak/>
        <w:t>SENTENCIA 5/1992, de 16 de enero de 1992</w:t>
      </w:r>
    </w:p>
    <w:bookmarkEnd w:id="8"/>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ECLI:ES:TC:1992:5</w:t>
      </w:r>
    </w:p>
    <w:p w:rsidR="00FE0907" w:rsidRDefault="00FE0907" w:rsidP="00FE0907">
      <w:pPr>
        <w:pStyle w:val="SntesisDescriptiva"/>
      </w:pPr>
    </w:p>
    <w:p w:rsidR="00FE0907" w:rsidRDefault="00FE0907" w:rsidP="00FE0907">
      <w:pPr>
        <w:pStyle w:val="SntesisDescriptiva"/>
      </w:pPr>
      <w:r>
        <w:t>Cuestión de inconstitucionalidad 425/1986. En relación con el art. 32 de la Ley 30/1984, de 2 de agosto, de Medidas para la Reforma de la Función Pública.</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Según tiene declarado este Tribunal (STC 103/1983), no se exige, entre los requisitos de admisión de una cuestión de inconstitucionalidad, que el caso planteado no pueda resolverse con otros razonamientos que los aducidos por el órgano promovente, más que en aquellos supuestos en que dichos razonamientos resultasen notoriamente inadecuados en relación con lo que es generalmente admitido en Derecho; lo contrario supondría un enjuiciamiento de la fundamentación que el Juez «a quo» haya realizado, enjuiciamiento que no compete a este Tribunal [F.J. 2].</w:t>
      </w:r>
    </w:p>
    <w:p w:rsidR="00FE0907" w:rsidRDefault="00FE0907" w:rsidP="00FE0907">
      <w:pPr>
        <w:pStyle w:val="Extracto"/>
      </w:pPr>
    </w:p>
    <w:p w:rsidR="00FE0907" w:rsidRDefault="00FE0907" w:rsidP="00FE0907">
      <w:pPr>
        <w:pStyle w:val="Extracto"/>
      </w:pPr>
      <w:r>
        <w:t>2.</w:t>
      </w:r>
      <w:r>
        <w:tab/>
        <w:t>La Ley 30/1984, siguiendo la doctrina sentada en la STC 103/1983, lo que ha hecho es derogar y sustituir el art. 40 de la Ley de Derechos Pasivos de los Funcionarios (Decreto 1.120/1966), para adaptarlo al mandato constitucional, permitiendo así a la Administración, vinculada estrictamente al principio de legalidad en materia de concesión de prestaciones a cargo de los Presupuestos, la concesión de tales prestaciones, y facilitando al mismo tiempo el ejercicio del derecho de los beneficiarios sin necesidad de la intermediación judicial ordinaria o constitucional [F.J. 4].</w:t>
      </w:r>
    </w:p>
    <w:p w:rsidR="00FE0907" w:rsidRDefault="00FE0907" w:rsidP="00FE0907">
      <w:pPr>
        <w:pStyle w:val="Extracto"/>
      </w:pPr>
    </w:p>
    <w:p w:rsidR="00FE0907" w:rsidRDefault="00FE0907" w:rsidP="00FE0907">
      <w:pPr>
        <w:pStyle w:val="Extracto"/>
      </w:pPr>
      <w:r>
        <w:t>3.</w:t>
      </w:r>
      <w:r>
        <w:tab/>
        <w:t>La limitación temporal que establece el art. 32 de la Ley 32/1984 en relación con el ejercicio del derecho a la pensión de viudedad que se reconoce en dicha Ley no puede considerarse contraria al art. 14 de la Constitución, pues ni obedece a un objetivo discriminatorio en función del sexo, ni trata situaciones absolutamente equiparables y, además, la diferencia transitoria que establece en relación a los efectos económicos de la petición tardía, entre quienes ya tenían reconocido legalmente el derecho y quienes formalmente en aquel momento lo tenían negado, obedece a una causa razonable, no teniendo como fin ni como efecto la agravación o mantenimiento de la situación de discriminación de la mujer de la que parte la diferencia de trato que establecía el art. 40 de la anterior Ley de Derechos Pasivos de Funcionarios del Estado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 xml:space="preserve">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w:t>
      </w:r>
      <w:r>
        <w:lastRenderedPageBreak/>
        <w:t>don Alvaro Rodríguez Bereijo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la cuestión de inconstitucionalidad núm. 425/86, promovida por la Sección Primera de lo Contencioso-Administrativo de la Audiencia Nacional por supuesta inconstitucionalidad del art. 32 de la Ley 30/1984, de 2 de agosto, de Medidas para la Reforma de la Función Pública, por contradecir el art. 14 C.E. Han sido parte el Senado, el Fiscal General del Estado y el Abogado del Estado, este último en representación del Gobierno. Ha sido Ponente el Magistrado don José Luis de los Mozos y de los Mozos,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Auto de 2 de marzo de 1986, la Sección Primera de lo Contencioso-Administrativo de la Audiencia Nacional elevó a este Tribunal cuestión de inconstitucionalidad sobre el art. 32 párrafo primero, in fine, de la Ley 30/1984, de 2 de agosto, de Medidas para la Reforma de la Función Pública, que establece que se reconocen efectos económicos a los derechos pasivos causados con anterioridad por la mujer funcionaria, únicamente desde el 1 de enero de 1984, por si el mismo pudiera infringir el art. 14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De la mencionada resolución se derivan como antecedentes de hecho, en síntesis, los siguientes: </w:t>
      </w:r>
    </w:p>
    <w:p w:rsidR="00FE0907" w:rsidRDefault="00FE0907" w:rsidP="00FE0907">
      <w:pPr>
        <w:pStyle w:val="TextoNormal"/>
      </w:pPr>
      <w:r>
        <w:t xml:space="preserve">a) Ante la Sección Primera de lo Contencioso-Administrativo de la Audiencia Nacional, se sigue, bajo el núm. 16.268, recurso contencioso-administrativo promovido a instancia de don Jaime Castro García frente a resolución del Tribunal Económico-Administrativo Central (T.E.A.C.) de 20 de junio de 1985, que estimó parcialmente el recurso de alzada interpuesto contra Acuerdo de la Dirección General de Gastos de Personal del Ministerio de Economía y Hacienda, de fecha 13 de abril de 1984, por el que se denegó inicialmente al recurrente su petición de pensión de viudedad para él y de orfandad para sus hijos de su esposa fallecida. La resolución del T.E.A.C. anuló dicho acto para que, devolviendo el expediente al órgano de gestión, dictase este nuevo acuerdo con observancia de la derogación del art. 40 del Texto Refundido de la Ley de Derechos Pasivos de 21 de abril de 1966, por la Disposición derogatoria de la Ley 30/1984, de 2 de agosto, de Medidas para la Reforma de la Función Pública. </w:t>
      </w:r>
    </w:p>
    <w:p w:rsidR="00FE0907" w:rsidRDefault="00FE0907" w:rsidP="00FE0907">
      <w:pPr>
        <w:pStyle w:val="TextoNormal"/>
      </w:pPr>
      <w:r>
        <w:t xml:space="preserve">b) En dicho proceso especial, que se tramita por las normas de la Ley 62/1978, de 26 de diciembre, sobre Protección de los Derechos Fundamentales de la Persona, se impugna la citada Resolución administrativa por la infracción del principio de igualdad reconocido en el art. 14 C.E., al entender discriminatorio por razón de sexo que el varón funcionario cause pensión a favor de la viuda y no la mujer a favor del viudo. Entiende el recurrente en el </w:t>
      </w:r>
      <w:r>
        <w:lastRenderedPageBreak/>
        <w:t xml:space="preserve">proceso contencioso que la vigencia del texto de la Constitución, por su efecto normativo directo, había derogado el citado art. 40 de la Ley de Clases Pasivas deviniendo este precepto inconstitucional y que, por consiguiente, debió ser anulada la resolución del órgano en cuestión y reconocido el derecho a pensión antes incluso de la promulgación de la Ley de Medidas para la Reforma de la Función Pública 30/1984, de 2 de agosto; la pretensión se extiende, asimismo, al reconocimiento de la pensión desde la fecha del fallecimiento, es decir, desde el día 1 de agosto de 1982 y no desde el posterior momento señalado expresamente en la Ley de 2 de agosto de 1984, por entender que la limitación temporal de los efectos de la citada Ley es contraria a la Constitución y mantiene la anterior situación discriminatoria. </w:t>
      </w:r>
    </w:p>
    <w:p w:rsidR="00FE0907" w:rsidRDefault="00FE0907" w:rsidP="00FE0907">
      <w:pPr>
        <w:pStyle w:val="TextoNormal"/>
      </w:pPr>
      <w:r>
        <w:t>c) Tramitado el recurso contencioso especial y señalado el día 8 de enero de 1986 para votación y fallo, se dio traslado con esa misma fecha a las partes sobre la procedencia de plantear cuestión de inconstitucionalidad del art. 32, párrafo 1º, in fine, de la Ley 30/1984, de 2 de agosto, evacuándose el trámite mencionado.</w:t>
      </w:r>
    </w:p>
    <w:p w:rsidR="00FE0907" w:rsidRDefault="00FE0907" w:rsidP="00FE0907">
      <w:pPr>
        <w:pStyle w:val="TextoNormal"/>
      </w:pPr>
    </w:p>
    <w:p w:rsidR="00FE0907" w:rsidRDefault="00FE0907" w:rsidP="00FE0907">
      <w:pPr>
        <w:pStyle w:val="TextoNormal"/>
      </w:pPr>
      <w:r w:rsidRPr="00FE0907">
        <w:rPr>
          <w:rStyle w:val="NumeroAFNegritaCaracter"/>
        </w:rPr>
        <w:t>3</w:t>
      </w:r>
      <w:r>
        <w:t>. La duda sobre la constitucionalidad del precepto legal cuestionado se fundamenta por el órgano judicial, en síntesis, en los siguientes argumentos: 1º) la representación del recurrente en el proceso contencioso no se limita a la petición de reconocimiento del derecho a la pensión, sin determinación de su efecto temporal o desde el momento establecido en la Ley de 2 de agosto de 1984. Si así hubiese acontecido y la preten-sión se hubiese contraído a tales extremos, sin referencia a su eficacia temporal, hubiera sido posible satisfacerla en el proceso contencioso, pues el art. 40 del Texto Refundido de la Ley de Clases Pasivas podría entenderse derogado en cuanto contrario a la Constitución con respaldo en la doctrina del Tribunal Constitucional recogida en la STC 42/1984, o en las referentes al art. 160 de la Ley General de Seguridad Social, 103/1983 y 104/1983; 2º) pero, el planteamiento del recurso contencioso no permite en este supuesto dividir la pretensión, que contiene no sólo la petición de reconocimiento del derecho a la pensión, sino también en su integridad temporal, esto es, desde el 1 de agosto de 1982. Ello pone de manifiesto que de la validez del art. 32.1, in fine, de la Ley 30/1984, de 2 de agosto, depende el fallo del asunto ya que, si bien en ella se establece que "la mujer funcionario causará los mismos derechos pasivos que el varón", se reconocen con efectos económicos únicamente desde el 1 de enero de 1984 a los causados con anterioridad; 3º) finalmente, este planteamiento se opone a la causa de inadmisibilidad alegada en el recurso contencioso, porque existe un acto administrativo, aunque la resolución de la alzada lo anulase sólo por motivos formales; así, la resolución inicial del órgano de gestión desestimó la solicitud de pensión y ese efecto subsiste aun después de la invalidación formal de tal acto por el T.E.A.C. que, aunque ordenaba resolver conforme a la nueva Ley, no estimó la solicitud de pensión, ni menos aun desde el momento temporal pretendido.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La Sección Cuarta de este Tribunal, por providencia de 23 de abril de 1986, acordó tener por recibidas las actuaciones de la Sección Primera de lo Contencioso-Administrativo de la Audiencia Nacional, y admitir a trámite la cuestión de inconstitucionalidad promovida con el núm. 425/86, dando traslado, de conformidad con lo dispuesto en el art. 37.2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w:t>
      </w:r>
      <w:r>
        <w:lastRenderedPageBreak/>
        <w:t>publicación de la incoación de la cuestión de inconstitucionalidad en el "Boletín Oficial del Estado".</w:t>
      </w:r>
    </w:p>
    <w:p w:rsidR="00FE0907" w:rsidRDefault="00FE0907" w:rsidP="00FE0907">
      <w:pPr>
        <w:pStyle w:val="TextoNormal"/>
      </w:pPr>
    </w:p>
    <w:p w:rsidR="00FE0907" w:rsidRDefault="00FE0907" w:rsidP="00FE0907">
      <w:pPr>
        <w:pStyle w:val="TextoNormal"/>
      </w:pPr>
      <w:r w:rsidRPr="00FE0907">
        <w:rPr>
          <w:rStyle w:val="NumeroAFNegritaCaracter"/>
        </w:rPr>
        <w:t>5</w:t>
      </w:r>
      <w:r>
        <w:t>. El Senado, en escrito presentado el 20 de junio de 1986, solicitó se le tuviera por personado en el procedimiento y por ofrecida su colaboración a los efectos del art. 88.1 LOTC. El Congreso de los Diputados, en su escrito registrado con fecha 12 de julio de 1986, comunicó al Tribunal que, aun cuando no se personara en el procedimiento ni formulase alegaciones, ponía a su disposición las actuaciones de la Cámara que pudiera precisar.</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Fiscal General del Estado, en su escrito de alegaciones, presentado en fecha 16 de mayo de 1986, tras exponer los antecedentes de hecho de la cuestión planteada, interesa, en primer término, se rechace la cuestión por cuanto, dados los términos en que se produce la demanda que inicia el proceso contencioso, la Sala promovente puede pronunciarse sin necesidad de que verifique declaración alguna acerca de la presunta inconstitucionalidad del art. 32.1, inciso final, de la Ley 30/1984, de 2 de agosto; y, en todo caso, de entrar a resolver sobre el fondo del proceso constitucional, se declare que no se ajusta a los dictados de la Constitución el límite temporal que para la producción de efectos económicos de las pensiones, se establece en aquella Ley. Esta petición dual se fundamenta en los siguientes argumentos: 1º) comienza el Ministerio Público por señalar la proximidad que, con el supuesto ahora planteado, guardan otros asuntos resueltos anteriormente por el Tribunal Constitucional; sentado lo cual ha de centrarse el tema objeto de la cuestión que versa sobre si el art. 40 del Texto Refundido de la Ley de Derechos Pasivos de 21 de abril de 1966, estaba vigente al tiempo de fallecer la causante de la pensión que se reclamó, o, por el contrario, al ser precepto preconstitucional resultó derogado por la Disposición derogatoria tercera de la Constitución, así como, si la normativa que surge por la vía del art. 32.1, in fine, de la Ley 30/1984, de 2 de agosto, reparó el tratamiento discriminatorio e inconstitucional de aquella Ley de 1966 y alcance de la limitación que en tal precepto se contiene; 2º) pues bien, en virtud de los antecedentes que se integran en las SSTC 103/1983 y 104/1983 y en la 42/1984, inicialmente señaladas, la respuesta a la primera cuestión no puede ser sino afirmativa, pues establecido el art. 40 de la Ley de 21 de abril de 1966, un tratamiento discriminatorio en orden a las pensiones causadas por funcionario o funcionaria a favor de esposo o esposa, en clara oposición al art. 14 C.E., es esta norma fundamental la que arrastra la invalidez del precepto discriminatorio que, en todo caso, el Tribunal ordinario podría proclamar como se infiere del propio fundamento jurídico tercero del Auto de planteamiento de la cuestión; de forma que, la Disposición derogatoria de la Ley 30/1984 no haría otra cosa que reforzar una derogación ya impuesta por la propia Constitución desde la fecha de entrada en vigor de esta última; 3º) ahora bien, en lo que respecta a la segunda cuestión apuntada, ante todo ha de señalarse que el Tribunal ordinario pudo, en virtud de lo dispuesto en el art. 5.3 de la Ley Orgánica del Poder Judicial, conocer del asunto sin necesidad de promover la cuestión, puesto que el art. 40 de la Ley de 21 de abril de 1966, se debió interpretar a tenor de la derogación sobrevenida y exigencia constitucional de igualdad ya reseñadas, ésto es, mediante la acomodación de la norma aplicable al ordenamiento constitucional, por vía interpretativa; por el contrario, al centrar el debate en el alcance de los efectos económicos del derecho de pensión en condiciones de igualdad que establece la Ley 30/1984, de 2 de agosto, lo que hace es dar al precepto cuestionado un carácter retroactivo en perjuicio de "derechos individuales"; 4º) ahora bien, en el supuesto de que las anteriores consideraciones no sean aceptadas por el Tribunal, y </w:t>
      </w:r>
      <w:r>
        <w:lastRenderedPageBreak/>
        <w:t>se estime que es la limitación contenida en el art. 32 de la Ley 30/1984 la que impide acceder a lo solicitado en el proceso contencioso, y si bien la determinación de los efectos económicos a partir del 1 de enero de 1984 que se establece en el precepto cuestionado puede no ser necesariamente anticonstitucional en la medida en que venga impuesta por imperativos de orden presupuestario, el propio Tribunal Constitucional ha señalado con anterioridad (en la STC 103/1983) la necesidad de una fundamentación que justifique la desigualdad en tales casos, y en este supuesto, por tanto, mientras los órganos del poder legislativo no aporten los elementos y causas que justifiquen la razonabilidad del trato desigual que, en razón del tiempo, operará en virtud del precepto cuestionado en perjuicio de pensiones causadas antes del primero de enero de 1984 y que no llegaron a producir efectos económicos con antelación a dicha fecha, puede en efecto, ser dicho precepto contrario al principio de igualdad, por lo que, en esta segunda vertiente se interesa la estimación de la cuestión.</w:t>
      </w:r>
    </w:p>
    <w:p w:rsidR="00FE0907" w:rsidRDefault="00FE0907" w:rsidP="00FE0907">
      <w:pPr>
        <w:pStyle w:val="TextoNormal"/>
      </w:pPr>
    </w:p>
    <w:p w:rsidR="00FE0907" w:rsidRDefault="00FE0907" w:rsidP="00FE0907">
      <w:pPr>
        <w:pStyle w:val="TextoNormal"/>
      </w:pPr>
      <w:r w:rsidRPr="00FE0907">
        <w:rPr>
          <w:rStyle w:val="NumeroAFNegritaCaracter"/>
        </w:rPr>
        <w:t>7</w:t>
      </w:r>
      <w:r>
        <w:t>. El Abogado del Estado, en escrito presentado el 26 de mayo de 1986, formula sus alegaciones, en las que señala, en esencia, lo siguiente: 1º) ante todo, conviene precisar que la presente cuestión presenta prima facie analogías con las resueltas por el Tribunal en sus SSTC 103/1983 y 104/1983; pero esa similitud no es otra que la discriminación por razón de sexo en perjuicio del varón, respecto de las pensiones de viudedad, y llegados a este punto, es evidente también que el precepto legal ahora cuestionado no es un precepto discriminatorio, sino que, por el contrario, reconoce plenamen- te la igualdad, derogando el art. 40 de la Ley de Derechos Pa sivos de 21 de abril de 1966; lo aquí planteado no es, por tanto, una eventual situación de desigualdad creada por el precep-to legal objeto de la cuestión, sino que el legislador ha querido recoger precisamente la doctrina sentada en las SSTC ya indicadas e incorporar las mismas a la legislación sobre Derechos Pasivos de los funcionarios, a través de la modificación del art. 40 de su Ley reguladora, esto es, mediante el precepto cuestionado. De suerte que lo realmente discutido en la cuestión es la retroactividad de tal precepto en cuanto a sus efectos económicos y no la constitucionalidad del contenido literal del mismo; 2º) sin embargo -continúa el Abogado del Estado-, el legislador en esta norma ha venido a reajustar el ordenamiento a los principios constitucionales sentados por el propio Tribunal Constitucional, siendo así que la modulación de efectos económicos de la adaptación entra dentro del ámbito lícito de la misma, conjugando los principios de legalidad presupuestaria y seguridad jurídica, de forma que no es arbitraria ni irrazonable; 3º) además, se trata de un ámbito normativo diferente por completo al que se analizó en las SSTC 103/1983 y 104/1983, de forma que el precepto legal cuestionado no se ve afectado por dichas resoluciones según disponen los arts. 38, 39 y 40 LOTC; 4º) finalmente, la cuestión no se halla correctamente planteada, ya que la limitación de efectos económicos que puede experimentar el recurrente del proceso contencioso, no deriva del art. 32.1, in fine, de la Ley 30/1984, cuestionado, sino del art. 40 de la Ley de Derechos Pasivos de 1966, que es el que, vigente hasta su derogación por la anterior Ley, contiene la eventual desigualdad; de forma que la hipotética declaración de inconstitucionalidad del precepto cuestionado, desnaturalizaría el proceso constitucional que nos ocupa y supondría una sustitución del legislador ordinario y una declaración retroactiva, con efectos subjetivos que trascenderían mucho más allá de la situación del demandante del proceso de origen de la cuestión, en contra de los principios recogidos en los arts. 38, 39 y 40 LOTC. En virtud de todo ello, el Abogado del Estado concluye interesando la desestimación de la cuestión planteada.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Por providencia del Pleno de este Tribunal de fecha 14 de enero del presente año, se acordó señalar el día 16 de enero siguiente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Sección Primera de la Sala de lo Contencioso Administrativo de la Audiencia Nacional plantea cuestión de inconstitucionalidad acerca de si el inciso final del párrafo primero del art. 32 de la Ley 30/1984, de 2 de agosto, de Medidas para la Reforma de la Función Pública, es o no contraria al art.  14 C.E. Dicho párrafo primero dispone que "la mujer funcionario causará los mismos derechos pasivos que el varón...", y a continuación añade, "...reconociéndose, no obstante, efectos económicos unicamente desde el 1 de enero de 1984 a los causados con anterioridad".  Es este último inciso el que origina la duda de constitucionalidad en el Tribunal proponente de la cuestión, y de cuya validez, según el Auto de planteamiento, depende el fallo en el proceso de origen.</w:t>
      </w:r>
    </w:p>
    <w:p w:rsidR="00FE0907" w:rsidRDefault="00FE0907" w:rsidP="00FE0907">
      <w:pPr>
        <w:pStyle w:val="TextoNormal"/>
      </w:pPr>
    </w:p>
    <w:p w:rsidR="00FE0907" w:rsidRDefault="00FE0907" w:rsidP="00FE0907">
      <w:pPr>
        <w:pStyle w:val="TextoNormal"/>
      </w:pPr>
      <w:r w:rsidRPr="00FE0907">
        <w:rPr>
          <w:rStyle w:val="NumeroAFNegritaCaracter"/>
        </w:rPr>
        <w:t>2</w:t>
      </w:r>
      <w:r>
        <w:t>. El Fiscal General del Estado pone en duda la procedencia de la cuestión planteada, fundamentándola en el hecho de que el Tribunal proponente ha podido resolver sobre el fondo del asunto sin necesidad de promoverla, atemperando su conducta simplemente a la exigencia contenida en el art. 5.3 de la Ley Orgánica 6/1985 de 1 de julio. Dicho razonamiento no puede prosperar. De una parte y según tiene declarado este Tribunal (STC 103/1983, fundamento jurídico 1º), no se exige, entre los requisitos de admisión de una cuestión de inconstitucionalidad, que el caso planteado no pueda resolverse con otros razonamientos que los aducidos por el órgano promovente, más que en aquellos supuestos en que dichos razonamientos resultasen notoriamente inadecuados en relación con lo que es generalmente admitido en Derecho; ya que lo contrario supondría un enjuiciamiento de la fundamentación que el Juez a quo haya realizado, enjuiciamiento que no compete a este Tribunal, salvo en los supuestos a los que anteriormente se hace referencia y que, con toda evidencia, no concurren en la presente cuestión. De otra parte, la vía interpretativa a la que el Fiscal General del Estado hace referencia, no puede considerarse tan evidente como para dejar sin contenido el aspecto controvertido de la norma en una ilimitada tendencia a su acomodación al ordenamiento constitucional, ni el órgano judicial ha planteado duda interpretativa alguna al respecto, de modo que la cuestión no puede ser rechazada por este motivo, y ello sin perjuicio de que en su caso pudiera este Tribunal Constitucional resolver también la cuestión de inconstitucionalidad utilizando la vía interpretativa.</w:t>
      </w:r>
    </w:p>
    <w:p w:rsidR="00FE0907" w:rsidRDefault="00FE0907" w:rsidP="00FE0907">
      <w:pPr>
        <w:pStyle w:val="TextoNormal"/>
      </w:pPr>
    </w:p>
    <w:p w:rsidR="00FE0907" w:rsidRDefault="00FE0907" w:rsidP="00FE0907">
      <w:pPr>
        <w:pStyle w:val="TextoNormal"/>
      </w:pPr>
      <w:r w:rsidRPr="00FE0907">
        <w:rPr>
          <w:rStyle w:val="NumeroAFNegritaCaracter"/>
        </w:rPr>
        <w:t>3</w:t>
      </w:r>
      <w:r>
        <w:t>. En opinión del Abogado del Estado, la cuestión de inconstitucionalidad no se halla correctamente planteada, ya que no deriva en realidad del art. 32 de la Ley 30/1984 sino del art.  40 de la Ley de Derechos Pasivos de los Funcionarios (haciendo referencia a su Texto Refundido aprobado por Decreto 1.120/1966, de 21 de abril) vigente hasta su derogación por la Ley 30/1984, y que es el que contiene la posible desigualdad, sin que este precepto haya sido objeto de cuestión de inconstitucionalidad.</w:t>
      </w:r>
    </w:p>
    <w:p w:rsidR="00FE0907" w:rsidRDefault="00FE0907" w:rsidP="00FE0907">
      <w:pPr>
        <w:pStyle w:val="TextoNormal"/>
      </w:pPr>
      <w:r>
        <w:t xml:space="preserve">Es cierto que el invocado art. 40 no ha sido objeto de cuestión de inconstitucionalidad, pero de ello no cabe deducir que la cuestión que se eleva a este Tribunal está incorrectamente planteada: la Ley que el Tribunal proponente considera aplicable al caso y de cuya validez depende el fallo es la Ley 30/1984 y no dicho art. 40. En consecuencia la cuestión </w:t>
      </w:r>
      <w:r>
        <w:lastRenderedPageBreak/>
        <w:t>de inconstitucionalidad no puede trasladarse, como el Abogado del Estado pretende, al repetido art. 40 (aunque se pueda examinar tal precepto como antecedente de la cuestión debatida), sino que ha de centrarse en la normativa correctamente identificada por la Sección proponente y en el análisis de si la misma resulta o no contraria a los principios y dictados de la Constitución.</w:t>
      </w:r>
    </w:p>
    <w:p w:rsidR="00FE0907" w:rsidRDefault="00FE0907" w:rsidP="00FE0907">
      <w:pPr>
        <w:pStyle w:val="TextoNormal"/>
      </w:pPr>
    </w:p>
    <w:p w:rsidR="00FE0907" w:rsidRDefault="00FE0907" w:rsidP="00FE0907">
      <w:pPr>
        <w:pStyle w:val="TextoNormal"/>
      </w:pPr>
      <w:r w:rsidRPr="00FE0907">
        <w:rPr>
          <w:rStyle w:val="NumeroAFNegritaCaracter"/>
        </w:rPr>
        <w:t>4</w:t>
      </w:r>
      <w:r>
        <w:t>. Ahora bien -y entramos en el fondo de la cuestión planteada- el hecho de que el art. 40 de la Ley de Derechos Pasivos de los Funcionarios, vigente en el momento de promulgación del Texto Constitucional, no pueda considerarse como eje conductor de la presente cuestión de inconstitucionalidad, según ha quedado razonado en el precedente fundamento, no equivale, con plena evidencia, a un respaldo de la constitucionalidad del referido artículo.</w:t>
      </w:r>
    </w:p>
    <w:p w:rsidR="00FE0907" w:rsidRDefault="00FE0907" w:rsidP="00FE0907">
      <w:pPr>
        <w:pStyle w:val="TextoNormal"/>
      </w:pPr>
      <w:r>
        <w:t>Muy por el contrario, al recogerse en el mismo que "la mujer funcionario público de la Administración Civil del Estado adquirirá y causará los mismos derechos pasivos que el varón, sin mas excepciones que las de que no causará en ningún caso pensión de viudedad y que a la de orfandad no tendrán derecho los hijos mientras viva el padre" (salvo que se de en éste alguna de las circunstancias que enumera el artículo y que no afectan a lo esencial de nuestro razonamiento) resulta claro que contenía una diferenciación o discriminación del trato jurídico, fundada en el sexo de los colectivos a los que se refiere y que, sin justificación razonable de la desigualdad que así se produce, ha de considerarse contraria al principio de igualdad consagrado por la Constitución, según los criterios expuestos por este Tribunal en anteriores Sentencias, entre otras las SSTC 103/1983 y 104/1983.</w:t>
      </w:r>
    </w:p>
    <w:p w:rsidR="00FE0907" w:rsidRDefault="00FE0907" w:rsidP="00FE0907">
      <w:pPr>
        <w:pStyle w:val="TextoNormal"/>
      </w:pPr>
      <w:r>
        <w:t>No obstante y como atinadamente inicia su razonamiento el Abogado del Estado, al considerar las posibles analogías existentes entre el supuesto que ahora nos ocupa y las cuestiones resueltas por las precitadas Sentencias, es notorio que dichas analogías lo son prima facie y que un examen más profundo pone de evidencia que nos encontramos ante supuestos diferentes: a través de aquellas Sentencias este Tribunal restablecía la igualdad afectada por normas preconstitucionales, no sin dejar sentado que tal restablecimiento "ha de entenderse sin perjuicio de la potestad de los órganos de producción jurídica del Estado para articular un sistema diferente, siempre que en el mismo se respeten los principios y dictados de la Constitución y en especial el principio de igualdad" (fundamento jurídico 7º, párrafo final, STC 103/1983).  En la cuestión de inconstitucionalidad que ahora se debate, han sido precisamente aquellos otros órganos del Estado -es decir, el legislador- quienes excluyen del ordenamiento jurídico la norma discriminatoria y articulan, con evidente propósito reparador de la desigualdad en aquella contenida, un nuevo mecanismo, consistente en reconocer a la mujer funcionaria los mismos derechos pasivos establecidos para el varón funcionario.  Mecanismo que, lógicamente, ha de interpretarse referido a la igualación de los derechos pasivos que conforme a la anterior legislación eran diferentes, esto es, los derechos a causar pensiones de viudedad y de orfandad.</w:t>
      </w:r>
    </w:p>
    <w:p w:rsidR="00FE0907" w:rsidRDefault="00FE0907" w:rsidP="00FE0907">
      <w:pPr>
        <w:pStyle w:val="TextoNormal"/>
      </w:pPr>
      <w:r>
        <w:t xml:space="preserve">El art. 40 de la Ley de Derechos Pasivos de los Funcionarios (Texto Refundido aprobado por Decreto 1.120/1966), ha estado formalmente vigente hasta su derogación por la Ley 30/1984. Y aunque materialmente pudiera considerarse contrario a la Constitución, en cuanto desconocedor del derecho a la igualdad y no discriminación del art. 14 C.E., sin la correspondiente declaración de inconstitucionalidad por parte de este Tribunal, o sin la consiguiente intervención en su caso del órgano judicial que hubiera de aplicarlo, la Administración, vinculada estrictamente al principio de legalidad en una materia como la presente de concesión de prestaciones a cargo de los Presupuestos, podía razonablemente negarse a conceder la prestación, negativa cuyo carácter contrario a la Constitución no fue </w:t>
      </w:r>
      <w:r>
        <w:lastRenderedPageBreak/>
        <w:t>evidente sino hasta la STC 103/1983. El legislador de 1984, siguiendo la doctrina sentada en la STC 103/1983 lo que ha hecho es derogar y sustituir el art. 40, para adaptarlo al mandato constitucional, permitiendo así a la Administración la concesión de estas prestaciones, y facilitando al mismo tiempo el ejercicio del derecho de los beneficiarios sin necesidad de la intermediación judicial ordinaria o constitucional.</w:t>
      </w:r>
    </w:p>
    <w:p w:rsidR="00FE0907" w:rsidRDefault="00FE0907" w:rsidP="00FE0907">
      <w:pPr>
        <w:pStyle w:val="TextoNormal"/>
      </w:pPr>
      <w:r>
        <w:t>La norma permite así ejercitar y, en su caso, satisfacer unos derechos que hasta entonces, o al menos hasta la STC 103/1983, no era claro que pudieran deducirse directamente de la Constitución.  Desde la óptica constitucional resulta irreprochable el mecanismo igualatorio que no fija reserva alguna respecto al momento de la adquisición del derecho, o sea de la fecha del fallecimiento del o la causante.  La limitación temporal, se limita sólo a los efectos económicos, o sea a la caducidad de las eventuales pensiones mensuales devengadas antes del 1 de enero de 1984. La diferencia de trato que se cuestiona se reduce así a la regulación transitoria de un distinto plazo de caducidad de las prestaciones, entre las pensiones causadas por las funcionarias y las causadas por los funcionarios, o, respecto a los beneficiarios, entre las pensiones de los viudos de las funcionarias, respecto a las pensiones de las viudas de los funcionarios, diferencia de trato que es la que la Sala cuestionante considera contraria al art. 14 C.E..</w:t>
      </w:r>
    </w:p>
    <w:p w:rsidR="00FE0907" w:rsidRDefault="00FE0907" w:rsidP="00FE0907">
      <w:pPr>
        <w:pStyle w:val="TextoNormal"/>
      </w:pPr>
    </w:p>
    <w:p w:rsidR="00FE0907" w:rsidRDefault="00FE0907" w:rsidP="00FE0907">
      <w:pPr>
        <w:pStyle w:val="TextoNormal"/>
      </w:pPr>
      <w:r w:rsidRPr="00FE0907">
        <w:rPr>
          <w:rStyle w:val="NumeroAFNegritaCaracter"/>
        </w:rPr>
        <w:t>5</w:t>
      </w:r>
      <w:r>
        <w:t>. Para juzgar de la compatibilidad con el art. 14 C.E. del inciso cuestionado, ha de tenerse en cuenta, en primer lugar, que el mismo incide diversamente en las situaciones causadas a partir de la entrada en vigor de la Constitución, según si se hubiese ejercitado o no efectivamente el derecho fundamental a la igualdad como base para obtener la correspondiente prestación.  Para los que no hubieran ejercido ese derecho, la Ley 30/1984 permite y facilita, sin necesidad de invocar ya el derecho a la igualdad, la obtención de la prestación, aunque reduciendo el alcance temporal retroactivo del efecto económico. Para los que hubiesen tratado de obtener la correspondiente pensión invocando el derecho a la no discriminación del art.  14 C.E. en relación con situaciones generadas tras la entrada en vigor de la Constitución, la Administración no podría habérsela otorgado, pero en el correspondiente proceso judicial, el Tribunal, de acuerdo a la doctrina establecida en la STC 103/1983, no podría haber aplicado, sin violar aquel derecho fundamental, el límite que para las pensiones de los viudos establecía el art. 40 de la Ley de Derechos Pasivos, y consecuentemente debería haber reconocido el derecho a la pensión, con el límite de efectos económicos en relación al momento de formularse la solicitud de pensión, derivado del plazo general de caducidad establecido en la Ley de Derechos Pasivos. Para estos casos la aplicación de la Ley 30/1984, que entró en vigor con posterioridad al momento de su ejercicio del derecho, implicaría una reducción del alcance temporal del inicio del devengo de las pensiones, que no se daría de no aplicar la regla cuestionada. Esta muy distinta incidencia de la norma, en función del efectivo ejercicio del derecho fundamental antes o después del momento de la entrada en vigor de la Ley 30/1984, obliga a examinar diferenciadamente la constitucionalidad del precepto en relación a una u otra de las situaciones.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relación con los casos de no ejercicio del derecho fundamental antes de la entrada en vigor de la Ley 30/1984, ha de tenerse en cuenta que la situación legal de los beneficiarios de pensiones causadas por las funcionarias, no era igual a la de las viudas en relación a las pensiones causadas por los funcionarios.  En este último caso existía una regla legal que ya reconocía expresamente el derecho, mientras que en el primer caso la regla legal (art. 40 de la Ley de Derechos Pasivos de los Funcionarios) no reconocía el derecho, y por ello era inconstitucional, pero sólo el ejercicio del derecho fundamental a la igualdad </w:t>
      </w:r>
      <w:r>
        <w:lastRenderedPageBreak/>
        <w:t>y no discriminación hubiera permitido, para las situaciones causadas a partir de la entrada en vigor de la Constitución, la obtención de la correspondiente pensión en condiciones de igualdad.</w:t>
      </w:r>
    </w:p>
    <w:p w:rsidR="00FE0907" w:rsidRDefault="00FE0907" w:rsidP="00FE0907">
      <w:pPr>
        <w:pStyle w:val="TextoNormal"/>
      </w:pPr>
      <w:r>
        <w:t>Tiene razón el Abogado del Estado al afirmar que en materia de pensiones, al tratarse del derecho de prestación, está en juego el principio de legalidad presupuestaria, y que la obligación de adaptación automática de la normativa preconstitucional no resulta exigible. Puede afirmarse también que no cabe deducir que, por efectos normativos directos de la Disposición derogatoria tercera del Texto constitucional, se origine un concreto y determinado sistema de derechos pasivos que deba operar automáticamente. Por ello, y también en aras de la seguridad jurídica, resultaba necesario que el poder público determinara las nuevas reglas aplicables, que es lo que hace el art. 32 de la Ley 30/1984, permitiendo a partir de su entrada en vigor la obtención ex lege de la pensión de viudedad, que hasta entonces la Ley negaba.</w:t>
      </w:r>
    </w:p>
    <w:p w:rsidR="00FE0907" w:rsidRDefault="00FE0907" w:rsidP="00FE0907">
      <w:pPr>
        <w:pStyle w:val="TextoNormal"/>
      </w:pPr>
      <w:r>
        <w:t>No puede decirse así que el precepto cuestionado, al limitar los efectos económicos para el pasado de la reforma que introduce, tenga, para quienes hasta ese momento no hubiesen ejercido aquel derecho, un efecto de "regeneración" de la situación de desigualdad vedada ex Constitutione, sino que se limita a establecer una disciplina transitoria para los efectos en el pasado del ejercicio, tras la entrada en vigor de la Ley, de los derechos que la nueva norma legal expresamente reconoce y declara, aunque la fecha causante fuera anterior a la entrada en vigor de la misma.</w:t>
      </w:r>
    </w:p>
    <w:p w:rsidR="00FE0907" w:rsidRDefault="00FE0907" w:rsidP="00FE0907">
      <w:pPr>
        <w:pStyle w:val="TextoNormal"/>
      </w:pPr>
      <w:r>
        <w:t>Esta limitación temporal de los efectos económicos del ejercicio del derecho, no puede considerarse en este caso contraria al art.  14 de la Constitución, pues ni obedece a un objetivo discriminatorio en función del sexo, ni trata situaciones absolutamente equiparables y además la diferencia transitoria que establece, en relación, se insiste, a los efectos económicos de la petición tardía, entre quienes ya tenían reconocido legalmente el derecho y quienes formalmente en aquel momento lo tenían negado, obedece a una causa razonable y, además, no tiene como fin ni como efecto de agravación o mantenimiento de la situación de discriminación de la mujer de la que parte la diferencia de trato que establecía el art. 40 de la anterior Ley de Derechos Pasivos de Funcionarios del Estado.</w:t>
      </w:r>
    </w:p>
    <w:p w:rsidR="00FE0907" w:rsidRDefault="00FE0907" w:rsidP="00FE0907">
      <w:pPr>
        <w:pStyle w:val="TextoNormal"/>
      </w:pPr>
      <w:r>
        <w:t>Como hemos dicho en la STC 128/1987, "si no se quieren dejar vacíos de contenido los preceptos contrarios a la discriminación de la mujer", no debe ignorarse la histórica situación de inferioridad social y jurídica de la mujer que la interdicción de discriminación del art. 14 C.E. trata de remediar. La restricción del derecho de la mujer funcionaria a consolidar derechos pasivos en favor de su viudo,y, consiguientemente, la situación más ventajosa en materia de pensiones de las viudas de los funcionarios en relación a los viudos de las funcionarias, tuvo su base en un hecho evidente, la histórica situación de marginación de la mujer en el mercado de trabajo.</w:t>
      </w:r>
    </w:p>
    <w:p w:rsidR="00FE0907" w:rsidRDefault="00FE0907" w:rsidP="00FE0907">
      <w:pPr>
        <w:pStyle w:val="TextoNormal"/>
      </w:pPr>
      <w:r>
        <w:t xml:space="preserve">Aunque el trato desigual pudiera entenderse formalmente en perjuicio del varón, materialmente presupone una valoración peyorativa de la condición laboral de la mujer. El mantenimiento de la diferencia legal de trato en materia de pensiones contribuiría a que continuará esa situación de exclusión, favoreciendo o incentivando que la mujer no trabaje fuera del hogar. A su vez no debe de ignorarse que, tratándose de situaciones que se consolidan en el tiempo, como las pensiones, la situación de partida, la marginación laboral de la mujer, solo puede ser corregida para el futuro y, por ello, el mejor trato de las viudas de funcionarios en materia de pensiones sirve también para compensar la previa situación existente de discriminación.  La igualdad de trato en materia de pensiones entre los funcionarios y las funcionarias resulta un instrumento necesario para evitar la perpetuación de la situación social de marginación, pero ello no impide considerar constitucionalmente </w:t>
      </w:r>
      <w:r>
        <w:lastRenderedPageBreak/>
        <w:t>justificadas diferencias de trato en relación al pasado que puedan ser entendidas como dirigidas a compensar o reequilibrar unas situaciones previas de discriminación, y como tal puede entenderse también esta disciplina transitoria que supone diferencias de efectos económicos, en relación con el momento del ejercicio del derecho, entre el colectivo de las viudas de los funcionarios, que contaban claramente con la expectiva del derecho a obtener una pensión causada por su marido, y en función de ello pudieron optar por no trabajar y, por ello, causar directamente el derecho a pensiones de carácter contributivo, y el colectivo de los viudos de las funcionarias que al no contar originariamente con esa expectativa, pudieron adaptar su vida desde un primer momento a esa expectativa de no generación de pensión por su esposa funcionaria.</w:t>
      </w:r>
    </w:p>
    <w:p w:rsidR="00FE0907" w:rsidRDefault="00FE0907" w:rsidP="00FE0907">
      <w:pPr>
        <w:pStyle w:val="TextoNormal"/>
      </w:pPr>
      <w:r>
        <w:t>Además, no es ocioso recordar la función de cobertura de situación de necesidad que cumplen las pensiones de Seguridad Social, incluidas las de clases pasivas, y que la ordenación de los recursos necesariamente escasos dedicados a esas pensiones debe atender antes a la proyección presente y futura de esas prestaciones, que a la cobertura de situaciones y de hechos pasados respecto a los que esas prestaciones ya no pueden cumplir su función originaria. Se trata además, de derechos de prestación, de evidente contenido económico, a cargo de los presupuestos públicos, y que han podido afectar a un número considerable de beneficiarios, por lo que el reconocimiento de derechos con efectos económicos para el futuro puede considerarse también constitucionalmente justificado, debiendo reconocerse en estos casos un margen al legislador para el reconocimiento de derechos de carácter patrimonial. No deja de ser significativo que las Directivas comunitarias referidas a la igualdad de trato entre hombres y mujeres en materia de Seguridad Social (79/7 y 86/378), hayan previsto una aplicación progresiva del principio, incluyendo además excepciones en relación con las pensiones de viudedad.</w:t>
      </w:r>
    </w:p>
    <w:p w:rsidR="00FE0907" w:rsidRDefault="00FE0907" w:rsidP="00FE0907">
      <w:pPr>
        <w:pStyle w:val="TextoNormal"/>
      </w:pPr>
      <w:r>
        <w:t>A diferencia de la situación examinada en la STC 216/1991, el legislador parlamentario ni ha demorado la corrección de la situación desigual, en cuanto que inmediatamente ha tratado de aplicar a la legislación de clases pasivas la doctrina de la STC 103/1983 en materia de pensiones de viudedad de la Seguridad Social, ni ha llevado a cabo tal corrección de manera arbitraria sino de acuerdo a criterios fundados razonables y de valor generalmente admitidos, concordantes con la interpretación que este Tribunal ha hecho en casos similares de los efectos para el pasado de las Sentencias declarativas de inconstitucionalidad (STC 45/1989, fundamento jurídico 11).</w:t>
      </w:r>
    </w:p>
    <w:p w:rsidR="00FE0907" w:rsidRDefault="00FE0907" w:rsidP="00FE0907">
      <w:pPr>
        <w:pStyle w:val="TextoNormal"/>
      </w:pPr>
      <w:r>
        <w:t>En consecuencia, no puede considerarse contrario al art. 14 C.E., el inciso final del párrafo primero del art. 32 de la Ley 30/1984, en cuanto supone el mantenimiento transitorio de una diferencia de trato, en relación a los efectos económicos, entre las viudas que ya tenían reconocido formalmente su derecho por la legislación de clases pasivas, y los viudos que no lo tenían reconocido formalmente, ni, al mismo tiempo, habían tratado de obtenerlo invocando el derecho reconocido en el art. 14 C.E..</w:t>
      </w:r>
    </w:p>
    <w:p w:rsidR="00FE0907" w:rsidRDefault="00FE0907" w:rsidP="00FE0907">
      <w:pPr>
        <w:pStyle w:val="TextoNormal"/>
      </w:pPr>
    </w:p>
    <w:p w:rsidR="00FE0907" w:rsidRDefault="00FE0907" w:rsidP="00FE0907">
      <w:pPr>
        <w:pStyle w:val="TextoNormal"/>
      </w:pPr>
      <w:r w:rsidRPr="00FE0907">
        <w:rPr>
          <w:rStyle w:val="NumeroAFNegritaCaracter"/>
        </w:rPr>
        <w:t>7</w:t>
      </w:r>
      <w:r>
        <w:t>. Tema distinto es el de la constitucionalidad del inciso cuestionado en cuanto pudiera considerarse aplicable a los viudos de funcionarias que, en relación a situaciones generadas tras la entrada en vigor de la Constitución, hubiesen solicitado la pensión, invocando el derecho a la no discriminación, antes del momento de entrada en vigor de la Ley 30/1984. La aplicación del art. 14 C.E. y de la doctrina establecida en la STC 103/1983, les hubiera permitido obtener el reconocimiento del derecho a la pensión, y desde el momento del hecho causante, sin perjuicio de la aplicación del plazo general de caducidad de cinco años. O dicho con otras palabras hubieran podido obtener un trato igual al de las viudas, de modo que la aplicación de la limitación temporal contenida en el inciso cues</w:t>
      </w:r>
      <w:r>
        <w:lastRenderedPageBreak/>
        <w:t>tionado sí que podría entenderse que produce un efecto de "regeneración" de la situación discriminatoria de desigualdad vedada por el art. 14 C.E. De este modo la norma correctora de la desigualdad para estos casos produciría el efecto contrario de regeneración de la situación desigual que estaba en vías de corrección en el procedimiento administrativo o judicial correspondiente.</w:t>
      </w:r>
    </w:p>
    <w:p w:rsidR="00FE0907" w:rsidRDefault="00FE0907" w:rsidP="00FE0907">
      <w:pPr>
        <w:pStyle w:val="TextoNormal"/>
      </w:pPr>
      <w:r>
        <w:t>El problema aquí, como sugiere el Fiscal General del Estado, ha de ponerse en conexión con la selección de la norma aplicable a una situación litigiosa establecida antes de la entrada en vigor de la Ley 30/1984 de 2 de agosto.  Desde luego, y no solo ya por el art. 14 C.E., sino también teniendo en cuenta el art. 9.3 C.E., el inciso cuestionado de la Ley 30/1984 no podría tener el efecto de la eliminación retroactiva de derechos individuales, que ya habían sido ejercidos en la vía administrativa y judicial pero que aún no habían sido resueltos, como sucede en el caso de origen, y si así se entendiera el precepto, como sostiene la Sala cuestionante, habría de declararse su inconstitucionalidad en relación a esas reclamaciones anteriores pendientes de resolución judicial.</w:t>
      </w:r>
    </w:p>
    <w:p w:rsidR="00FE0907" w:rsidRDefault="00FE0907" w:rsidP="00FE0907">
      <w:pPr>
        <w:pStyle w:val="TextoNormal"/>
      </w:pPr>
      <w:r>
        <w:t>Ha de darse la razón a la Sala cuestionante en que el sentido del precepto es claro y no permite otra interpretación que la que la propia Sala formula, que es a la que además corresponde seleccionar la norma que entienda aplicable al caso, la ley 30/1984.  Partiendo de esa necesaria premisa ha de declararse que el inciso cuestionado establece una diferencia de trato contraria al art. 14 C.E. y supone una limitación retroactiva de derechos contraria al art. 9.3 de la misma, en relación con las solicitudes de pensiones basadas en el derecho a la no discriminación, ejercitadas antes del momento de la entrada en vigor de dicha Ley, por lo que la limitación temporal de los efectos económicos que aquel establece no es aplicable a aquellas solicitudes tramitadas y en curso antes de la entrada en vigor de la Ley 30/1984.</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Declarar que el inciso final del art. 32, párrafo 1º de la Ley 30/1984, de 2 de agosto, de medidas para la reforma de la Función Pública, que dice "...reconociéndose, no obstante, efectos económicos unicamente desde el 1 de enero de 1984 a los causados con anterioridad", es inconstitucional en cuanto se entienda aplicable a las solicitudes de pensión tramitadas y en curso antes de la entrada en vigor de dicha Ley.</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dieciseis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9" w:name="SENTENCIA_1992_6"/>
      <w:r>
        <w:lastRenderedPageBreak/>
        <w:t>SENTENCIA 6/1992, de 16 de enero de 1992</w:t>
      </w:r>
    </w:p>
    <w:bookmarkEnd w:id="9"/>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ECLI:ES:TC:1992:6</w:t>
      </w:r>
    </w:p>
    <w:p w:rsidR="00FE0907" w:rsidRDefault="00FE0907" w:rsidP="00FE0907">
      <w:pPr>
        <w:pStyle w:val="SntesisDescriptiva"/>
      </w:pPr>
    </w:p>
    <w:p w:rsidR="00FE0907" w:rsidRDefault="00FE0907" w:rsidP="00FE0907">
      <w:pPr>
        <w:pStyle w:val="SntesisDescriptiva"/>
      </w:pPr>
      <w:r>
        <w:t>Recurso de amparo 1.317/1988. Contra providencia del Juzgado de Primera Instancia núm. 2 de  Orihuela recaída en el procedimiento judicial sumario del art. 131 de la Ley Hipotecaria.</w:t>
      </w:r>
    </w:p>
    <w:p w:rsidR="00FE0907" w:rsidRDefault="00FE0907" w:rsidP="00FE0907">
      <w:pPr>
        <w:pStyle w:val="SntesisDescriptiva"/>
      </w:pPr>
    </w:p>
    <w:p w:rsidR="00FE0907" w:rsidRDefault="00FE0907" w:rsidP="00FE0907">
      <w:pPr>
        <w:pStyle w:val="SntesisAnaltica"/>
      </w:pPr>
      <w:r>
        <w:t>Vulneración del derecho a la tutela judicial efectiva: indefensión causada por la resolución de desalojo de la recurrente-inquilina sin haber sido oída en el procedimiento</w:t>
      </w:r>
    </w:p>
    <w:p w:rsidR="00FE0907" w:rsidRDefault="00FE0907" w:rsidP="00FE0907">
      <w:pPr>
        <w:pStyle w:val="SntesisAnaltica"/>
      </w:pPr>
    </w:p>
    <w:p w:rsidR="00FE0907" w:rsidRDefault="00FE0907" w:rsidP="00FE0907">
      <w:pPr>
        <w:pStyle w:val="Extracto"/>
      </w:pPr>
      <w:r>
        <w:t>1.</w:t>
      </w:r>
      <w:r>
        <w:tab/>
        <w:t>Se reitera doctrina anterior (SSTC 41/1981, 64/1985, 41/1986, 148/1988 y 8/1991) según la cual la limitación de controversia y demás peculiaridades del procedimiento sumario al que se refieren los arts. 131 y ss. de la Ley Hipotecaria (entre las que se encuentra la estricta limitación de los llamados al procedimiento como partes legitimadas) no vulneran el derecho a la defensa consagrado en el art. 24.1 C.E., ya que queda abierta a los interesados la vía del juicio declarativo para la defensa de sus derechos [F.J. 3].</w:t>
      </w:r>
    </w:p>
    <w:p w:rsidR="00FE0907" w:rsidRDefault="00FE0907" w:rsidP="00FE0907">
      <w:pPr>
        <w:pStyle w:val="Extracto"/>
      </w:pPr>
    </w:p>
    <w:p w:rsidR="00FE0907" w:rsidRDefault="00FE0907" w:rsidP="00FE0907">
      <w:pPr>
        <w:pStyle w:val="Extracto"/>
      </w:pPr>
      <w:r>
        <w:t>2.</w:t>
      </w:r>
      <w:r>
        <w:tab/>
        <w:t>Se reitera igualmente que este Tribunal no puede ni debe actuar como un órgano revisor al que corresponda efectuar el control de mera legalidad, ni rectificar errores, equivocaciones o incorrecciones en la interpretación y aplicación de las normas legales que lleven a cabo los Jueces y Tribunales en el ejercicio exclusivo de la potestad que les reconoce el art. 117.3 C.E., salvo que al hacerlo se violase alguna garantía constitucional (STC 1/1991) [F.J. 4].</w:t>
      </w:r>
    </w:p>
    <w:p w:rsidR="00FE0907" w:rsidRDefault="00FE0907" w:rsidP="00FE0907">
      <w:pPr>
        <w:pStyle w:val="Extracto"/>
      </w:pPr>
    </w:p>
    <w:p w:rsidR="00FE0907" w:rsidRDefault="00FE0907" w:rsidP="00FE0907">
      <w:pPr>
        <w:pStyle w:val="Extracto"/>
      </w:pPr>
      <w:r>
        <w:t>3.</w:t>
      </w:r>
      <w:r>
        <w:tab/>
        <w:t>Una constante jurisprudencia constitucional identifica el concepto de indefensión con aquella limitación de los medios de defensa producida por una indebida actuación de los órganos judiciales (STC 98/1987), no sin dejar sentado que la indefensión de alcance constitucional es algo diverso de la indefensión meramente procesal, y debe alcanzar una significación material produciendo una lesión efectiva (STC 102/1987) o, en otras palabras, «un efectivo y real menoscabo del derecho de defensa» (SSTC 98/1987 y 145/1990, entre otras). Por lo demás, las situaciones de indefensión han de valorarse según las circunstancias de cada caso (STC 145/1986), sin que por ello la idea misma de indefensión deba limitarse, restrictivamente, «al ámbito de las que puedan plantearse en los litigios concretos, sino que ha de extenderse a la interpretación desde el punto de vista constitucional de las leyes reguladoras de los procesos» (STC 48/1984) [ F.J. 5].</w:t>
      </w:r>
    </w:p>
    <w:p w:rsidR="00FE0907" w:rsidRDefault="00FE0907" w:rsidP="00FE0907">
      <w:pPr>
        <w:pStyle w:val="Extracto"/>
      </w:pPr>
    </w:p>
    <w:p w:rsidR="00FE0907" w:rsidRDefault="00FE0907" w:rsidP="00FE0907">
      <w:pPr>
        <w:pStyle w:val="Extracto"/>
      </w:pPr>
      <w:r>
        <w:t>4.</w:t>
      </w:r>
      <w:r>
        <w:tab/>
        <w:t xml:space="preserve">Debe propiciarse una interpretación y aplicación del art. 132 L.H. que elimine aquellos efectos no queridos o, al menos, en contradicción flagrante con el derecho fundamental a la defensa y con normas de Derecho necesarias (art. 57, en relación con el 114.4 de la L.A.U.), dado que el lanzamiento coloca a la arrendataria -sin ser oída en juicio- en posición notoria y gravemente disminuida para una eficaz defensa de su derecho, obligándola a interponer una demanda de juicio </w:t>
      </w:r>
      <w:r>
        <w:lastRenderedPageBreak/>
        <w:t>declarativo para reponerla en la posesión, de la que ha sido unilateralmente privada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número 1.317/88, promovido por doña Josefa Buigues Artigues, representada por el Procurador de los Tribunales don José Pérez Templado y asistida del Letrado don Pedro Alemany Cortell, contra providencia de 28 de junio de 1988, recaída en el procedimiento judicial sumario del art. 131 de la Ley Hipotecaria núm. 176/86 del Juzgado de Primera Instancia núm. 2 de Orihuela. Han sido partes el Ministerio Fiscal y la Caja Rural del Mediterraneo, Soc. Coop. de Crédito Limitada, representada por el Procurador de los Tribunales don Julián del Olmo Pastor, y ha sido Ponente el Magistrado don Fernando García-Mon y González-Regueral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Don José Pérez Templado, Procurador de los Tribunales, en nombre y representación de doña Josefa Buigues Artigues, por medio de escrito presentado el 19 de julio de 1988, interpone recurso de amparo contra providencia de 28 de junio de 1988, recaída en el procedimiento judicial sumario del art. 131 de la Ley Hipotecaria núm. 176/86 del Juzgado de Primera Instancia núm. 2 de Orihuela (Alicante).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los siguientes hechos: </w:t>
      </w:r>
    </w:p>
    <w:p w:rsidR="00FE0907" w:rsidRDefault="00FE0907" w:rsidP="00FE0907">
      <w:pPr>
        <w:pStyle w:val="TextoNormal"/>
      </w:pPr>
      <w:r>
        <w:t xml:space="preserve">A) Desde el día 1 de enero de 1985, la recurrente, juntamente con su esposo y sus tres hijos menores, vienen ocupando el piso vivienda sito en Denia (Alicante), calle Sagunto, 9 (escalera B. 4º.C, planta 15), en concepto de arrendataria mediante contrato concertado por la actora con el propietario de la expresada vivienda, don Juan Carlos Torres Femenía, por una renta de trece mil pesetas mensuales. </w:t>
      </w:r>
    </w:p>
    <w:p w:rsidR="00FE0907" w:rsidRDefault="00FE0907" w:rsidP="00FE0907">
      <w:pPr>
        <w:pStyle w:val="TextoNormal"/>
      </w:pPr>
      <w:r>
        <w:t xml:space="preserve">B) En el mes de febrero de 1987, la recurrente, extrajudicialmente y de forma fortuita, tuvo conocimiento de la celebración de una subasta sobre la vivienda que como arrendataria venía ocupando, en el procedimiento del art. 131 de la Ley Hipotecaria núm. 176/86, seguido por el Juzgado de Primera Instancia núm. 2 de Orihuela (Alicante) a instancia de la Caja Rural Bonanza del Mediterraneo contra el titular del referido piso don Juan Carlos Torres Femenía. </w:t>
      </w:r>
    </w:p>
    <w:p w:rsidR="00FE0907" w:rsidRDefault="00FE0907" w:rsidP="00FE0907">
      <w:pPr>
        <w:pStyle w:val="TextoNormal"/>
      </w:pPr>
      <w:r>
        <w:lastRenderedPageBreak/>
        <w:t xml:space="preserve">A los efectos de evitar perjuicios irreparables, doña Josefa Buigues Artigues compareció en los expresados autos debidamente representada por el Procurador don Antonio Martínez Moscardó, mediante escrito de fecha 23 de febrero de 1987, en el cual alegaba y hacía constar su condición de arrendataria de la citada vivienda, al objeto de dar cumplido conocimiento a los posibles licitadores en segunda subasta al haber quedado desierta la primera. </w:t>
      </w:r>
    </w:p>
    <w:p w:rsidR="00FE0907" w:rsidRDefault="00FE0907" w:rsidP="00FE0907">
      <w:pPr>
        <w:pStyle w:val="TextoNormal"/>
      </w:pPr>
      <w:r>
        <w:t xml:space="preserve">C) Después de la celebración de la segunda subasta, también declarada desierta, la Caja Rural del Mediterraneo Soc. Coop. de Crédito Limitada (antes Caja Rural Bonanza del Mediterraneo), solicitó la adjudicación de la citada finca, con el conocimiento de que estaba ocupada por la arrendataria doña Josefa Buigues Artigues y su familia. </w:t>
      </w:r>
    </w:p>
    <w:p w:rsidR="00FE0907" w:rsidRDefault="00FE0907" w:rsidP="00FE0907">
      <w:pPr>
        <w:pStyle w:val="TextoNormal"/>
      </w:pPr>
      <w:r>
        <w:t xml:space="preserve">D) El 7 de enero de 1988, sin dar traslado a la recurrente ni a su Procurador, sin trámite alguno y sin previa notificación, el Juez de Primera Instancia núm. 2 de Orihuela dirige exhorto al de igual clase de Denia para que con la mayor brevedad procediese a dar posesión a la entidad actora de la finca adjudicada y caso de estar ocupada "se requiriese a quien haya en ella para que la desaloje y la deje libre en el plazo de ocho días, y transcurrido el mismo sin verificarse se proceda al lanzamiento de sus ocupantes...". </w:t>
      </w:r>
    </w:p>
    <w:p w:rsidR="00FE0907" w:rsidRDefault="00FE0907" w:rsidP="00FE0907">
      <w:pPr>
        <w:pStyle w:val="TextoNormal"/>
      </w:pPr>
      <w:r>
        <w:t xml:space="preserve">El 7 de abril de 1988 al tener conocimiento extrajudicial la recurrente del expresado exhorto de lanzamiento, presenta escrito ante el Juzgado de Orihuela solicitando la modificación de la referida diligencia. Y al no obtener resolución alguna del Juzgado, en fecha 12 de abril de 1988, interpone recurso de nulidad de la expresada diligencia interesada mediante exhorto, al entender que se han violado varios preceptos legales, especialmente el art. 270 LOPJ y el art. 24 CE. </w:t>
      </w:r>
    </w:p>
    <w:p w:rsidR="00FE0907" w:rsidRDefault="00FE0907" w:rsidP="00FE0907">
      <w:pPr>
        <w:pStyle w:val="TextoNormal"/>
      </w:pPr>
      <w:r>
        <w:t>El recurso de nulidad fue rechazado por el Juez de instancia "por haber comparecido en autos, pero no ser tenido por parte", mediante providencia de 30 de mayo de 1988. Contra dicha resolución, en fecha 1 de junio, se interpone recurso de reposición que es desestimado por providencia de 28 de junio de 1988.</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 invoca la infracción del art. 24 C.E. en relación con el art. 270 LOPJ, e interesa Sentencia con los siguientes pronunciamientos: </w:t>
      </w:r>
    </w:p>
    <w:p w:rsidR="00FE0907" w:rsidRDefault="00FE0907" w:rsidP="00FE0907">
      <w:pPr>
        <w:pStyle w:val="TextoNormal"/>
      </w:pPr>
      <w:r>
        <w:t xml:space="preserve">"1º) Declarar la violación del derecho de defensa y tutela jurídica, establecidos en el art. 24 de la Constitución, de doña Josefa Buigues Artigues, en el procedimiento 131 de la L.H. núm. 176/86 seguido ante el Juzgado de Primera Instancia núm. 2 de Orihuela (Alicante). </w:t>
      </w:r>
    </w:p>
    <w:p w:rsidR="00FE0907" w:rsidRDefault="00FE0907" w:rsidP="00FE0907">
      <w:pPr>
        <w:pStyle w:val="TextoNormal"/>
      </w:pPr>
      <w:r>
        <w:t xml:space="preserve">2º) Restablecer el derecho de defensa y tutela jurídica violados, decretando la nulidad de las actuaciones judiciales concretadas en la providencia de fecha 28 de junio de 1988, de la providencia de fecha 30 de mayo de 1988 y de la diligencia de lanzamiento acordada mediante exhorto de fecha 7 de enero de 1988, todas ellas dictadas por el Juzgado de referencia. </w:t>
      </w:r>
    </w:p>
    <w:p w:rsidR="00FE0907" w:rsidRDefault="00FE0907" w:rsidP="00FE0907">
      <w:pPr>
        <w:pStyle w:val="TextoNormal"/>
      </w:pPr>
      <w:r>
        <w:t xml:space="preserve">3º) Ordenar al juzgador de Instancia se abstenga de proceder al lanzamiento de doña Josefa Buigues Artigues, de la vivienda que ocupa, hasta tanto no se la tenga por parte y oida en el proceso correspondiente; con todo lo demás procedente en Derecho". </w:t>
      </w:r>
    </w:p>
    <w:p w:rsidR="00FE0907" w:rsidRDefault="00FE0907" w:rsidP="00FE0907">
      <w:pPr>
        <w:pStyle w:val="TextoNormal"/>
      </w:pPr>
      <w:r>
        <w:t>Por medio de otrosí interesa, conforme al art. 56 LOTC, la suspensión inmediata de la ejecución de la diligencia de lanzamiento, por cuanto dicha ejecución irrogaría graves e irreparables perjuicios.</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12 de septiembre de 1988, la Sección Cuarta de la Sala Segunda de este Tribunal Constitucional acordó tener por interpuesto recurso de amparo por el Procurador don José Pérez Templado, en nombre y representación de doña Josefa Buigues </w:t>
      </w:r>
      <w:r>
        <w:lastRenderedPageBreak/>
        <w:t>Artigues. Asimismo, acordó conceder un plazo común de diez días al Ministerio Fiscal y recurrente en amparo, a fin de que, dentro del mismo, formularan las alegaciones que estimaran pertinentes en relación con la posible concurrencia del supuesto previsto en el apartado c) del art. 50.1 de la LOTC: carecer la demanda manifiestamente de contenido que justifique una decisión sobre el fondo de la misma por parte del Tribunal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10 de octubre de 1988, la Sección acordó tener por recibidos los escritos de alegaciones, a la vez que admitía a trámite la demanda de amparo. Asimismo, se requirió al Juzgado de Primera Instancia núm. 2 de Orihuela, para que en el plazo de diez días remitiera testimonio del procedimiento sumario 131 de la Ley Hipotecaria núm. 176/86, interesándose al propio tiempo se emplazara a quienes fueron parte en mencionado procedimiento, para que en el plazo de diez días puedieran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21 de noviembre de 1988, la Sección acordó tener por recibidas las actuaciones remitidas por el Juzgado de Primera Instancia núm. 2 de Orihuela. Asimismo, se tiene por personado y parte en nombre y representación de la Caja Rural del Mediterraneo Sociedad Cooperativa de Crédito Limitada al Procurador Sr. Olmo Pastor. </w:t>
      </w:r>
    </w:p>
    <w:p w:rsidR="00FE0907" w:rsidRDefault="00FE0907" w:rsidP="00FE0907">
      <w:pPr>
        <w:pStyle w:val="TextoNormal"/>
      </w:pPr>
      <w:r>
        <w:t>A tenor de lo dispuesto en el art. 52 de la LOTC, se concede un plazo común de veinte días al Ministerio Fiscal y a los Procuradores Sres. Pérez Templado y Olmo Pastor, para que con vista de las actuaciones formulen las alegaciones que a su derecho convenga.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Don Julián del Olmo Pastor, Procurador de los Tribunales, en nombre y representación de la Caja Rural del Mediterraneo, Soc. Coop. de Crédito Limitada, en escrito presentado el 19 de diciembre de 1988, después de relatar los hechos, añade que es conocida la jurisprudencia de este Tribunal Constitucional, que exige que para que se produzca indefensión, se hayan tenido que agotar previamente todas las posibilidades legales, y en tal sentido, el art. 132 dice: "que todas las demás reclamaciones que pueda formular, así el deudor, como los terceros poseedores y los demás interesados, incluso las que versen sobre nulidad del título o de las actuaciones, o sobre vencimiento, certeza, extinción o cuantía de la deuda, se ventilarán en el juicio declarativo que corresponda, sin producir nunca el efecto de suspender ni entorpecer el procedimiento que establece la presente Ley". </w:t>
      </w:r>
    </w:p>
    <w:p w:rsidR="00FE0907" w:rsidRDefault="00FE0907" w:rsidP="00FE0907">
      <w:pPr>
        <w:pStyle w:val="TextoNormal"/>
      </w:pPr>
      <w:r>
        <w:t xml:space="preserve">De lo dicho se deduce que la situación de indefensión alegada de contrario, no es real sino ficticia, pues el hecho de que el Juzgado, cumpliendo estrictamente lo ordenado por el art. 131 y 132 de la Ley Hipotecaria, no tenga por parte de la Sra. Buigues y no le admita a trámite el incidente de nulidad de actuaciones que formula, no la deja indefensa, ya que el propio art. 132 establece la forma que existe para ejercitar los derechos que se consideran infringidos, cual es la del procedimiento declarativo, vía que no ha sido ejercitada por la Sra. Buigues. </w:t>
      </w:r>
    </w:p>
    <w:p w:rsidR="00FE0907" w:rsidRDefault="00FE0907" w:rsidP="00FE0907">
      <w:pPr>
        <w:pStyle w:val="TextoNormal"/>
      </w:pPr>
      <w:r>
        <w:t>Insiste en que la regla 17 del art. 131 de la Ley Hipotecaria dice: "También se pondrá en posesión judicial de los bienes al adquiriente si lo solicitare", lo que quiere decir que en este caso a la adjudicataria de los bienes subastados, se le tiene que poner en posesión de los citados bienes, y este trámite, de acuerdo con el art. 132, no puede ser suspendido a no ser que se incurra en alguno de los cuatro casos previstos en el citado artículo, de tal forma que la Ley Hipotecaria le concede a su representada el derecho a tomar posesión de la fin</w:t>
      </w:r>
      <w:r>
        <w:lastRenderedPageBreak/>
        <w:t xml:space="preserve">ca adjudicada, y en consecuencia, aquellos incidentes que se promuevan por personas que no pueden ser tramitados. </w:t>
      </w:r>
    </w:p>
    <w:p w:rsidR="00FE0907" w:rsidRDefault="00FE0907" w:rsidP="00FE0907">
      <w:pPr>
        <w:pStyle w:val="TextoNormal"/>
      </w:pPr>
      <w:r>
        <w:t xml:space="preserve">Por lo tanto, de accederse al amparo solicitado y declarar la nulidad de las resoluciones judiciales que la recurrente solicita, se estaría dado entrada en un procedimiento hipotecario a tercera persona, que según el art. 131 y 132 de la Ley Hipotecaria, no pueden ser partes en dicho procedimiento, especialmente concebido para que el acreedor pueda de forma rápida, hacer uso de la garantía hipotecaria y realizar los bienes embargados, con cuyo producto se pueda resarcir de la deuda contraida por el deudor hipotecario, y precisamente a ese procedimiento la Ley Hipotecaria, le concede una sumariedad notoria, por lo que admitir a trámite los incidentes y peticiones que formula la contraparte, y que la Ley prohibe, daría lugar a desvirtuar, por vía inadecuada, la esencia del procedimiento hipotecario, en perjuicio del acreedor hipotecario que vería sus garantías y derechos sustancialmente mermados, motivo por el que en este recurso hay un claro conflicto de intereses, que, evidentemente, se tienen que solucionar teniendo en cuenta el sentido de la Ley, en este caso Hipotecaria, que expresamente defiende los intereses del acreedor hipotecario frente al deudor y terceros interesados, a los que deja la vía libre del procedimiento declarativo para reclamar sus derechos, y, por lo tanto, no los deja, ni mucho menos, indefensos. </w:t>
      </w:r>
    </w:p>
    <w:p w:rsidR="00FE0907" w:rsidRDefault="00FE0907" w:rsidP="00FE0907">
      <w:pPr>
        <w:pStyle w:val="TextoNormal"/>
      </w:pPr>
      <w:r>
        <w:t>Finalmente, cita las SSTC 41/1981 y 64/1985, y solicita la desestimación del recurso.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Don José Pérez Templado, Procurador de los Tribunales, en nombre de doña Josefa Buigues Artigues, en escrito presentado el 26 de diciembre de 1988, alega que a pesar de haber comparecido en forma, doña Josefa Buigues Artigues, en el procedimiento judicial sumario 131 de la Ley Hipotecaria, el Juzgador a quo, y a instancias del ejecutante, ordena la diligencia de fecha 7 de enero de 1988, sobre "...lanzamiento de sus ocupantes...", "...de quien haya...", "...en la finca ocupada...". Todo ello, sin previa notificación, y sin siquiera ser parte en el juicio ni haber sido llamada a juicio, tras la constancia en el mismo de la arrendataria. </w:t>
      </w:r>
    </w:p>
    <w:p w:rsidR="00FE0907" w:rsidRDefault="00FE0907" w:rsidP="00FE0907">
      <w:pPr>
        <w:pStyle w:val="TextoNormal"/>
      </w:pPr>
      <w:r>
        <w:t xml:space="preserve">Esta resolución va a producir daños irreparables a doña Josefa Buigues, quien ve lesionados sus derechos al no obtener efectivamente la tutela judicial que busca, ya que cualquier reclamación en defensa de sus derechos sería inviable por doña Josefa Buigues, por cuanto se vería obligada, en primer lugar, a desalojar la vivienda que ocupa, y desde entonces carecería de fuerza ejecutiva alguna que le reintegrara en su caso en la posesión de la vivienda; por cuanto que, la Caja Rural del Mediterraneo, adjudicataria, y titular de la finca referida, realizaría sus fines, consistentes en la transformación de los bienes inmuebles en capital efectivo, mediante cualquier transmisión a tercero. De esta forma su representada quedaría sin poder ejecutar el ejercicio de sus derechos, lo que equivale a entender que se le privaría de los mismos, de forma ya irremediable. Por ello, y con el fin de evitar males mayores e irreparables, la interposición ante este Tribunal Constitucional de la demanda inicial de amparo, al privarse, ya, a doña Josefa Buigues de sus derechos de defensa y tutela expresados en el apartado anterior. </w:t>
      </w:r>
    </w:p>
    <w:p w:rsidR="00FE0907" w:rsidRDefault="00FE0907" w:rsidP="00FE0907">
      <w:pPr>
        <w:pStyle w:val="TextoNormal"/>
      </w:pPr>
      <w:r>
        <w:t xml:space="preserve">Añade que, a la vista de lo contenido en los arts. 24 de la C.E. y 270 de la LOPJ, aprecia la existencia de una disparidad de contenidos entre aquellos y lo preceptuado en el art. 132 de la Ley Hipotecaria. Disparidad que debe decidirse siempre, y especialmente en el presente caso, en favor de las normas de rango superior, privando el derecho a la tutela jurídica de doña Josefa Buigues, con la salvedad de que la Caja Rural puede ver tutelados sus derechos acudiendo al correspondiente proceso en que sea parte doña Josefa Buigues, y sin embargo, ésta última no puede ver tutelados los suyos a pesar de reconocer la L.H. el </w:t>
      </w:r>
      <w:r>
        <w:lastRenderedPageBreak/>
        <w:t xml:space="preserve">derecho a reclamación aparte. A mayor abundamiento, entiende que la Caja Rural, adjudicataria, lo que pretende es, en el mismo proceso interpuesto, derivar consecuencias contra un tercero no parte en el mismo, cuando debe acudir al oportuno proceso citando y oyendo a quien pueda resultar perjudicado por cualquier resolución. </w:t>
      </w:r>
    </w:p>
    <w:p w:rsidR="00FE0907" w:rsidRDefault="00FE0907" w:rsidP="00FE0907">
      <w:pPr>
        <w:pStyle w:val="TextoNormal"/>
      </w:pPr>
      <w:r>
        <w:t>Finalmente solicita la estimación de su recurso.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El Fiscal, en escrito presentado el 22 de diciembre de 1988, afirma, en primer lugar, que la cuestión que suscita este recurso se refiere a determinar si la recurrente en ampa-ro, en calidad de arrendataria de la finca hipotecada, está legitimada para intervenir en el procedimiento judicial sumario para instar la nulidad de determinadas actuaciones, y si la resolución judicial que le niega esa legitimación vulnera los derechos fundamentales invocados. </w:t>
      </w:r>
    </w:p>
    <w:p w:rsidR="00FE0907" w:rsidRDefault="00FE0907" w:rsidP="00FE0907">
      <w:pPr>
        <w:pStyle w:val="TextoNormal"/>
      </w:pPr>
      <w:r>
        <w:t xml:space="preserve">La respuesta se encuentra en íntima conexión con la peculiar naturaleza y características del llamado procedimiento judicial sumario reglado en el art. 131 de la Ley Hipotecaria. Es éste un procedimiento de carácter sumario y naturaleza ejecutiva que tiene por finalidad la realización del valor de la cosa hipotecada, es decir, la venta de la cosa, sin contradicción posible, mediante subasta, para hacer pago de su crédito al acreedor hipotecario, titular de un derecho real que le faculta precisamente para ejercitarlo inmediatamente sobre el objeto instando la realización de su valor, contenido del derecho de garantía, mediante la acción real hipotecaria, que no excluye ni la posibilidad de acudir al juicio declarativo ordinario ni al ejecutivo o, incluso, al procedimiento extrajudicial cuando medie pacto para ello. </w:t>
      </w:r>
    </w:p>
    <w:p w:rsidR="00FE0907" w:rsidRDefault="00FE0907" w:rsidP="00FE0907">
      <w:pPr>
        <w:pStyle w:val="TextoNormal"/>
      </w:pPr>
      <w:r>
        <w:t xml:space="preserve">El requerimiento de pago al deudor o al tercer poseedor de la finca si éste hubiese acreditado la adquisición del inmueble (art. 131.3,3º L.H.), constituye un requisito que ofrece la posibilidad de que el deudor pague la deuda, pero la legitimación pasiva en el proceso sólo corresponde al deudor y al tercer poseedor adquiriente del inmueble hipotecado, o también, al hipotecante no deudor en su calidad de dueño de la cosa hipotecada, y no se extiende al poseedor no adquiriente del inmueble, aunque pueda ser titular de un derecho personal de arrendamiento, como sucede en este caso. </w:t>
      </w:r>
    </w:p>
    <w:p w:rsidR="00FE0907" w:rsidRDefault="00FE0907" w:rsidP="00FE0907">
      <w:pPr>
        <w:pStyle w:val="TextoNormal"/>
      </w:pPr>
      <w:r>
        <w:t xml:space="preserve">Añade que según el art. 132 de la L.H. todas las cuestiones que pudieran suscitar el deudor, el tercer poseedor de los bienes o cualesquiera otros interesados, tienen expedita la vía, sin excepción alguna, del juicio declarativo ordinario que corresponda. Por ello la oposición que es posible formular en el procedimiento de ejecución hipotecaria y obtener la suspensión del mismo, está limitada taxativamente a los cuatro supuestos que se recogen en el artículo citado, entre los que no está comprendida la causa invocada por la recurrente de amparo, que además no tenía la condición o carácter de parte en el proceso, por lo que la providencia del Juzgado de 30 de mayo de 1988, contra la que ahora se dirige la pretensión de amparo, se encuentra legalmente fundada. Esta cuestión, como todas que se puedan suscitar en el procedimiento judicial sumario, no comprendida en las cuatro causas de oposición, tienen su cauce procesal adecuado en el juicio declarativo que corresponda. Precisamente por esta posibilidad -ha dicho este alto Tribunal en sus SSTC 41/1981 y 64/1985- es decir, porque queda abierto a todos los interesados la vía del juicio declarativo para la defensa de sus derechos, la ausencia de controversia y demás peculiaridades de este procedimiento no vulneran el derecho a la defensa consagrado en el art. 24.1 de la Constitución. </w:t>
      </w:r>
    </w:p>
    <w:p w:rsidR="00FE0907" w:rsidRDefault="00FE0907" w:rsidP="00FE0907">
      <w:pPr>
        <w:pStyle w:val="TextoNormal"/>
      </w:pPr>
      <w:r>
        <w:t xml:space="preserve">En cuanto a la cuestión que suscita este recurso de amparo relacionada con el arrendamiento concertado sobre el inmueble objeto del procedimiento judicial sumario, y en particular a los derechos de la arrendataria, ahora recurrente en amparo, es preciso significar </w:t>
      </w:r>
      <w:r>
        <w:lastRenderedPageBreak/>
        <w:t xml:space="preserve">que se trata de una cuestión de legalidad ordinaria. Constituye, en efecto, mera legalidad determinar si la ejecución hipotecaria extingue o purga la finca hipotecada del arrendamiento celebrado con posterioridad a la constitución del derecho real de hipoteca, o si, por el contrario, el arrendamiento es eficaz frente al adjudicatario de la finca por hallarse protegido el arrendatario por la legislación especial, criterio éste que comparte un importante sector de la doctrina cuando se trata de arrendamientos urbanos sometidos a la Ley de 24 de diciembre de 1964. Pero esta es cuestión que puede tener sede en el juicio declarativo correspondiente. </w:t>
      </w:r>
    </w:p>
    <w:p w:rsidR="00FE0907" w:rsidRDefault="00FE0907" w:rsidP="00FE0907">
      <w:pPr>
        <w:pStyle w:val="TextoNormal"/>
      </w:pPr>
      <w:r>
        <w:t>Por lo expuesto, el Fiscal estima que procede dictar Sentencia por la que se desestime el amparo solicitado por doña Josefa Buigues.</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17 de abril de 1989, la Sección Segunda de la Sala Primera de este Tribunal Constitucional acordó, conforme se solicitó por la parte actora en su escrito de interposición, formar la pieza separada de suspensión para la sustanciación del incidente de suspensión de la ejecución del acto recurrido.</w:t>
      </w:r>
    </w:p>
    <w:p w:rsidR="00FE0907" w:rsidRDefault="00FE0907" w:rsidP="00FE0907">
      <w:pPr>
        <w:pStyle w:val="TextoNormal"/>
      </w:pPr>
    </w:p>
    <w:p w:rsidR="00FE0907" w:rsidRDefault="00FE0907" w:rsidP="00FE0907">
      <w:pPr>
        <w:pStyle w:val="TextoNormal"/>
      </w:pPr>
      <w:r w:rsidRPr="00FE0907">
        <w:rPr>
          <w:rStyle w:val="NumeroAFNegritaCaracter"/>
        </w:rPr>
        <w:t>11</w:t>
      </w:r>
      <w:r>
        <w:t>. La Sala Primera, en Auto de fecha 8 de mayo de 1989, acordó suspender la ejecución de las resoluciones impugnadas en lo que se refiere al lanzamiento judicial de la recurrente y familia del piso en cuestión.</w:t>
      </w:r>
    </w:p>
    <w:p w:rsidR="00FE0907" w:rsidRDefault="00FE0907" w:rsidP="00FE0907">
      <w:pPr>
        <w:pStyle w:val="TextoNormal"/>
      </w:pPr>
    </w:p>
    <w:p w:rsidR="00FE0907" w:rsidRDefault="00FE0907" w:rsidP="00FE0907">
      <w:pPr>
        <w:pStyle w:val="TextoNormal"/>
      </w:pPr>
      <w:r w:rsidRPr="00FE0907">
        <w:rPr>
          <w:rStyle w:val="NumeroAFNegritaCaracter"/>
        </w:rPr>
        <w:t>12</w:t>
      </w:r>
      <w:r>
        <w:t>. Por providencia de 13 de enero de 1992, se acordó señalar el día dieciseis del mismo mes y año, para deliberación y fallo de esta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Lo que ha de dilucidarse en este procedimiento de amparo constitucional es si la recurrente -arrendataria de un piso que ha sido adjudicado a una entidad de crédito en virtud de un proceso sumario seguido contra el deudor hipotecario y propietario de la finca, conforme a lo previsto en el art.  131 de la Ley Hipotecaria - ha padecido una injusta privación del derecho fundamental a la tutela judicial efectiva y, en consecuencia, si se encuentra en la situación de indefensión que proscribe la Norma fundamental, todo ello a consecuencia de la actuación judicial en el procedimiento seguido ante el Juzgado de Primera Instancia núm.  2 de Orihuela (núm. 176/86), y en particular de la resolución judicial que ordenó el desalojo y en caso de no llevarse a efecto el lanzamiento del piso arrendado.</w:t>
      </w:r>
    </w:p>
    <w:p w:rsidR="00FE0907" w:rsidRDefault="00FE0907" w:rsidP="00FE0907">
      <w:pPr>
        <w:pStyle w:val="TextoNormal"/>
      </w:pPr>
    </w:p>
    <w:p w:rsidR="00FE0907" w:rsidRDefault="00FE0907" w:rsidP="00FE0907">
      <w:pPr>
        <w:pStyle w:val="TextoNormal"/>
      </w:pPr>
      <w:r w:rsidRPr="00FE0907">
        <w:rPr>
          <w:rStyle w:val="NumeroAFNegritaCaracter"/>
        </w:rPr>
        <w:t>2</w:t>
      </w:r>
      <w:r>
        <w:t>. Pero antes de entrar en el examen de la indefensión planteada conviene aclarar que, aunque la demandante de amparo formula su queja contra la providencia de 28 de junio de 1988, del Juzgado de Primera Instancia núm. 2 de Orihuela, la demanda ha de entenderse dirigida igualmente contra las resoluciones judiciales precedentes dictadas en el curso del procedimiento, con posterioridad a la providencia del 29 de marzo de 1987, en la que se acordó tenerla por comparecida pero no parte en el mismo y, en concreto, aquellas que no le fueron notificadas, puesto que, como ha declarado este Tribunal de modo constante, cuando se impugna en amparo una resolución judicial confirmatoria de otra u otras que han sido lógica y cronológicamente presupuesto de aquéllas, debe entenderse que se recurren las precedentes confirmadas aunque las mismas no lo hayan sido de forma explícita (SSTC 197/1990 y 179/1991, entre otras).</w:t>
      </w:r>
    </w:p>
    <w:p w:rsidR="00FE0907" w:rsidRDefault="00FE0907" w:rsidP="00FE0907">
      <w:pPr>
        <w:pStyle w:val="TextoNormal"/>
      </w:pPr>
    </w:p>
    <w:p w:rsidR="00FE0907" w:rsidRDefault="00FE0907" w:rsidP="00FE0907">
      <w:pPr>
        <w:pStyle w:val="TextoNormal"/>
      </w:pPr>
      <w:r w:rsidRPr="00FE0907">
        <w:rPr>
          <w:rStyle w:val="NumeroAFNegritaCaracter"/>
        </w:rPr>
        <w:t>3</w:t>
      </w:r>
      <w:r>
        <w:t>. Las resoluciones recurridas se han producido en el curso de un procedimiento judicial sumario al que se refieren los arts. 131 y ss. de la Ley Hipotecaria, y cuyo objeto se dirige a realizar el valor de la finca hipotecada; procedimiento de ejecución de créditos hipotecarios que se caracteriza por la extraordinaria fuerza ejecutiva del título y la paralela disminución de las posibilidades de oponerse a la ejecución solicitada mediante la formulación de excepciones, las cuales solo pueden plantearse, por regla general, en el juicio declarativo correspondiente, a salvo los supuestos rigurosamente tasados de suspensión que se reseñan en el art.  132 de la referida Ley.</w:t>
      </w:r>
    </w:p>
    <w:p w:rsidR="00FE0907" w:rsidRDefault="00FE0907" w:rsidP="00FE0907">
      <w:pPr>
        <w:pStyle w:val="TextoNormal"/>
      </w:pPr>
      <w:r>
        <w:t>A las peculiaridades del procedimiento sumario aludido se ha referido en anteriores pronunciamientos este Tribunal en las SSTC 41/1981, 64/1985, 41/1986, 148/1988 y 8/1991, afirmando que la limitación de controversia y demás peculiaridades de este procedimiento (entre las que se encuentra la estricta limitación de los llamados al procedimiento como partes legitimadas) no vulneran el derecho a la defensa consagrado en el art. 24.1 C.E., ya que queda abierta a los interesados la vía del juicio declarativo para la defensa de sus derechos.  Precisamente por esta posibilidad, es decir, por quedar abierta a los interesados la vía del juicio declarativo para la defensa de sus derechos, este Tribunal Constitucional pudo afirmar entonces que la sumariedad del procedimiento hipotecario y sus limitaciones no vulneraban el derecho a la defensa consagrado en el art. 24.1 de la Constitución .</w:t>
      </w:r>
    </w:p>
    <w:p w:rsidR="00FE0907" w:rsidRDefault="00FE0907" w:rsidP="00FE0907">
      <w:pPr>
        <w:pStyle w:val="TextoNormal"/>
      </w:pPr>
      <w:r>
        <w:t>No se trata, por tanto, de introducir aquí, un nuevo interrogante sobre la constitucionalidad del proceso sumario al que nos venimos refiriendo. Clara y taxativamente ha de reiterarse que su fundamento y regulación no afecta, per se, al derecho fundamental que se contiene en el art. 24.1 de la Constitución.  Pero de esta afirmación no puede deducirse que constituya jurisprudencia firme la de que todo tercero ajeno al procedimiento judicial sumario del art. 131 de la L.H. se vea inerme ante el mismo, caso de ser afectado como tercero, y garantizado en todo caso en su derecho a la tutela judicial, dada la oportunidad de "ejercer el juicio declarativo correspondiente" que le reconoce la Ley, ya que esta conclusión podría ser cierta en determinados casos, pero no en todos, dependiendo ello de las circunstancias, que no son naturalmente siempre las mismas, como puede comprobarse con la atenta lectura de las Sentencias anteriormente citadas, cuyos supuestos fácticos no estaban relacionados, como en este caso, con terceros poseedores por título arrendaticio.</w:t>
      </w:r>
    </w:p>
    <w:p w:rsidR="00FE0907" w:rsidRDefault="00FE0907" w:rsidP="00FE0907">
      <w:pPr>
        <w:pStyle w:val="TextoNormal"/>
      </w:pPr>
      <w:r>
        <w:t>Tampoco cabe apreciar, en este caso, vulneración del derecho a la tutela efectiva de Jueces y Tribunales en razón a la aplicación que de la norma reguladora de este especial procedimiento ha realizado el órgano judicial, pese a que la recurrente aduce como primera quiebra de aquel derecho fundamental la falta de notificación de las resoluciones dictadas en el procedimiento judicial sumario.</w:t>
      </w:r>
    </w:p>
    <w:p w:rsidR="00FE0907" w:rsidRDefault="00FE0907" w:rsidP="00FE0907">
      <w:pPr>
        <w:pStyle w:val="TextoNormal"/>
      </w:pPr>
      <w:r>
        <w:t>A este respecto es oportuno repasar brevemente las principales actuaciones habidas en relación con la ahora recurrente en el curso del procedimiento:</w:t>
      </w:r>
    </w:p>
    <w:p w:rsidR="00FE0907" w:rsidRDefault="00FE0907" w:rsidP="00FE0907">
      <w:pPr>
        <w:pStyle w:val="TextoNormal"/>
      </w:pPr>
      <w:r>
        <w:t>La recurrente, al tener conocimiento extraprocesal de que la vivienda familiar que ocupa en virtud de contrato de arrendamiento había sido sacada a subasta judicial, dirigió escrito al Juzgado competente, quien dictó providencia el 29 de marzo de 1987, teniéndola por comparecida, pero no parte, en el procedimiento.</w:t>
      </w:r>
    </w:p>
    <w:p w:rsidR="00FE0907" w:rsidRDefault="00FE0907" w:rsidP="00FE0907">
      <w:pPr>
        <w:pStyle w:val="TextoNormal"/>
      </w:pPr>
      <w:r>
        <w:t xml:space="preserve">De las sucesivas actuaciones y trámites no se dió traslado a la representación de la comparecida, con excepción del escrito del ejecutante en el que solicitó la adjudicación de la finca y que se practicase la liquidación de intereses.  Incluso no se dió traslado del escrito de la entidad ejecutante en el que solicitaba del Juzgado se requiriera a la arrendataria para que dejara libre y a disposición del adquirente la finca adjudicada. La providencia de </w:t>
      </w:r>
      <w:r>
        <w:lastRenderedPageBreak/>
        <w:t>7 de enero de 1988, en la que se ordena poner en posesión a la actora de la finca adjudicada, tampoco fue notificada a la representación de la arrendataria.</w:t>
      </w:r>
    </w:p>
    <w:p w:rsidR="00FE0907" w:rsidRDefault="00FE0907" w:rsidP="00FE0907">
      <w:pPr>
        <w:pStyle w:val="TextoNormal"/>
      </w:pPr>
      <w:r>
        <w:t>Finalmente, la arrendataria, enterada de la existencia del exhorto dirigido por el Juzgado de Orihuela al de Denia para que se procediera al lanzamiento, solicitó la modificación de las diligencias interesadas, sin obtener respuesta, lo que motivó un nuevo escrito solicitando la nulidad de la referida diligencia de lanzamiento con invocación del derecho fundamental a la tutela judicial efectiva sin indefensión. La providencia de 30 de mayo de 1988 resolvió no haber lugar a lo solicitado.  El recurso de reposición contra ella interpuesto fue rechazado por la providencia de 28 de junio de 1988 que da lugar al presente procedimiento de amparo.</w:t>
      </w:r>
    </w:p>
    <w:p w:rsidR="00FE0907" w:rsidRDefault="00FE0907" w:rsidP="00FE0907">
      <w:pPr>
        <w:pStyle w:val="TextoNormal"/>
      </w:pPr>
      <w:r>
        <w:t>Del breve resumen de lo actuado queda patente que del procedimiento judicial en cuestión se derivaban perjuicios para la aquí actora, por lo que, en principio, no era ciertamente ociosa la comunicación judicial de su existencia.  No obstante, el conocimiento del mismo y la comparecencia de la recurrente priva de trascendencia constitucional a la alegada infracción del art. 270 de la Ley Orgánica del Poder Judicial (LOPJ), ya que no puede detectarse, en este caso, una indefensión de la interesada, que pudo exponer ante el órgano judicial lo que convenía a su derecho, aunque no obtuviera respuesta favorable.  Así resulta de la constante doctrina de este Tribunal,al que no corresponde,ni puede ni debe asumir la garantía y corrección de los trámites procesales, salvo en los supuestos en que padezca radicalmente el derecho fundamental a la defensa.</w:t>
      </w:r>
    </w:p>
    <w:p w:rsidR="00FE0907" w:rsidRDefault="00FE0907" w:rsidP="00FE0907">
      <w:pPr>
        <w:pStyle w:val="TextoNormal"/>
      </w:pPr>
    </w:p>
    <w:p w:rsidR="00FE0907" w:rsidRDefault="00FE0907" w:rsidP="00FE0907">
      <w:pPr>
        <w:pStyle w:val="TextoNormal"/>
      </w:pPr>
      <w:r w:rsidRPr="00FE0907">
        <w:rPr>
          <w:rStyle w:val="NumeroAFNegritaCaracter"/>
        </w:rPr>
        <w:t>4</w:t>
      </w:r>
      <w:r>
        <w:t>. La demandante, sin embargo, no limita su alegato a la supuesta indefensión formal hasta aquí examinada y que, como hemos razonado, habría de conducir a la denegación del amparo solicitado. Hemos de pasar, por tanto, al examen de la tacha de indefensión que se alega en relación con el contenido de la diligencia del Juzgado de Orihuela de 7 de enero de 1988 en virtud de la cual se ordena el desalojo y, si es preciso, el lanzamiento.</w:t>
      </w:r>
    </w:p>
    <w:p w:rsidR="00FE0907" w:rsidRDefault="00FE0907" w:rsidP="00FE0907">
      <w:pPr>
        <w:pStyle w:val="TextoNormal"/>
      </w:pPr>
      <w:r>
        <w:t>A este respecto conviene reiterar que este Tribunal no puede ni debe actuar como un órgano revisor al que corresponda efectuar el control de mera legalidad, ni rectificar errores, equivocaciones o incorrecciones en la interpretación y aplicación de las normas legales que lleven a cabo los Jueces y Tribunales en el ejercicio exclusivo de la potestad que les reconoce el art.  117.3 C.E., salvo que al hacerlo se violase alguna garantía constitucional (STC 1/1991).</w:t>
      </w:r>
    </w:p>
    <w:p w:rsidR="00FE0907" w:rsidRDefault="00FE0907" w:rsidP="00FE0907">
      <w:pPr>
        <w:pStyle w:val="TextoNormal"/>
      </w:pPr>
      <w:r>
        <w:t>En este caso se alega, precisamente, la vulneración del derecho a la tutela efectiva de Jueces y Tribunales, ya que la recurrente se vería obligada en virtud del procedimiento sumario en el que no pudo ser parte, y sin previa posibilidad de defensa y contradicción en juicio, al desalojo del piso que ocupa en calidad de arrendataria, negándosele el derecho a permanecer en la posesión civil arrendaticia que ostenta según contrato no resuelto, concertado al amparo de la Ley de Arrendamientos Urbanos (L.A.U.).</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tutela judicial efectiva que garantiza el art.  24 C.E.  consiste, como en tantas ocasiones ha declarado este Tribunal (STC 100/1988), "en el derecho que tienen todas las personas al acceso a los órganos jurisdiccionales en el ejercicio de sus derechos e intereses legítimos con arreglo a las normas de competencia y procedimiento legalmente establecidos", a obtener de los mismos una resolución fundada en Derecho, tras un proceso en el que se garantice adecuadamente el derecho de defensa de los afectados y se respete, entre otros, el principio de contradicción, así como la igualdad entre las partes (SSTC 93/1984 y 191/1987), puesto que, como se dijo en la STC 9/1981, no ha de olvidarse que el art. 24.1 </w:t>
      </w:r>
      <w:r>
        <w:lastRenderedPageBreak/>
        <w:t>C.E. contiene un mandato implícito al legislador -y al intérprete- consistente en promover la defensión, en la medida de lo posible, mediante la correspondiente contradicción.</w:t>
      </w:r>
    </w:p>
    <w:p w:rsidR="00FE0907" w:rsidRDefault="00FE0907" w:rsidP="00FE0907">
      <w:pPr>
        <w:pStyle w:val="TextoNormal"/>
      </w:pPr>
      <w:r>
        <w:t>De tal mandato, pues, se deriva el deber positivo de corregir cualquier situación que pueda calificarse como indefensión, concepto éste que una constante jurisprudencia constitucional identifica con aquella limitación de los medios de defensa producida por una indebida actuación de los órganos judiciales (STC 98/1987) no sin dejar sentado que la indefensión de alcance constitucional es algo diverso de la indefensión meramente procesal, y debe alcanzar una significación material produciendo una lesión efectiva (STC 102/1987) o, en otras palabras, "un efectivo y real menoscabo del derecho de defensa" (SSTC 98/1987, 149/1987, 155/1988 y 145/1990, entre otras).</w:t>
      </w:r>
    </w:p>
    <w:p w:rsidR="00FE0907" w:rsidRDefault="00FE0907" w:rsidP="00FE0907">
      <w:pPr>
        <w:pStyle w:val="TextoNormal"/>
      </w:pPr>
      <w:r>
        <w:t>Por lo demás, las situaciones de indefensión han de valorarse según las circunstancias de cada caso (STC 145/1986) sin que por ello la idea misma de indefensión deba limitarse, restrictivamente, "al ámbito de las que puedan plantearse en los litigios concretos, sino que ha de extenderse a la interpretación desde el punto de vista constitucional de las leyes reguladoras de los procesos" (STC 48/1984, fundamento jurídico 1º).</w:t>
      </w:r>
    </w:p>
    <w:p w:rsidR="00FE0907" w:rsidRDefault="00FE0907" w:rsidP="00FE0907">
      <w:pPr>
        <w:pStyle w:val="TextoNormal"/>
      </w:pPr>
    </w:p>
    <w:p w:rsidR="00FE0907" w:rsidRDefault="00FE0907" w:rsidP="00FE0907">
      <w:pPr>
        <w:pStyle w:val="TextoNormal"/>
      </w:pPr>
      <w:r w:rsidRPr="00FE0907">
        <w:rPr>
          <w:rStyle w:val="NumeroAFNegritaCaracter"/>
        </w:rPr>
        <w:t>6</w:t>
      </w:r>
      <w:r>
        <w:t>. Aplicando lo hasta aquí expuesto al caso que examinamos, ha de afirmarse que en este concreto supuesto la resolución judicial dictada en el trámite último del procedimiento sumario hipotecario, en cuanto impone el desalojo y lanzamiento de la actual arrendataria, sin que ésta haya podido hacer valer sus derechos e intereses ante los órganos jurisdiccionales vulnera la garantía constitucional contenida en el art. 24.1 C.E. dando lugar a un efectivo y real menoscabo del derecho de defensa de la demandante de amparo y produciéndose así una indefensión constitucionalmente amparable en esta sede.</w:t>
      </w:r>
    </w:p>
    <w:p w:rsidR="00FE0907" w:rsidRDefault="00FE0907" w:rsidP="00FE0907">
      <w:pPr>
        <w:pStyle w:val="TextoNormal"/>
      </w:pPr>
      <w:r>
        <w:t>No se trata aquí de terciar en la cuestión que corresponde dirimir a la jurisdicción ordinaria, de saber, si la ejecución hipotecaria extingue el arrendamiento que se concertó con posterioridad a la constitución del derecho real de hipoteca o si, por el contrario, la relación arrendaticia es compatible y mantiene su eficacia frente al adjudicatario de la finca en razón a la protección que le otorga la legislación especial que regula tales contratos o, en otras palabras, si el arrendamiento no es perjudicado por la realización de la hipoteca recayente sobre el piso arrendado, cuestión ésta de legalidad ordinaria en la que, por cierto, la más reciente jurisprudencia del Tribunal Supremo se inclina por realzar la fuerza del vínculo arrendaticio (SSTS de 9 de junio de 1990, 23 de febrero de 1991 y 6 de mayo de 1991.</w:t>
      </w:r>
    </w:p>
    <w:p w:rsidR="00FE0907" w:rsidRDefault="00FE0907" w:rsidP="00FE0907">
      <w:pPr>
        <w:pStyle w:val="TextoNormal"/>
      </w:pPr>
      <w:r>
        <w:t>Lo que corresponde a este Tribunal sin lugar a dudas es la tutela del derecho fundamental de quien, sin poder defender sus derechos en un procedimiento en el que no está expresamente prevista su intervención, resulta gravemente perjudicado al verse despojado, sin posibilidad de contradicción, de un derecho nacido de una relación contractual que merece una protección específica; y ello en aplicación de unos preceptos de la Ley Hipotecaria que, como todos los integrantes del ordenamiento jurídico -y en especial los procesales (STC 3/1984)- han de acomodarse al principio general que postula la interpretación en el sentido más favorable al ejercicio de los derechos fundamentales cuya vulneración se alega. Huelga decir que con lo aquí expresado no se trata de cuestionar la taxativa norma de la Ley Hipotecaria (art. 132) que impide que el trámite de apremio se suspenda más allá de los supuestos que en ella se contienen, sino de considerar que la puesta en posesión del adjudicatario de la finca se lleve a efecto sin que padezca el derecho fundamental de defensa que ostenta -sin paliativo alguno- la actual arrendataria de la finca ahora en litigio.</w:t>
      </w:r>
    </w:p>
    <w:p w:rsidR="00FE0907" w:rsidRDefault="00FE0907" w:rsidP="00FE0907">
      <w:pPr>
        <w:pStyle w:val="TextoNormal"/>
      </w:pPr>
      <w:r>
        <w:t xml:space="preserve">Para ello basta con propiciar una interpretación y aplicación del art.  132 L.H. que elimine aquellos efectos no queridos o, al menos, en contradicción flagrante con el derecho </w:t>
      </w:r>
      <w:r>
        <w:lastRenderedPageBreak/>
        <w:t>fundamental a la defensa y con normas de derecho necesarias (art. 57, en relación con el 114.4 de la L.A.U.), dado que el lanzamiento coloca a la arrendataria -sin ser oída en juicio- en posición notoria y gravemente disminuída para una eficaz defensa de su derecho, obligándola a interponer una demanda de juicio declarativo para reponerla en la posesión, de la que ha sido unilateralmente privada.</w:t>
      </w:r>
    </w:p>
    <w:p w:rsidR="00FE0907" w:rsidRDefault="00FE0907" w:rsidP="00FE0907">
      <w:pPr>
        <w:pStyle w:val="TextoNormal"/>
      </w:pPr>
      <w:r>
        <w:t>Por último, la consideración del derecho de la arrendataria recurrente en los términos expresados, no supone desconocer o aminorar el de la otra parte, la adjudicataria del piso y, por ende, ya su propietaria o dueña. A ésta, en efecto, si en la diligencia de ejecución y entrega del piso se abstiene el ejecutor de lanzar a la familia ocupante -como arrendataria- no se le provoca en modo alguna una pérdida o disminución de su derecho de propiedad (que es lo adquirido), pues justamente se le da lo que el ordenamiento jurídico permite, es decir, el dominio de la finca.</w:t>
      </w:r>
    </w:p>
    <w:p w:rsidR="00FE0907" w:rsidRDefault="00FE0907" w:rsidP="00FE0907">
      <w:pPr>
        <w:pStyle w:val="TextoNormal"/>
      </w:pPr>
    </w:p>
    <w:p w:rsidR="00FE0907" w:rsidRDefault="00FE0907" w:rsidP="00FE0907">
      <w:pPr>
        <w:pStyle w:val="TextoNormal"/>
      </w:pPr>
      <w:r w:rsidRPr="00FE0907">
        <w:rPr>
          <w:rStyle w:val="NumeroAFNegritaCaracter"/>
        </w:rPr>
        <w:t>7</w:t>
      </w:r>
      <w:r>
        <w:t>. En orden a la extensión de la nulidad que se declara en esta Sentencia, conviene determinar, de acuerdo con lo establecido en el art. 55.1 a) de nuestra Ley Orgánica que, como queda expuesto en los fundamentos anteriores, nada se decide en la misma sobre los posibles derechos del arrendatario de una finca hipotecada a permanecer en la misma una vez adjudicada en el procedimiento del art. 131 de la L.H., cuestión de legalidad ordinaria que habrán de resolver los Tribunales en el procedimiento que corresponda.</w:t>
      </w:r>
    </w:p>
    <w:p w:rsidR="00FE0907" w:rsidRDefault="00FE0907" w:rsidP="00FE0907">
      <w:pPr>
        <w:pStyle w:val="TextoNormal"/>
      </w:pPr>
      <w:r>
        <w:t>La nulidad que aquí se declara deriva exclusivamente de la tutela judicial efectiva "sin que, en ningún caso, pueda producirse indefensión" que garantiza el art. 24.1 de la Constitución.  El desalojo y lanzamiento de la recurrente de la vivienda que ocupa, requiere, pues, como exigencia constitucional, que sea oída y vencida en un procedimiento contradictorio, con igualdad de armas entre las partes y con todas las garantías procesales establecidas en las leyes. No ocurrió así en el presente caso porque el procedimiento especial y sumario, según razonan las providencias impugnadas, no lo permitía y de ahí que no fuera tenida por parte en el mismo y que sus alegaciones, una vez comparecida, no merecieran más respuesta judicial que la negativa a darla "por no tener la condición de parte". Esta circunstancia es, precisamente, la que justifica el otorgamiento del amparo: si no fue parte en el proceso y no mereció en él una respuesta fundada en Derecho, adoptada con contradicción y demás garantías legales, no puede ser lanzada de la vivienda que ocupa sin infringirse abiertamente su derecho de defensa que, como derecho fundamental, otorga en todo caso el art.  24.1 de la Constitución.</w:t>
      </w:r>
    </w:p>
    <w:p w:rsidR="00FE0907" w:rsidRDefault="00FE0907" w:rsidP="00FE0907">
      <w:pPr>
        <w:pStyle w:val="TextoNormal"/>
      </w:pPr>
      <w:r>
        <w:t>En consecuencia la cuestión del lanzamiento de la arrendataria por el nuevo propietario deberá ser resuelta en un nuevo proceso ordinario en el que la hoy recurrente de amparo sea parte y tanto ella como la entidad adjudicataria hagan valer sus derechos, acerca de los cuales, en cuanto cuestiones de legalidad ordinaria, nada tiene que decir este Tribunal.  El legislador podrá (y quizá convenga que lo haga) introducir una nueva previsión en el proceso del art. 131 de la L.H.  que permita la comparecencia en él con igualdad de armas procesales del arrendatario de la finca hipotecada. Pero en tanto no lo haga y por respeto al mayor valor de los derechos fundamentales (en este caso el de la prohibición de la indefensión) la arrendataria no podrá ser lanzada sin haber sido parte en la única vía procesal posible que no es otra que el proceso declarativo ordinario.</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promovido por doña Josefa Biugues Artigues y, en su virtud:</w:t>
      </w:r>
    </w:p>
    <w:p w:rsidR="00FE0907" w:rsidRDefault="00FE0907" w:rsidP="00FE0907">
      <w:pPr>
        <w:pStyle w:val="TextoNormal"/>
      </w:pPr>
      <w:r>
        <w:t>1º.  Anular la providencia de 28 de junio de 1988, y actuaciones concomitantes, recaída en el procedimiento judicial sumario del art. 131 de la Ley Hipotecaria núm. 176/86 del Juzgado de Primera Instancia núm. 2 de Orihuela.</w:t>
      </w:r>
    </w:p>
    <w:p w:rsidR="00FE0907" w:rsidRDefault="00FE0907" w:rsidP="00FE0907">
      <w:pPr>
        <w:pStyle w:val="TextoNormal"/>
      </w:pPr>
      <w:r>
        <w:t>2º.  Reconocer a la recurrente el derecho a la tutela judicial efectiva.</w:t>
      </w:r>
    </w:p>
    <w:p w:rsidR="00FE0907" w:rsidRDefault="00FE0907" w:rsidP="00FE0907">
      <w:pPr>
        <w:pStyle w:val="TextoNormal"/>
      </w:pPr>
      <w:r>
        <w:t>3º.  Restablecerla en su derecho, para lo cual el Juez ejecutor se abstendrá de ordenar en aquel procedimiento ejecutivo el lanzamiento de la arrendataria recurrente.</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dieciseis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0" w:name="SENTENCIA_1992_7"/>
      <w:r>
        <w:lastRenderedPageBreak/>
        <w:t>SENTENCIA 7/1992, de 16 de enero de 1992</w:t>
      </w:r>
    </w:p>
    <w:bookmarkEnd w:id="10"/>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ECLI:ES:TC:1992:7</w:t>
      </w:r>
    </w:p>
    <w:p w:rsidR="00FE0907" w:rsidRDefault="00FE0907" w:rsidP="00FE0907">
      <w:pPr>
        <w:pStyle w:val="SntesisDescriptiva"/>
      </w:pPr>
    </w:p>
    <w:p w:rsidR="00FE0907" w:rsidRDefault="00FE0907" w:rsidP="00FE0907">
      <w:pPr>
        <w:pStyle w:val="SntesisDescriptiva"/>
      </w:pPr>
      <w:r>
        <w:t>Recurso de amparo 1.377/1988. Contra Resolución del Presidente de la Asamblea Regional de Cantabria por la que se privó de su condición de Diputado en dicha Asamblea al recurrente.</w:t>
      </w:r>
    </w:p>
    <w:p w:rsidR="00FE0907" w:rsidRDefault="00FE0907" w:rsidP="00FE0907">
      <w:pPr>
        <w:pStyle w:val="SntesisDescriptiva"/>
      </w:pPr>
    </w:p>
    <w:p w:rsidR="00FE0907" w:rsidRDefault="00FE0907" w:rsidP="00FE0907">
      <w:pPr>
        <w:pStyle w:val="SntesisAnaltica"/>
      </w:pPr>
      <w:r>
        <w:t>Vulneración del derecho a permanecer en los cargos públicos: remoción indebida de Diputado como consecuencia de las penas accesorias impuestas por Sentencia de la Audiencia Provincial de Huesca</w:t>
      </w:r>
    </w:p>
    <w:p w:rsidR="00FE0907" w:rsidRDefault="00FE0907" w:rsidP="00FE0907">
      <w:pPr>
        <w:pStyle w:val="SntesisAnaltica"/>
      </w:pPr>
    </w:p>
    <w:p w:rsidR="00FE0907" w:rsidRDefault="00FE0907" w:rsidP="00FE0907">
      <w:pPr>
        <w:pStyle w:val="Extracto"/>
      </w:pPr>
      <w:r>
        <w:t>1.</w:t>
      </w:r>
      <w:r>
        <w:tab/>
        <w:t>Como afirmamos en la STC 101/1983, el hecho de que el acto parlamentario impugnado sea de simple constatación, o que se limite a aplicar la voluntad contenida en la norma, carece de entidad a efectos del recurso de amparo, pues lo relevante es si existe o no un acto de los poderes públicos -incluso la actuación por vía de hecho- que pueda, supuestamente, haber violado un derecho o libertad fundamental susceptible de amparo [F.J. 1].</w:t>
      </w:r>
    </w:p>
    <w:p w:rsidR="00FE0907" w:rsidRDefault="00FE0907" w:rsidP="00FE0907">
      <w:pPr>
        <w:pStyle w:val="Extracto"/>
      </w:pPr>
    </w:p>
    <w:p w:rsidR="00FE0907" w:rsidRDefault="00FE0907" w:rsidP="00FE0907">
      <w:pPr>
        <w:pStyle w:val="Extracto"/>
      </w:pPr>
      <w:r>
        <w:t>2.</w:t>
      </w:r>
      <w:r>
        <w:tab/>
        <w:t>Conforme a reiterada doctrina de este Tribunal, el derecho a acceder en condiciones de igualdad a las funciones y cargos públicos con los requisitos que señalen las leyes, consagrado en el art. 23.2 de la Constitución, comprende también el de permanecer en él en las mismas condiciones de igualdad y el de no ser removido de los cargos o funciones públicas a los que se accedió si no es por causas y de acuerdo con procedimientos legalmente previstos [F.J. 2].</w:t>
      </w:r>
    </w:p>
    <w:p w:rsidR="00FE0907" w:rsidRDefault="00FE0907" w:rsidP="00FE0907">
      <w:pPr>
        <w:pStyle w:val="Extracto"/>
      </w:pPr>
    </w:p>
    <w:p w:rsidR="00FE0907" w:rsidRDefault="00FE0907" w:rsidP="00FE0907">
      <w:pPr>
        <w:pStyle w:val="Extracto"/>
      </w:pPr>
      <w:r>
        <w:t>3.</w:t>
      </w:r>
      <w:r>
        <w:tab/>
        <w:t>Según dispone el art. 38 del Código Penal, la suspensión de un cargo público privará de su ejercicio al penado, así como a obtener otro de funciones análogas por el tiempo de condena, pero no le priva del cargo, pues ese es el efecto propio de otra pena diferente [F.J. 2].</w:t>
      </w:r>
    </w:p>
    <w:p w:rsidR="00FE0907" w:rsidRDefault="00FE0907" w:rsidP="00FE0907">
      <w:pPr>
        <w:pStyle w:val="Extracto"/>
      </w:pPr>
    </w:p>
    <w:p w:rsidR="00FE0907" w:rsidRDefault="00FE0907" w:rsidP="00FE0907">
      <w:pPr>
        <w:pStyle w:val="Extracto"/>
      </w:pPr>
      <w:r>
        <w:t>4.</w:t>
      </w:r>
      <w:r>
        <w:tab/>
        <w:t>Carece de fundamento la tesis de que el ejercicio de la función parlamentaria no admite interrupción alguna, de tal manera que toda suspensión en el desempeño del cargo debería llevar aparejada la extinción de la representación parlamentaria [F.J. 3].</w:t>
      </w:r>
    </w:p>
    <w:p w:rsidR="00FE0907" w:rsidRDefault="00FE0907" w:rsidP="00FE0907">
      <w:pPr>
        <w:pStyle w:val="Extracto"/>
      </w:pPr>
    </w:p>
    <w:p w:rsidR="00FE0907" w:rsidRDefault="00FE0907" w:rsidP="00FE0907">
      <w:pPr>
        <w:pStyle w:val="Extracto"/>
      </w:pPr>
      <w:r>
        <w:t>5.</w:t>
      </w:r>
      <w:r>
        <w:tab/>
        <w:t>No puede admitirse la aplicación extensiva del art. 160 LOREG, imponiendo «la renuncia» del escaño a todo aquel Diputado que se vea sometido a una condena penal generadora de inelegibilidad, puesto que, ante el silencio de la Ley electoral al respecto, no cabe la posibilidad de interpretar extensivamente la formulación legal de las causas de inelegibilidad (STC 28/1986), sino que es preciso proceder a una integración a partir de otros conceptos aplicables con arreglo al sentido de la institución y de los fines que procura (STC 51/1985) [F. 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lastRenderedPageBreak/>
        <w:t>La Sala Primera del Tribunal Constitucional, compuesta por don Francisco Tomás y Valiente, Presidente, don Fernando García-Mon y González Regueral,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1.377/88, promovido por don José Luis Vallines Díaz, representado por el Procurador don Julián Zapata Díaz, sustituído luego por don Juan Luis Pérez - Mulet y Suárez, y defendido por el Letrado don Eduardo García de Enterría, contra la Resolución del Presidente de la Asamblea Regional de Cantabria, de 21 julio 1988, por la que se le privó de su condición de Diputado en dicha Asamblea. Han comparecido el Presidente de la Asamblea Regional de Cantabria, don Eduardo Obregón Barreda, representado por el Procurador don José Luis Rodríguez Peraita y dirigido por el Abogado don Rafael de la Sierra González, y el Partido Regionalista de Cantabria, representado por la Procuradora doña Mercedes Marín Iribarren y dirigido por el Abogado don Angel E. Sánchez y Resina. Ha intervenido el Ministerio Fiscal, y ha sido Ponente el Magistrado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28 julio 1988 tuvo entrada en este Tribunal escrito por el que se interpuso el recurso de referencia, en el que se solicitaba que se declarase la nulidad de la resolución impugnada, por infringir los arts. 23.2, 14, 24 y 25.1 Constitución, y que se declarase que el actor conserva su condición de Diputado en la Asamblea Regional de Cantabria, sin perjuicio de la suspensión de derechos acordada por la Audiencia Provincial de Huesca. Por otrosí se pedía la suspensión de su ejecución, para evitar que se consumara la vulneración de sus derechos fundamentales y pudiera ejercer su cargo representativo.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narra los siguientes antecedentes fácticos: </w:t>
      </w:r>
    </w:p>
    <w:p w:rsidR="00FE0907" w:rsidRDefault="00FE0907" w:rsidP="00FE0907">
      <w:pPr>
        <w:pStyle w:val="TextoNormal"/>
      </w:pPr>
      <w:r>
        <w:t xml:space="preserve">a) El Sr. Vallines, elegido en su día Diputado de la Asamblea Regional de Cantabria, fue condenado por Sentencia firme de la Audiencia Provincial de Huesca de 4 de diciembre de 1984 como autor de un delito contra la libertad y seguridad en el trabajo a la pena de un mes y un día de arresto mayor, multa de 100.000 pts., y a la accesoria de suspensión de todo cargo público, profesión, oficio y derecho de sufragio durante el tiempo de la condena privativa de libertad. </w:t>
      </w:r>
    </w:p>
    <w:p w:rsidR="00FE0907" w:rsidRDefault="00FE0907" w:rsidP="00FE0907">
      <w:pPr>
        <w:pStyle w:val="TextoNormal"/>
      </w:pPr>
      <w:r>
        <w:t xml:space="preserve">b) Mediante providencia de 28 mayo 1988 ordena la Sala sentenciadora que se practique la liquidación de la pena accesoria y que, una vez aprobada por el Fiscal, se comunique al Presidente de la Asamblea Regional de Cantabria. Efectuada la liquidación en la misma fecha, se establece que la pena había de cumplirse desde el día 1 al 31 de julio de 1988. </w:t>
      </w:r>
    </w:p>
    <w:p w:rsidR="00FE0907" w:rsidRDefault="00FE0907" w:rsidP="00FE0907">
      <w:pPr>
        <w:pStyle w:val="TextoNormal"/>
      </w:pPr>
      <w:r>
        <w:lastRenderedPageBreak/>
        <w:t xml:space="preserve">c) Con fecha 21 julio 1988 y previo acuerdo mayoritario de la Mesa y de la Junta de Portavoces, conforme a las atribuciones que le confiere el art. 33.2 del Reglamento de la Asamblea Regional, el Presidente dicta una Resolución general que "explicita la formulación contenida en el art. 20.1 del mencionado Reglamento de la causa de pérdida de la condición de diputado...", de forma que el mencionado artículo, que preveía la pérdida de la condición de Diputado "por decisión judicial firme que anule la elección o proclamación del Diputado o acuerde la pérdida de tal condición" quedaba redactado de la manera siguiente: "por decisión judicial firme que... acuerde o implique la pérdida de tal condición". </w:t>
      </w:r>
    </w:p>
    <w:p w:rsidR="00FE0907" w:rsidRDefault="00FE0907" w:rsidP="00FE0907">
      <w:pPr>
        <w:pStyle w:val="TextoNormal"/>
      </w:pPr>
      <w:r>
        <w:t xml:space="preserve">d) El Presidente de la Cámara, en la misma fecha 21 julio 1988, comunica al Presidente de la Junta Electoral de Cantabria la anterior resolución de explicitación del Reglamento así como que, de acuerdo con la misma, el ahora recurrente "ha perdido su condición de Diputado como consecuencia de una decisión judicial firme de la Audiencia Provincial de Huesca que implica la imposibilidad de cumplir sin interrupción la función representativa de la voluntad popular en los asuntos públicos mencionada en el art. 23.1 de la Constitución". </w:t>
      </w:r>
    </w:p>
    <w:p w:rsidR="00FE0907" w:rsidRDefault="00FE0907" w:rsidP="00FE0907">
      <w:pPr>
        <w:pStyle w:val="TextoNormal"/>
      </w:pPr>
      <w:r>
        <w:t xml:space="preserve">e) El 22 julio el Presidente dirige escrito al Portavoz del Grupo Parlamentario de Alianza Popular de la Asamblea comunicándole todo lo anterior, sin que la resolución de privación del cargo de Diputado le fuera comunicada personalmente al afectado. </w:t>
      </w:r>
    </w:p>
    <w:p w:rsidR="00FE0907" w:rsidRDefault="00FE0907" w:rsidP="00FE0907">
      <w:pPr>
        <w:pStyle w:val="TextoNormal"/>
      </w:pPr>
      <w:r>
        <w:t xml:space="preserve">f) El recurso de amparo se dirige contra el Acuerdo de aplicación del Reglamento mediante el cual se declara que el solicitante de amparo "ha perdido su condición de diputado". </w:t>
      </w:r>
    </w:p>
    <w:p w:rsidR="00FE0907" w:rsidRDefault="00FE0907" w:rsidP="00FE0907">
      <w:pPr>
        <w:pStyle w:val="TextoNormal"/>
      </w:pPr>
      <w:r>
        <w:t>En el otrosí donde solicita la suspensión cautelar afirma que la privación de un diputado a su Grupo en una situación de equilibrio entre la mayoría y la oposición afecta a la propia composición de la Cámara: Los 39 diputados de la Asamblea están distribuídos de la siguiente forma: Alianza Popular (19), PSOE (13), Partido Regionalista Cántabro (5) y CDS (2). El Presidente de la Diputación Regional gobierna con el apoyo de Alianza Popular, la abstención del CDS, y la oposición de los otros dos partidos presentes en la Asamblea. El actor subraya la urgencia de la suspensión, pues el Presidente de la Asamblea, que pertenece a la oposición, ya ha tratado de aprovechar la actual coyuntura mediante la convocatoria de varios Plenos de la Cámara durante el mes de julio, intento frustrado por el Grupo de Alianza Popular con la amenaza de no concurrir a los mismos, solución que provoca inevitablemente la paralización de la actividad política parlamentaria.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recurrente distingue entre la Resolución interpretativa del Reglamento, que no es impugnada, y el acto de aplicación de dicho Reglamento (precisamente de su art. 20.1), mediante el cual se declara que ha perdido su condición de Diputado, que es contra el que se dirige el recurso. </w:t>
      </w:r>
    </w:p>
    <w:p w:rsidR="00FE0907" w:rsidRDefault="00FE0907" w:rsidP="00FE0907">
      <w:pPr>
        <w:pStyle w:val="TextoNormal"/>
      </w:pPr>
      <w:r>
        <w:t xml:space="preserve">Considera que dicho Acuerdo ha vulnerado los siguientes preceptos y derechos constitucionales: </w:t>
      </w:r>
    </w:p>
    <w:p w:rsidR="00FE0907" w:rsidRDefault="00FE0907" w:rsidP="00FE0907">
      <w:pPr>
        <w:pStyle w:val="TextoNormal"/>
      </w:pPr>
      <w:r>
        <w:t xml:space="preserve">a) El art. 23.2 de la Constitución, en tanto garantiza el derecho a permanecer en el cargo y a no ser removido del mismo sino por causas y a través de los procedimientos legalmente establecidos (STC 28/1984). Afirma el actor que la resolución del Presidente no puede fundarse en el art. 20.1 del Reglamento de la Cámara, ni siquiera tras la Resolución interpretativa del mismo mediante la que se le añadió el término "implique", ya que la resolución judicial de la Audiencia le condenaba a la suspensión de su cargo, sin que acordara ni implicase la pérdida de su condición de Diputado. En su opinión el Presidente de la Asamblea ha confundido la pena de suspensión con la de inhabilitación (arts. 27 y 35 </w:t>
      </w:r>
      <w:r>
        <w:lastRenderedPageBreak/>
        <w:t xml:space="preserve">a 38 C.P.). La decisión es asimismo contraria al propio Reglamento, que contempla en el art. 19.2 la suspensión de un Diputado en sus derechos, prerrogativas y deberes parlamentarios "cuando una Sentencia firme condenatoria lo comporte o cuando su cumplimiento implique imposibilidad de ejercer la función parlamentaria", supuesto que sería el aplicable en vez del contemplado en el art. 20.1. </w:t>
      </w:r>
    </w:p>
    <w:p w:rsidR="00FE0907" w:rsidRDefault="00FE0907" w:rsidP="00FE0907">
      <w:pPr>
        <w:pStyle w:val="TextoNormal"/>
      </w:pPr>
      <w:r>
        <w:t xml:space="preserve">b) El art. 14 C.E., porque el criterio seguido se separa del aplicado en otros casos de suspensión de Diputados. En efecto, en otros supuestos el propio Presidente ha suspendido en su condición de Diputados a determinados miembros de la Asamblea, sin que la interrupción en el ejercicio de la función consecuencia de dicha suspensión haya producido la pérdida de la condición de Diputado. Por el contrario ahora se pretende que tal interrupción produce para el recurrente esa pérdida. </w:t>
      </w:r>
    </w:p>
    <w:p w:rsidR="00FE0907" w:rsidRDefault="00FE0907" w:rsidP="00FE0907">
      <w:pPr>
        <w:pStyle w:val="TextoNormal"/>
      </w:pPr>
      <w:r>
        <w:t xml:space="preserve">c) El derecho a la tutela judicial efectiva reconocido en el art. 24 C.E. Esta infracción sería consecuencia de que el Presidente de la Asamblea ha modificado una pena impuesta por el Tribunal, cambiando la de suspensión de su cargo por la mucho más grave de privación del mismo, lo que supone una injerencia en competencias reservadas constitucionalmente al Poder Judicial (art. 117.3), una vulneración del principio de independencia de la Justicia, así como el principio non bis in idem (art. 25 C.E.). </w:t>
      </w:r>
    </w:p>
    <w:p w:rsidR="00FE0907" w:rsidRDefault="00FE0907" w:rsidP="00FE0907">
      <w:pPr>
        <w:pStyle w:val="TextoNormal"/>
      </w:pPr>
      <w:r>
        <w:t>d) El art. 25.1 C.E., en su doble contenido de legalidad de las penas y predeterminación de las mismas. La medida adoptada constituye una sanción sin base legal. Su base normativa ni siquiera es el Reglamento de la Asamblea, sino una Resolución general interpretativa. En segundo lugar, el referido precepto constitucional requiere la preexistencia de los tipos penales aplicados, lo que no ha ocurrido en el presente supuesto en el que la Resolución interpretativa base de la sanción se dicta no sólo con posterioridad a los hechos, sino incluso estando ya corriendo el período de ejecución de la pena impuesta.</w:t>
      </w:r>
    </w:p>
    <w:p w:rsidR="00FE0907" w:rsidRDefault="00FE0907" w:rsidP="00FE0907">
      <w:pPr>
        <w:pStyle w:val="TextoNormal"/>
      </w:pPr>
    </w:p>
    <w:p w:rsidR="00FE0907" w:rsidRDefault="00FE0907" w:rsidP="00FE0907">
      <w:pPr>
        <w:pStyle w:val="TextoNormal"/>
      </w:pPr>
      <w:r w:rsidRPr="00FE0907">
        <w:rPr>
          <w:rStyle w:val="NumeroAFNegritaCaracter"/>
        </w:rPr>
        <w:t>4</w:t>
      </w:r>
      <w:r>
        <w:t>. Mediante escrito registrado el 5 agosto 1988, el actor aportó dos documentos que estimaba de trascendencia para el recurso, y llegados a su disposición con posterioridad a su interposición: un dictamen emitido por el Letrado Jefe, Secretario General de la Asamblea, concluyendo que no existía razón alguna que pudiera justificar la pérdida de la condición de Diputado; y testimonio de 2 agosto 1988, de la Audiencia Provincial de Huesca, acreditativo del cumplimiento de la pena accesoria de suspensión en el mes de julio de 1988.</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recurso fue admitido por providencia de la Sección de Vacaciones de 12 agosto 1988, que ordenó la formación de pieza separada de suspensión. </w:t>
      </w:r>
    </w:p>
    <w:p w:rsidR="00FE0907" w:rsidRDefault="00FE0907" w:rsidP="00FE0907">
      <w:pPr>
        <w:pStyle w:val="TextoNormal"/>
      </w:pPr>
      <w:r>
        <w:t>El Presidente de la Asamblea remitió el expediente el siguiente día 16, y comunicó que había puesto en conocimiento de los portavoces de los grupos parlamentarios el oficio del Tribunal. El siguiente día 30 de agosto se personó el Presidente de la Asamblea Regional de Cantabria, mediante Procurador y Abogado. El día 13 de septiembre efectuó lo mismo el Partido Regionalista de Cantabria.</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el incidente de suspensión, el recurrente formuló alegaciones el 17 agosto 1988, señalando que el amparo perdería su finalidad si no se acuerda la suspensión, puesto que el derecho conculcado consiste en ejercer su cargo durante el período de tiempo para el que fue elegido Diputado. Además, reitera las alegaciones de la demanda relativas a las consecuencias de la sanción que se le ha impuesto sobre la composición de la Cámara, por lo que la suspensión solicitada sería también exigida por el interés público. El mismo día el Fiscal informó en contra de la suspensión cautelar por estimar que, aunque sea claro que </w:t>
      </w:r>
      <w:r>
        <w:lastRenderedPageBreak/>
        <w:t xml:space="preserve">tal denegación supondría privar de finalidad al amparo, debe prevalecer en este caso el efecto general de una resolución judicial firme que ha condenado al demandante como autor de un delito contra la libertad y seguridad en el trabajo, que es la que ha motivado la resolución recurrida. </w:t>
      </w:r>
    </w:p>
    <w:p w:rsidR="00FE0907" w:rsidRDefault="00FE0907" w:rsidP="00FE0907">
      <w:pPr>
        <w:pStyle w:val="TextoNormal"/>
      </w:pPr>
      <w:r>
        <w:t xml:space="preserve">Por Auto de 25 agosto 1988 se suspendió la ejecución del Acuerdo de la Presidencia de la Asamblea Regional impugnado, porque el tiempo de privación del cargo sería irrecuperable, sin que pueda aceptarse la prevalencia del efecto de una Sentencia judicial firme, por cuanto ésta ya ha sido ejecutada en su integridad, y lo que se suspende es un Acuerdo dictado como consecuencia del cumplimiento de dicha Sentencia y en aplicación de determinado precepto del Reglamento de la Asamblea. </w:t>
      </w:r>
    </w:p>
    <w:p w:rsidR="00FE0907" w:rsidRDefault="00FE0907" w:rsidP="00FE0907">
      <w:pPr>
        <w:pStyle w:val="TextoNormal"/>
      </w:pPr>
      <w:r>
        <w:t xml:space="preserve">El 15 octubre 1988 el Partido Regionalista de Cantabria solicitó el levantamiento de la suspensión acordada, en virtud del art. 57 LOTC. Fundaba su petición en la falsedad de las afirmaciones del recurrente sobre las consecuencias que le ejecución de la resolución suspendida habría de ocasionar; pues su cumplimiento no originaría modificación de la composición de la Asamblea, ya que el Sr. Vallines sería sustituido por el siguiente candidato de la lista de su partido. Tampoco sería cierta la afirmación del recurrente sobre la correlación de fuerzas en dicha Asamblea, ni que la Presidencia hubiera pedido la convocatoria de pleno alguno de la Cámara desde que se dictó la resolución recurrida. Igualmente alega que no habían tenido oportunidad de intervenir en el incidente de suspensión, por lo que se debía decretar la nulidad de lo actuado. Finalmente añadía que la suspensión perturba los intereses generales representados en la Asamblea. </w:t>
      </w:r>
    </w:p>
    <w:p w:rsidR="00FE0907" w:rsidRDefault="00FE0907" w:rsidP="00FE0907">
      <w:pPr>
        <w:pStyle w:val="TextoNormal"/>
      </w:pPr>
      <w:r>
        <w:t>Tras oir las alegaciones presentadas por el Fiscal y el recurrente, la Sala Segunda dictó Auto de 31 enero 1989 denegando la solicitud, y manteniendo en su integridad lo dispuesto en el Auto de 25 agosto. Primero, porque el art. 56.2 LOTC sólo obliga a oír las partes que ya estuvieran personadas en el momento de sustanciarse el incidente de suspensión, dado su carácter perentorio y la inexistencia de indefensión, pues el art. 57 LOTC permite en todo momento la modificación del acuerdo de suspensión. En cuanto al fondo, y dejando al margen las valoraciones políticas en torno a las posibles repercusiones sobre la composición de la Asamblea y sobre la estabilidad del Gobierno Cántabro, porque subsiste la razón de suspender para evitar que el amparo pierda su finalidad, sin que la sustitución por el siguiente candidato de la lista de su partido sea relevante, pues los derechos fundamentales en cuestión son los del Diputado recurrente, y no los de su grupo parlamentario. Y si bien es cierto que una resolución de la Presidencia de la Cámara goza de presunción de legitimidad, ha de ceder ante la posibilidad de que se produzca una lesión irreparable de un derecho fundamental.</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trámite de alegaciones fué abierto por providencia de 26 septiembre 1988. </w:t>
      </w:r>
    </w:p>
    <w:p w:rsidR="00FE0907" w:rsidRDefault="00FE0907" w:rsidP="00FE0907">
      <w:pPr>
        <w:pStyle w:val="TextoNormal"/>
      </w:pPr>
      <w:r>
        <w:t>El Sr. Vallines presentó alegaciones el 26 octubre 1988. Centró el objeto del recurso de amparo, que había sido interpuesto contra el acto impugnado, el cual se fundó en la modificación introducida en el Reglamento, al margen de los razonamientos totalmente distintos ofrecidos por el Presidente de la Asamblea a la prensa acerca de la pérdida de su condición de Diputado por resultar inelegible, conforme a los preceptos de la Ley Electoral de 1985. Acto seguido desarrolla las infracciones constitucionales expuestas en su demanda, que en su opinión justifican definitivamente el recurso contra una resolución de un marcado carácter político, y que ha podido alterar el equilibrio democrático de la Asamblea de Cantabria y el resultado de unas elecciones democráticas.</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xml:space="preserve">. El Partido Regionalista de Cantabria alegó, el 25 octubre 1988, en favor de la inadmisión del recurso o, subsidiariamente, de su desestimación. Entiende que no se cumplen los requisitos que establecen los arts. 41.2 y 42 LOTC, porque el acto recurrido es de mero trámite, ya que no consiste en el cese del Diputado, sino en la puesta en conocimiento de la Junta Electoral de Cantabria de la pérdida por el mismo de tal condición. Por lo que no limita en modo alguno los derechos del Sr. Vallines, que sólo se verían afectados por la designación de un sustituto o bien por la prohibición o impedimento de hecho de ejercer sus derechos y prerrogativas. Y contra la decisión de la Junta Electoral de Cantabria designando sustituto, cosa que no hizo, era posible interponer recurso contencioso administrativo. </w:t>
      </w:r>
    </w:p>
    <w:p w:rsidR="00FE0907" w:rsidRDefault="00FE0907" w:rsidP="00FE0907">
      <w:pPr>
        <w:pStyle w:val="TextoNormal"/>
      </w:pPr>
      <w:r>
        <w:t xml:space="preserve">En cuanto al fondo, el partido coadyuvante niega la vulneración del art. 23.2 C.E. porque el Diputado había incurrido en una causa de incompatibilidad forzosa en su cargo, determinante de su cese, a causa de la condena de que había sido objeto (de acuerdo con los arts. 155.1 y 6.2 LOREG, y los arts. 3.1, 6.1, 7.1 y 4 de la Ley de Cantabria 5/1987, de Elecciones a la Asamblea Regional de Cantabria, LEARC); lo cual supone una base legal suficiente para limitar el derecho a permanecer en los cargos públicos, tal y como reconocen las STC 28/1984, 45/1983, y 80/1987. Por el contrario, el hecho de aceptar como posible la suspensión de la condición de Diputado equivaldría a aceptar que la Cámara funcionara con una relación de fuerzas políticas contraria a la querida por los ciudadanos, lo que iría abiertamente en contra del derecho de participación por representación recogido en el art. 23.1 C.E. Los ciudadanos tienen derecho a participar por medio de representantes elegidos por un sistema proporcional, lo que supone el derecho de permanencia del espectro político resultado de las elecciones sin que se altere la composición de la Cámara que ha surgido del ejercicio del derecho de voto, evitando que la falta de alguno de los diputados electos altere la voluntad de los electores. El cese de un diputado, en casos de incompatibilidad, permite el nombramiento de su sustituto y evita que la situación irregular del órgano representativo a que pertenece sea aprovechada para maniobras políticas; la adulteración de la relación de fuerzas políticas en la Asamblea y la manipulación aprovechando la falta de un miembro de la Cámara es posible, precisamente, si se acepta la suspensión, que no contempla posibilidad alguna de sustitución. Finalmente, se alega que la actuación del Presidente de la Asamblea ha sido acorde con el Reglamento de la Cámara, por lo que ha seguido escrupulosamente el procedimiento legal establecido; aunque pudo poner directamente en conocimiento de la Junta Electoral de Cantabria la condena penal, de acuerdo con lo que dispone el art. 19 LEARC, escogió otra alternativa igualmente legítima, consistente en interpretar el Reglamento parlamentario tras oir la opinión de la Mesa y de la Junta de Portavoces de la Asamblea Regional, que emitieron por mayoría dictamen favorable a la interpretación del art. 20.1 del Reglamento. Tras lo que el Presidente puso en conocimiento de la Junta Electoral el hecho de la pérdida de la condición de Diputado del Sr. Vallines, de acuerdo con el art. 15 LEARC. El seguir voluntariamente estos trámites se justifica porque se trataba de una interpretación novedosa y de efectos importantes, sin que la adición de trámites no necesarios ataque al derecho de permanencia en los cargos públicos del art. 23.2 C.E. </w:t>
      </w:r>
    </w:p>
    <w:p w:rsidR="00FE0907" w:rsidRDefault="00FE0907" w:rsidP="00FE0907">
      <w:pPr>
        <w:pStyle w:val="TextoNormal"/>
      </w:pPr>
      <w:r>
        <w:t xml:space="preserve">El Partido Regionalista niega igualmente la vulneración de los demás derechos fundamentales invocados por el actor. El acto del Presidente no vulnera el principio de igualdad del art. 14, pues no se aparta de criterios aplicados a situaciones similares, que no han existido, al tratarse el supuesto alegado en la demanda de una sanción disciplinaria y que, además, afectaba exclusivamente a algunos de los derechos y deberes inherentes a la condición de diputado, de acuerdo con el art. 19 del Reglamento. Tampoco viola ninguno de </w:t>
      </w:r>
      <w:r>
        <w:lastRenderedPageBreak/>
        <w:t>los derechos recogidos en los arts. 24 y 25 C.E., pues el Presidente no ha impuesto una sanción, sino se ha limitado a constatar una consecuencia de diversa índole derivada de una condena penal, que repercute en el ámbito político dada la condición de Diputado del condenado, prevista por la legislación electoral. Por lo que no se produce un bis in idem, ni se sanciona con apoyo en una ley que no existía en el momento en que se produjo el hecho.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El Presidente de la Asamblea Regional de Cantabria presentó alegaciones, el mismo día 25 octubre 1988, solicitando la denegación del amparo. El recurso es inadmisible, porque el recurrente carece de legitimación para interponerlo por no estar afectado por el Acuerdo; el cual no es susceptible de amparo constitucional, al tratarse de un mero acto de trámite, no resolutorio y no definitivo, al ser una comunicación procedimental dirigida a la Junta Electoral, quien en su caso debería nombrar el candidato sustituto del Sr. Vallines, que sería la verdadera resolución sobre el fondo susceptible de recurso. Igualmente el acto recurrido no es firme, y contra él cabe el recurso en vía contencioso administrativa, según regula el art. 39 del Estatuto de Autonomía para Cantabria (EACt). </w:t>
      </w:r>
    </w:p>
    <w:p w:rsidR="00FE0907" w:rsidRDefault="00FE0907" w:rsidP="00FE0907">
      <w:pPr>
        <w:pStyle w:val="TextoNormal"/>
      </w:pPr>
      <w:r>
        <w:t xml:space="preserve">El Presidente refuta que se haya violado el art. 23.2 Constitución. Si en el ordenamiento jurídico no hubiera una norma que, velando por la pureza de las instituciones públicas dispusiera el cese inmediato en su cargo de quien habiendo sido elegido para ostentarlo por elección popular comete un delito doloso que tan gravemente infringe los deberes de los ciudadanos en la sociedad como el que dió lugar a la condena del actor, habría que promulgarla sin demora; pero en el ordenamiento español existen normas que, rectamente interpretadas, permiten sostener la pérdida de la condición de Diputado de la Asamblea al actor de un delito condenado --con otras penas-- a la pérdida temporal de todo cargo público y derecho de sufragio. Sólo están legitimados para ser elegibles los ciudadanos que se hallen en el pleno uso de sus derechos políticos (art. 68.5 C.E. y Disposiciones Comunes del Título I de la LOREG). Teniendo en cuenta que la elección genera un vínculo jurídico político entre los electores y el elegido que obliga a éste a desempeñar ininterrumpidamente el cargo, la suspensión de esta representación, aunque fuera temporal y por un breve período de tiempo, daría lugar necesariamente a la pérdida del mandato y al cese, para ser sustituido por quien habiendo sido elegido con el mismo derecho y con idénticos votos pueda ostentar la representación sin menoscabo alguno para la Asamblea, sin detrimento en la representatividad del partido político que le propuso, y sin quebranto del deber contraído con los electores por la aceptación y juramento del cargo. La situación jurídica de quienes han sido elegidos para representar al pueblo no es equiparable con la de los funcionarios públicos en general. La suspensión de diputado en sus derechos y deberes parlamentarios que contempla el art. 19 del Reglamento de la Asamblea Regional de Cantabria hace referencia a unos supuestos ajenos al sometido a consideración; es el art. 20, que establece las causas por las que se pierde la condición de diputado, el aplicable. Aunque el acuerdo del Presidente se fundamentó en el núm. 1 de este precepto, su defensa considera que es el núm. 5 el que le ofrece mejor sustento. La Ley de Cantabria 5/1987 (LEARC), a la que se remite este apartado, declara inelegibles a quienes se encuentran incursos en algunas de las causas previstas por la Ley Electoral estatal, añadiendo que todas las causas de inelegibilidad lo son también de incompatibilidad (arts. 3.1 y 6.1 LEARC, en concordancia con los arts. 155.1 y 6.2 LOREG). Lo que dicho sencillamente supone que quien durante el tiempo de la condena no podría ser elegido diputado, tiene que dejar de serlo cuando le condenen si había sido elegido, porque las condiciones de </w:t>
      </w:r>
      <w:r>
        <w:lastRenderedPageBreak/>
        <w:t xml:space="preserve">diputado y condenado son incompatibles. Conclusión que se refuerza con otros precedentes legislativos y disposiciones concordantes. </w:t>
      </w:r>
    </w:p>
    <w:p w:rsidR="00FE0907" w:rsidRDefault="00FE0907" w:rsidP="00FE0907">
      <w:pPr>
        <w:pStyle w:val="TextoNormal"/>
      </w:pPr>
      <w:r>
        <w:t xml:space="preserve">Tampoco se vulnera el principio de igualdad ante la ley consagrada en el art. 14 C.E., porque las sanciones disciplinarias a que se refiere el recurrente son distintas jurídicamente, al limitarse a suspender algunos de sus derechos y prerrogativas, con una absoluta diferencia de conceptos, de hechos y de regulación reglamentaria. Igualmente se refuta la violación del art. 24 C.E., porque los perjuicios o consecuencias civiles de la pena impuesta por un Tribunal no pueden considerarse como otra sanción o pena complementaria; el acuerdo del Presidente no agravó la pena ni atropelló la diligencia de liquidación de la misma, sino que se limitó a ser una de esas consecuencias civiles reguladas en la Ley y los Reglamentos que afectaron al Sr. Vallines por su condición de Diputado Regional en el momento de la ejecución de su condena. Tampoco se vulnera el art. 25 CE porque no se ha sancionado dos veces al actor por los mismos hechos, y porque la base normativa que obligó al Presidente de la Asamblea a comunicar a la Junta la pérdida de la condición de diputado no fué la resolución general interpretativa previa, sino que se deriva de las normas legales enunciadas con anterioridad, que dieron lugar a su incompatibilidad. </w:t>
      </w:r>
    </w:p>
    <w:p w:rsidR="00FE0907" w:rsidRDefault="00FE0907" w:rsidP="00FE0907">
      <w:pPr>
        <w:pStyle w:val="TextoNormal"/>
      </w:pPr>
      <w:r>
        <w:t>La representación del Presidente finaliza sus alegaciones afirmando que los derechos y prerrogativas de los Diputados de la Asamblea Regional de Cantabria han de corresponderse con la exigencia de una conducta intachable y digna que no empañe el prestigio de las instituciones.</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El Fiscal ante el Tribunal Constitucional emitió informe el 25 octubre 1988, en favor del otorgamiento del amparo en los términos interesados en el suplico de la demanda. No encuentra reparo alguno que oponer a su admisibilidad, en cuanto el acto objeto de impugnación no es la resolución general del Presidente de la Asamblea que explicita la formulación contenida en el art. 20.1 del Reglamento de la Cámara, sino el acto individualizado de aplicación que acuerda la pérdida de la condición de Diputado del recurrente. Aquélla no es impugnable en un recurso de amparo (STC 139/1988), pero éste sí al tratarse de un acto sin valor de ley (art. 42 LOTC). Que en la medida en que lesiona, al sentir del actor, varios derechos fundamentales no puede considerarse un acto interno de la Cámara excluido de revisión jurisdiccional, de acuerdo con la doctrina sentada inicialmente por el ATC 183/1984, y confirmada por las SSTC 118/1988, 139/1988 y 161/1988. El Fiscal resalta el doble contenido del Acuerdo de 21 julio 1988 que es impugnado en su segunda mitad, y que fué publicado como dos Resoluciones distintas de la Presidencia en el Boletín Oficial de la Asamblea Regional de Cantabria de 5 agosto 1988, días después de que se interpusiera la demanda de amparo. En esta publicación el acuerdo de pérdida de la condición de Diputado lleva fecha de 2 agosto, posterior al oficio que la Junta Electoral dirigió al Presidente de la Asamblea planteando la duda de si debía expedir credencial de Diputado al candidato siguiente, habida cuenta de lo señalado por los arts. 184.1 y 181 LOREG y el art. 19 de la Ley de Cantabria 8/1987 (LEARC). Que el acuerdo recurrido sea una aplicación directa del Reglamento o sea una aplicación de la resolución interpretativa de la Presidencia, es indiferente a efectos de admisión, aunque en este segundo supuesto la concesión del amparo por estimar violado el derecho fundamental obligaría a elevar la cuestión al Pleno ex art. 55.2 LOTC. </w:t>
      </w:r>
    </w:p>
    <w:p w:rsidR="00FE0907" w:rsidRDefault="00FE0907" w:rsidP="00FE0907">
      <w:pPr>
        <w:pStyle w:val="TextoNormal"/>
      </w:pPr>
      <w:r>
        <w:t xml:space="preserve">El acuerdo impugnado se funda en una interpretación extensiva del texto del art. 20.1 del Reglamento de la Asamblea, por el que entiende que la pérdida de la condición de Diputado se deriva no sólo de una decisión judicial que "acuerde" dicha pérdida, sino también de una decisión que la "implique". Este carácter se desprende tanto del sentido de </w:t>
      </w:r>
      <w:r>
        <w:lastRenderedPageBreak/>
        <w:t xml:space="preserve">la interpretación, como de un cotejo con los Reglamentos del Congreso de Diputados y del Senado. Esa interpretación extensiva ad malam partem en perjuicio del derecho del interesado pugna con la prohibición de extensiones analógicas de las normas restrictivas de derechos (art. 4.2 C.C.) y, más señaladamente, con la obligada interpretación más favorable para la efectividad del derecho fundamental comprometido (SSTC 69/1984, 77/1984, 29/1985 y 2/1987), que aquí se trata evidentemente del ejercicio de un cargo político comprendido en el art. 23.2 C.E. </w:t>
      </w:r>
    </w:p>
    <w:p w:rsidR="00FE0907" w:rsidRDefault="00FE0907" w:rsidP="00FE0907">
      <w:pPr>
        <w:pStyle w:val="TextoNormal"/>
      </w:pPr>
      <w:r>
        <w:t xml:space="preserve">El razonamiento anterior parte del presupuesto de que el acto impugnado es una aplicación directa del Reglamento de la Asamblea. Si se acoge la interpretación alternativa, como efectúa la demanda, de que el acuerdo de pérdida de la condición de Diputado aplica la Resolución general adoptada previamente por el Presidente de la Asamblea, el planteamiento no puede ser el mismo, pues se habría aplicado el Reglamento no en su redacción inicial sino en la que ha resultado tras la interpretación que, hay que pensar, supliría una omisión (según los términos del art. 30.2 de su Reglamento). Si la Resolución general de la Presidencia, que es un acto con valor de Ley, determina que una Sentencia judicial que la implique es motivo de pérdida de la condición de Diputado, constituiría una causa legítima pues el acceso y permanencia en el cargo es un derecho de configuración legal. Y ciertamente no repugna a una sensibilidad jurídica que una Sentencia condenatoria por delito doloso contra quien tiene la representación de la voluntad del pueblo pueda llevar aparejada la consecuencia de la pérdida de esa delegación popular. El legislador puede perfectamente optar porque una Sentencia penal con el rechazo social que lleva consigo por su propia naturaleza, lleve la pérdida de cargo público. Quien es condenado por la sociedad no debe tener su representación. </w:t>
      </w:r>
    </w:p>
    <w:p w:rsidR="00FE0907" w:rsidRDefault="00FE0907" w:rsidP="00FE0907">
      <w:pPr>
        <w:pStyle w:val="TextoNormal"/>
      </w:pPr>
      <w:r>
        <w:t>No obstante, y aún no descalificando el criterio normativo adoptado a pesar de la endeblez del argumento que está detrás de la secuencia léxica "o implique", es indudable que se trata de una interpretación creativa que da un nuevo alcance a la causa de pérdida de la condición de Diputado prevista por el art. 20.1 del Reglamento. Por lo que no puede aplicarse a situaciones surgidas con anterioridad a esa inteligencia del precepto, en virtud del art. 25.1 C.E., que impide que el recurrente pudiera ser privado de su calidad de parlamentario en virtud de una causa no contemplada por la Ley cuando fué condenado. Conclusión que dispensa de entrar en el análisis de si el Presidente de la Asamblea tiene facultades para extender sus facultades hasta donde lo hizo, o de examinar ahora si la nueva dimensión del precepto es o no acomodada a la Constitución. Así como de entrar en análisis de las otras vulneraciones constitucionales que expone la demanda.</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Del expediente parlamentario se desprenden los siguientes datos: </w:t>
      </w:r>
    </w:p>
    <w:p w:rsidR="00FE0907" w:rsidRDefault="00FE0907" w:rsidP="00FE0907">
      <w:pPr>
        <w:pStyle w:val="TextoNormal"/>
      </w:pPr>
      <w:r>
        <w:t xml:space="preserve">a) Tras haber sido puesta en su conocimiento la Sentencia del Tribunal Supremo que confirmó en casación la condena impuesta al Sr. Vallines, por medio de un escrito presentado el 15 enero 1988 por el portavoz del grupo parlamentario socialista don Juan González Bedoya, la Mesa de la Asamblea Regional de Cantabria acordó facultar al Presidente para comunicar a la Audiencia Provincial de Huesca que el condenado ostentaba la condición de Diputado regional, y para rogarle que facilitase la documentación que pudiera interesar a la Asamblea. </w:t>
      </w:r>
    </w:p>
    <w:p w:rsidR="00FE0907" w:rsidRDefault="00FE0907" w:rsidP="00FE0907">
      <w:pPr>
        <w:pStyle w:val="TextoNormal"/>
      </w:pPr>
      <w:r>
        <w:t xml:space="preserve">b) El siguiente día 30 se recibió un oficio del Presidente de la Audiencia, remitiendo certificación de varios documentos judiciales: </w:t>
      </w:r>
    </w:p>
    <w:p w:rsidR="00FE0907" w:rsidRDefault="00FE0907" w:rsidP="00FE0907">
      <w:pPr>
        <w:pStyle w:val="TextoNormal"/>
      </w:pPr>
      <w:r>
        <w:t xml:space="preserve">- Su Sentencia de 4 diciembre 1984, que junto con otras personas condenó a don José Luis Vallines Díaz, como autor de un delito contra la libertad y seguridad en el trabajo (art. 499 bis C.P.), a la pena de un mes y un día de arresto mayor y 100.000 pts. de multa, </w:t>
      </w:r>
      <w:r>
        <w:lastRenderedPageBreak/>
        <w:t xml:space="preserve">al pago de las costas procesales en una octava parte, y a las accesorias de suspensión de todo cargo público, profesión, oficio y derecho de sufragio durante el tiempo de la condena de arresto mayor. </w:t>
      </w:r>
    </w:p>
    <w:p w:rsidR="00FE0907" w:rsidRDefault="00FE0907" w:rsidP="00FE0907">
      <w:pPr>
        <w:pStyle w:val="TextoNormal"/>
      </w:pPr>
      <w:r>
        <w:t xml:space="preserve">- La Sentencia del Tribunal Supremo (Sala de lo Penal), de 21 octubre 1987, que desestimó el recurso de casación interpuesto contra la anterior. </w:t>
      </w:r>
    </w:p>
    <w:p w:rsidR="00FE0907" w:rsidRDefault="00FE0907" w:rsidP="00FE0907">
      <w:pPr>
        <w:pStyle w:val="TextoNormal"/>
      </w:pPr>
      <w:r>
        <w:t xml:space="preserve">- El Auto de 14 diciembre 1987, que declaró firme la Sentencia condenatoria desde el día 21 octubre 1987, y acordó su inmediata ejecución. </w:t>
      </w:r>
    </w:p>
    <w:p w:rsidR="00FE0907" w:rsidRDefault="00FE0907" w:rsidP="00FE0907">
      <w:pPr>
        <w:pStyle w:val="TextoNormal"/>
      </w:pPr>
      <w:r>
        <w:t xml:space="preserve">- El Auto de 7 enero 1988, que concedió los beneficios de la condena condicional, según los arts. 92 y concordantes del Código Penal, y dejó en suspenso por término de dos años la aplicación de las penas de arresto mayor y multa. Igualmente el testimonio del despacho para notificar este último Auto. </w:t>
      </w:r>
    </w:p>
    <w:p w:rsidR="00FE0907" w:rsidRDefault="00FE0907" w:rsidP="00FE0907">
      <w:pPr>
        <w:pStyle w:val="TextoNormal"/>
      </w:pPr>
      <w:r>
        <w:t xml:space="preserve">c) A la vista de que la condena condicional no afectaba, al parecer, a las penas accesorias de suspensión, el Presidente de la Asamblea rogó al de la Audiencia, mediante oficio de 1 febrero 1988, que le comunicara si procedía suspender al Sr. Vallines en sus derechos y deberes como Diputado y, en su caso, momento en el que debía comenzar y cesar dicha suspensión. El siguiente día 18 se recibió oficio del Presidente de la Audiencia, poniendo en conocimiento de la Asamblea Regional que la ejecución de la pena accesoria al condenado Sr. Vallines había sido dejada en suspenso hasta tanto se resolviera el recurso de amparo interpuesto ante el Tribunal Constitucional. </w:t>
      </w:r>
    </w:p>
    <w:p w:rsidR="00FE0907" w:rsidRDefault="00FE0907" w:rsidP="00FE0907">
      <w:pPr>
        <w:pStyle w:val="TextoNormal"/>
      </w:pPr>
      <w:r>
        <w:t xml:space="preserve">d) El 9 junio 1988 se recibió oficio de la Audiencia, que comunicó la liquidación de la pena accesoria de suspensión de todo cargo público, profesión, oficio y derecho de sufragio conforme a lo acordado por providencia de la Sala de 28 mayo 1988, señalando que la pena a cumplir debía ser de 31 días, que comenzarían el día 1 julio 1988, y quedarían cumplidos con fecha 31 julio 1988. </w:t>
      </w:r>
    </w:p>
    <w:p w:rsidR="00FE0907" w:rsidRDefault="00FE0907" w:rsidP="00FE0907">
      <w:pPr>
        <w:pStyle w:val="TextoNormal"/>
      </w:pPr>
      <w:r>
        <w:t xml:space="preserve">El siguiente día 13 el Diputado comunicó a la Mesa la suspensión consecuencia de la Sentencia condenatoria. </w:t>
      </w:r>
    </w:p>
    <w:p w:rsidR="00FE0907" w:rsidRDefault="00FE0907" w:rsidP="00FE0907">
      <w:pPr>
        <w:pStyle w:val="TextoNormal"/>
      </w:pPr>
      <w:r>
        <w:t xml:space="preserve">e) La Mesa de la Asamblea Regional de Cantabria, en su sesión de 13 junio 1988, acordó quedar enterada del escrito de la Audiencia Provincial, y declarar que el Sr. Vallines, de conformidad con la liquidación de la pena accesoria impuesta, y con lo dispuesto en el art. 19 del Reglamento de la Asamblea, había quedado suspendido en sus derechos, prerrogativas y deberes parlamentarios durante el período comprendido entre el 1 de julio y 31 de julio de 1988. </w:t>
      </w:r>
    </w:p>
    <w:p w:rsidR="00FE0907" w:rsidRDefault="00FE0907" w:rsidP="00FE0907">
      <w:pPr>
        <w:pStyle w:val="TextoNormal"/>
      </w:pPr>
      <w:r>
        <w:t xml:space="preserve">f) El siguiente día 20, el portavoz del grupo parlamentario socialista solicitó que a la mayor brevedad posible se convocara a la Comisión del Estatuto de los Diputados, para dar cumplimiento a lo establecido en el art. 17 del Reglamento. Tras una inicial negativa, el Presidente resolvió, el 24 junio 1988, que dicho artículo contempla incompatibilidades que pueden dar lugar a opciones "entre el escaño y el cargo incompatible"; no obstante estaba dispuesto a convocar a la Comisión, si uno o más grupos argumentaran razones suficientes. Finalmente, ante las dudas que el caso planteaba, se celebró una reunión de la Comisión del Estatuto de los Diputados el 19 julio 1988. Tras diversas intervenciones de sus miembros, se cerró la sesión sin votación alguna porque tenía un carácter deliberante. </w:t>
      </w:r>
    </w:p>
    <w:p w:rsidR="00FE0907" w:rsidRDefault="00FE0907" w:rsidP="00FE0907">
      <w:pPr>
        <w:pStyle w:val="TextoNormal"/>
      </w:pPr>
      <w:r>
        <w:t xml:space="preserve">g) El 21 julio 1988, el Presidente formuló una propuesta de Resolución de carácter general, en ejercicio de su función supletoria del Reglamento de la Asamblea, en relación con la primera causa de cese de la condición de diputado que contempla el art. 20 del Reglamento. Tras ser votada favorablemente por mayoría por la Junta de Portavoces, en su sesión de 21 julio, el Presidente la aprobó como Resolución general. El mismo día, la Mesa de la Asamblea se pronunció en favor de la resolución interpretativa del Presidente. </w:t>
      </w:r>
    </w:p>
    <w:p w:rsidR="00FE0907" w:rsidRDefault="00FE0907" w:rsidP="00FE0907">
      <w:pPr>
        <w:pStyle w:val="TextoNormal"/>
      </w:pPr>
      <w:r>
        <w:lastRenderedPageBreak/>
        <w:t xml:space="preserve">h) El mismo día 21, el Presidente de la Asamblea dirigió una comunicación a la Junta Electoral de Cantabria, cuyo tenor literal es el siguiente: </w:t>
      </w:r>
    </w:p>
    <w:p w:rsidR="00FE0907" w:rsidRDefault="00FE0907" w:rsidP="00FE0907">
      <w:pPr>
        <w:pStyle w:val="TextoNormal"/>
      </w:pPr>
      <w:r>
        <w:t xml:space="preserve">"Conforme a las atribuciones que le confiere el art. 33.2 del Reglamento de la Asamblea Regional de Cantabria, esta Presidencia ha decidido dictar, mediado el parecer favorable mayoritario de la Mesa y de la Junta de Portavoces reunida en el día de hoy, previa la convocatoria oficial preceptiva, una resolución general que explicita la formulación contenida en el art. 20.1º del mencionado Reglamento de la causa de pérdida de la condición de Diputado de la Asamblea Regional de Cantabria "por decisión judicial firme que acuerde la pérdida de tal condición" mediante la adición de la secuencia léxica "o implique" inmediatamente después de la palabra acuerde, que sin modificar en nada la sustancia del contenido ni del propósito de la mencionada palabra, posibilita, sin embargo, más claramente la aplicación de este precepto reglamentario a casos concretos del régimen de la Asamblea Regional. </w:t>
      </w:r>
    </w:p>
    <w:p w:rsidR="00FE0907" w:rsidRDefault="00FE0907" w:rsidP="00FE0907">
      <w:pPr>
        <w:pStyle w:val="TextoNormal"/>
      </w:pPr>
      <w:r>
        <w:t xml:space="preserve">De acuerdo con la citada Resolución esta Presidencia se dirige al Ilmo.Sr. Presidente de la Junta Electoral de Cantabria para dar cuenta a los efectos que procedan de que don José Luis Vallines Díaz, elegido en su día Diputado de la Asamblea Regional de Cantabria, ha perdido su condición de Diputado como consecuencia de una decisión judicial firme de la Audiencia Provincial de Huesca que implica la imposibilidad de cumplir sin interrupción la función representativa de la voluntad popular en los asuntos públicos mencionada en el art. 23.1 de la Constitución Española". </w:t>
      </w:r>
    </w:p>
    <w:p w:rsidR="00FE0907" w:rsidRDefault="00FE0907" w:rsidP="00FE0907">
      <w:pPr>
        <w:pStyle w:val="TextoNormal"/>
      </w:pPr>
      <w:r>
        <w:t xml:space="preserve">i) El 29 julio, el Presidente de la Junta Electoral comunicó que había elevado consulta a la Junta Central sobre si aquélla era competente en el asunto del Sr. Vallines, y si una Junta Electoral debe expedir credencial de Diputado al candidato siguiente, habida cuenta de que ello sólo procede en los casos de fallecimiento, incapacidad o renuncia, según señalan los arts. 164.1 y 182 de la Ley Orgánica del Régimen Electoral General, y el art. 19 de la Ley de Cantabria 5/1987, de Elecciones a la Asamblea Regional. </w:t>
      </w:r>
    </w:p>
    <w:p w:rsidR="00FE0907" w:rsidRDefault="00FE0907" w:rsidP="00FE0907">
      <w:pPr>
        <w:pStyle w:val="TextoNormal"/>
      </w:pPr>
      <w:r>
        <w:t xml:space="preserve">j) El 29 julio, el Letrado Secretario General de la Asamblea emitió dictamen con las siguientes conclusiones: "Se entiende que la situación del Diputado Sr. Vallines Díaz es la que se desprende de la liquidación de la pena accesoria impuesta, .... de acuerdo además con lo establecido en el art. 19 del Reglamento. No se observa norma legal alguna que establezca para el caso anterior la pérdida de la condición de Diputado y tampoco de su sustitución por el siguiente de la lista. No cabe interpretación que suponga una ampliación o agravamiento de la pena accesoria impuesta pues las disposiciones de carácter res trictivo no pueden extenderse ni ampliarse". </w:t>
      </w:r>
    </w:p>
    <w:p w:rsidR="00FE0907" w:rsidRDefault="00FE0907" w:rsidP="00FE0907">
      <w:pPr>
        <w:pStyle w:val="TextoNormal"/>
      </w:pPr>
      <w:r>
        <w:t>k) En el Boletín Oficial de la Asamblea Regional de Cantabria de 5 agosto 1988, fueron publicadas las resoluciones de la Presidencia sobre interpretación del art. 20.1 del Reglamento y sobre pérdida de la condición de Diputado del Sr. Vallines.</w:t>
      </w:r>
    </w:p>
    <w:p w:rsidR="00FE0907" w:rsidRDefault="00FE0907" w:rsidP="00FE0907">
      <w:pPr>
        <w:pStyle w:val="TextoNormal"/>
      </w:pPr>
    </w:p>
    <w:p w:rsidR="00FE0907" w:rsidRDefault="00FE0907" w:rsidP="00FE0907">
      <w:pPr>
        <w:pStyle w:val="TextoNormal"/>
      </w:pPr>
      <w:r w:rsidRPr="00FE0907">
        <w:rPr>
          <w:rStyle w:val="NumeroAFNegritaCaracter"/>
        </w:rPr>
        <w:t>12</w:t>
      </w:r>
      <w:r>
        <w:t xml:space="preserve">. Por providencia de 4 mayo 1989 se aceptó la personación en el proceso del Procurador don Juan Luis Pérez-Mulet y Suárez en nombre del recurrente Sr. Vallines, de conformidad con el art. 9.7 LEC, al haberse extinguido la representación del Procurador Sr. Zapata Díaz por su fallecimiento. </w:t>
      </w:r>
    </w:p>
    <w:p w:rsidR="00FE0907" w:rsidRDefault="00FE0907" w:rsidP="00FE0907">
      <w:pPr>
        <w:pStyle w:val="TextoNormal"/>
      </w:pPr>
      <w:r>
        <w:t>Por providencia de 13 de enero de 1992 se acordó fijar para la deliberación y votación de la presente Sentencia el día 16 del mismo mes y año.</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se dirige contra la Resolución del Presidente de la Asamblea de Cantabria, de fecha 21 de julio de 1988, en la que dio cuenta a la Junta Electoral de que el hoy recurrente había perdido la condición de Diputado de la Asamblea Regional de Cantabria, como consecuencia de haber sido condenado en Sentencia firme a la pena accesoria de suspensión de todo cargo público y derecho de sufragio por período de un mes y un día, por entender que dicha resolución vulnera los derechos consagrados en los arts.  14, 23.1, 24 y 25.1 de la Constitución.  La cuestión planteada, pues, consiste en determinar si la pena accesoria de suspensión de todo cargo público, que recayó sobre el hoy recurrente de amparo, conlleva o no la pérdida de su condición de Diputado en la Asamblea Regional de Cantabria.</w:t>
      </w:r>
    </w:p>
    <w:p w:rsidR="00FE0907" w:rsidRDefault="00FE0907" w:rsidP="00FE0907">
      <w:pPr>
        <w:pStyle w:val="TextoNormal"/>
      </w:pPr>
      <w:r>
        <w:t>Pero, antes de resolver el fondo de la cuestión, es preciso examinar las objeciones opuestas a la admisión del recurso, tanto por el Presidente de la Asamblea Regional de Cantabria, como por el Partido Regionalista de Cantabria, consistentes en el incumplimiento de los requisitos establecidos en los arts.  41.2 y 42 de la LOTC, por considerar, de una parte, que el acto recurrido es de mero trámite, no resolutorio, ni definitivo y que, en todo caso, sería la decisión de la Junta Electoral de Cantabria, designando sustituto del hoy recurrente, el acto susceptible de amparo.  Y, de otra parte, que el acto ahora recurrido no es firme, y a que, contra el mismo, cabe recurso en vía contencioso-administrativa, de conformidad con lo dispuesto en el art.  39 del Estatuto de Autonomía para Cantabria (EACt).</w:t>
      </w:r>
    </w:p>
    <w:p w:rsidR="00FE0907" w:rsidRDefault="00FE0907" w:rsidP="00FE0907">
      <w:pPr>
        <w:pStyle w:val="TextoNormal"/>
      </w:pPr>
      <w:r>
        <w:t>Pero ninguna de estas objeciones pueden ser acogidas, puesto que, en primer término, es irrelevante, a los efectos planteados en el presente recurso, que la pérdida de la condición de Diputado del hoy recurrente se produjera ope legis, por el hecho de que el fallo condenatorio adquirió firmeza, o como consecuencia del acto dictado por el Presidente de la Asamblea, toda vez que, como afirmamos en la STC 101/1983, en un supuesto análogo al que ahora nos ocupa, el hecho de que el acto impugnado sea de simple constatación o que se limite a aplicar la voluntad contenida en la norma, carece de entidad a efectos del recurso de amparo, pues lo relevante es si existe o no un acto de los poderes públicos -incluso la actuación por vía de hecho- que pueda, supuestamente, haber violado un derecho o libertad fundamental susceptible de amparo.</w:t>
      </w:r>
    </w:p>
    <w:p w:rsidR="00FE0907" w:rsidRDefault="00FE0907" w:rsidP="00FE0907">
      <w:pPr>
        <w:pStyle w:val="TextoNormal"/>
      </w:pPr>
      <w:r>
        <w:t>En segundo término, es obvio que la determinación de si se ha producido o no las vulneraciones de los derechos fundamentales del actor constituye el fondo del asunto, y, desde luego, la declaración oficial por parte del Presidente de la Asamblea Regional, mediante una resolución escrita y pública, de que un Diputado ha perdido su condición, surte efectos que inciden en su situación jurídica, con independencia de que sean o no extintivos de su mandato, sin necesidad de esperar a que la Junta Electoral designara, en su caso, a un sustituto en la lista electoral o a que se prohibiera o se le impidiera de hecho ejercer los derechos y prerrogativas propios de su cargo de diputado (SSTC 28/1984 y 119/1990).</w:t>
      </w:r>
    </w:p>
    <w:p w:rsidR="00FE0907" w:rsidRDefault="00FE0907" w:rsidP="00FE0907">
      <w:pPr>
        <w:pStyle w:val="TextoNormal"/>
      </w:pPr>
    </w:p>
    <w:p w:rsidR="00FE0907" w:rsidRDefault="00FE0907" w:rsidP="00FE0907">
      <w:pPr>
        <w:pStyle w:val="TextoNormal"/>
      </w:pPr>
      <w:r w:rsidRPr="00FE0907">
        <w:rPr>
          <w:rStyle w:val="NumeroAFNegritaCaracter"/>
        </w:rPr>
        <w:t>2</w:t>
      </w:r>
      <w:r>
        <w:t>. Conforme a la reiterada doctrina de este Tribunal, el derecho a acceder en condiciones de igualdad a las funciones y cargos públicos con los requisitos que señalen las leyes, consagrado en el art. 23.2 de la Constitución, comprende también el de permanecer en él en las mismas condiciones de igualdad y el de no ser removido de los cargos o funciones públicas a los que se accedió si no es por causas y de acuerdo con procedimientos legalmente previstos (por todas, STC 28/1984).</w:t>
      </w:r>
    </w:p>
    <w:p w:rsidR="00FE0907" w:rsidRDefault="00FE0907" w:rsidP="00FE0907">
      <w:pPr>
        <w:pStyle w:val="TextoNormal"/>
      </w:pPr>
      <w:r>
        <w:lastRenderedPageBreak/>
        <w:t>La aplicación de la anterior doctrina conduce a la necesidad de examinar si, en el presente caso, el cese del hoy recurrente se ha producido en virtud de causa legalmente prestablecida.</w:t>
      </w:r>
    </w:p>
    <w:p w:rsidR="00FE0907" w:rsidRDefault="00FE0907" w:rsidP="00FE0907">
      <w:pPr>
        <w:pStyle w:val="TextoNormal"/>
      </w:pPr>
      <w:r>
        <w:t>Pues bien, en este sentido, es claro, de una parte, que de conformidad con lo dispuesto en la Ley de Elecciones a la Asamblea Regional de Cantabria (LEARC, Ley de Cantabria 5/87, de 27 de marzo), que se remite a la Ley Orgánica del Régimen Electoral General (LOREG, L.O. 5/1985, de 19 de junio), carecen del derecho de sufragio -tanto activo como pasivo- quienes hubieran sido condenados por Sentencia judicial firme a la pena principal o accesoria de privación del derecho de sufragio durante el tiempo de su cumplimiento [art.  3.1a] de la LOREG), así como los condenados por sentencia firme a pena privativa de libertad, durante el período que dure la pena (art.  6.2 de la LOREG).  A estas causas de inelegibilidad hay que añadir, como es lógico, los supuestos derivados de sanciones penales, entre ellos los relativos a la pena de suspensión de cargo público, cuyos propios efectos, regulados por el art.  38 del Código Penal, implican la imposibilidad de obtener otro de funciones análogas durante el tiempo de la condena, por lo que constituye una causa de inelegibilidad para cualquier cargo de funciones análogas a aquel de cuyo ejercicio se haya suspendido al penado (SSTC 80/1987 y 158/1991).  De otra parte, el Reglamento de la Asamblea de Cantabria establece expresamente -art.  19- los supuestos en los que el Diputado quedará suspendido en sus derechos y deberes parlamentarios, entre ellos "cuando una Sentencia firme condenatoria lo comporte o cuando su cumplimiento implique imposibilidad de ejercer la función parlamentaria" (art. 19.2).  Asimismo prevé expresamente -art. 20- los casos en los que el Diputado perderá su condición, entre los que no se incluye el supuesto de condena a pena de suspensión de cargo u oficio.</w:t>
      </w:r>
    </w:p>
    <w:p w:rsidR="00FE0907" w:rsidRDefault="00FE0907" w:rsidP="00FE0907">
      <w:pPr>
        <w:pStyle w:val="TextoNormal"/>
      </w:pPr>
      <w:r>
        <w:t>De conformidad con lo anterior, es indudable que la pena accesoria de suspensión de todo cargo público y derecho de sufragio por período de un mes y un día, impuesta al hoy recurrente de amparo por Sentencia de 4 de diciembre de 1984 de la Audiencia Provincial de Huesca, confirmada en casación por la Sala Segunda del Tribunal Supremo en Sentencia de 21 de octubre de 1987, y que el hoy recurrente cumplió durante el mes de julio de 1988 de acuerdo con lo dispuesto por la Audiencia Provincial de Huesca en providencia de 28 de mayo de 1988, no acarreaba por sí sola la pérdida de la condición de Diputado (sino tan sólo la suspensión de su ejercicio durante el indicado período), por lo que el acto ahora impugnado ha infringido el derecho fundamental consagrado en el art. 23.2 de la C.E.  En efecto, según dispone el art. 38 del Código Penal, la suspensión de un cargo público privará de su ejercicio al penado, así como a obtener otro de funciones análogas por el tiempo de la condena, pero no le priva del cargo, pues ese es el efecto propio de otra pena diferente: la inhabilitación absoluta o especial (arts. 35 y 36 C.P.).  Es claro, por ello, que la pena accesoria de suspensión impuesta, por su propia naturaleza, sólo podía afectar al derecho del hoy recurrente a ejercer temporalmente el cargo de Diputado, y, en su caso, a no ser elegido durante el período de la condena, pero en modo alguno generar la pérdida de la condición de Diputado del hoy recurrente.</w:t>
      </w:r>
    </w:p>
    <w:p w:rsidR="00FE0907" w:rsidRDefault="00FE0907" w:rsidP="00FE0907">
      <w:pPr>
        <w:pStyle w:val="TextoNormal"/>
      </w:pPr>
    </w:p>
    <w:p w:rsidR="00FE0907" w:rsidRDefault="00FE0907" w:rsidP="00FE0907">
      <w:pPr>
        <w:pStyle w:val="TextoNormal"/>
      </w:pPr>
      <w:r w:rsidRPr="00FE0907">
        <w:rPr>
          <w:rStyle w:val="NumeroAFNegritaCaracter"/>
        </w:rPr>
        <w:t>3</w:t>
      </w:r>
      <w:r>
        <w:t>. De otra parte, tampoco es posible aceptar las alegaciones de la parte demandada y coadyuvante de que la pérdida del escaño, aún no decidida explícitamente en la Sentencia penal, era consecuencia ineluctable de la misma por no admitir el ejercicio de la representación parlamentaria interrupción alguna, así como por constituir la pena de suspensión una causa de incompatibilidad.</w:t>
      </w:r>
    </w:p>
    <w:p w:rsidR="00FE0907" w:rsidRDefault="00FE0907" w:rsidP="00FE0907">
      <w:pPr>
        <w:pStyle w:val="TextoNormal"/>
      </w:pPr>
      <w:r>
        <w:t>En primer término, carece de fundamento la tesis de que el ejercicio de la función parlamentaria no admite interrupción alguna, de tal manera que toda suspensión en el desem</w:t>
      </w:r>
      <w:r>
        <w:lastRenderedPageBreak/>
        <w:t>peño del cargo debería llevar aparejada la extinción de la representación parlamentaria.  Sea suficiente señalar, al respecto, que el propio Reglamento de la Asamblea de Cantabria, en sintonía con lo dispuesto en los Reglamentos del Congreso y del Senado, contempla expresamente la situación de suspensión de los Diputados en sus derechos y deberes parlamentarios por causas diversas, entre ellas precisamente, como antes quedó dicho, la de que una sentencia firme condenatoria lo comporte (art.  19.1 y 3 del Reglamento de Cantabria; cfr.  arts.  21.2 Rgto. del Congreso, y arts.  22, 101 y 102 Rgto.  del Senado).</w:t>
      </w:r>
    </w:p>
    <w:p w:rsidR="00FE0907" w:rsidRDefault="00FE0907" w:rsidP="00FE0907">
      <w:pPr>
        <w:pStyle w:val="TextoNormal"/>
      </w:pPr>
      <w:r>
        <w:t>En segundo término, aunque la pena de suspensión de cargo público implica siempre la imposibilidad de obtener otro de funciones análogas durante el tiempo de la condena (art. 38 C.P.)  y, por ello, constituye una causa de inelegibilidad en nuestro Derecho, en los términos expuestos en nuestras Sentencias 80/87 y 158/91, no puede admitirse la aplicación extensiva del art.  160 LOREG que propugnan las partes recurrida y coadyuvante, imponiendo "la renuncia" del escaño a todo aquél diputado que se vea sometido a una condena penal generadora de inelegibilidad, puesto que, ante el silencio de la ley electoral al respecto, no cabe la posibilidad de interpretar extensivamente la formulación legal de las causas de inelegibilidad (STC 28/1986), sino que es preciso proceder a una integración a partir de otros preceptos aplicables con arreglo al sentido de la institución y de los fines que procura (STC 51/1985).  Y en este sentido, es indudable que hay que tener en cuenta, tanto las previsiones del Código Penal, que sólo anudan la pérdida del cargo público a las penas de extrañamiento y confinamiento y a las privativas de libertad por tiempo superior a doce años (arts. 45 y 46 C.P.), pero no respecto de otras penas, a las que sólo asocia la suspensión del cargo (art.  47 C.P.), como las del Reglamento de la Asamblea de Cantabria, que distingue -como antes se dijo- entre las decisiones judiciales que acuerdan la pérdida de la condición de diputado regional, de las que sólo comportan la suspensión o implican la imposibilidad temporal de ejercer la función parlamentaria (arts.  20.1 y 19.2 R.A.R.C., respectivamente).  En consecuencia, sólo en el primer supuesto se pierde el escaño, puesto que, en el segundo, como es el caso que ahora nos ocupa, el Diputado queda suspendido de sus derechos, prerrogativas y deberes parlamentarios.  Por ello, la interpretación que en el presente caso ha hecho el Presidente de la Asamblea Regional de Cantabria de lo dispuesto en el art.  20.1 del Reglamento de la Asamblea ha de considerarse como extensiva, infundada y contraria al art. 23.2 de la C.E.</w:t>
      </w:r>
    </w:p>
    <w:p w:rsidR="00FE0907" w:rsidRDefault="00FE0907" w:rsidP="00FE0907">
      <w:pPr>
        <w:pStyle w:val="TextoNormal"/>
      </w:pPr>
      <w:r>
        <w:t>En otro orden de cosas, además, el derecho constitucional de los titulares de cargos de representación política a permanecer en ellos sólamente puede ser extinguido, en virtud del art.  23.2, por las causas y de acuerdo con los procedimientos legalmente previstos (STC 28/1984, antes citada), por lo que, en cualquier caso, en el supuesto ahora enjuiciado no se siguieron los trámites previstos por el art. 160 LOREG y sus concordantes del Reglamento de la Asamblea Regional de Cantabria (especialmente sus arts. 17 y 46).  En efecto, la existencia de una hipotética situación de incompatibilidad, con arreglo a tales preceptos, no puede ser efectuada unilateralmente por la Presidencia de la Asamblea, haya oído o no a la Mesa y a la Junta de Portavoces.  Esta tarea queda reservada a una Comisión parlamentaria, que en la Asamblea Cántabra es la del Estatuto del Diputado; la cual, además, queda relegada a unas atribuciones de mera propuesta, pues el Reglamento de la Asamblea de Cantabria reserva al Pleno la declaración final de incompatibilidad, que constituye al afectado en la obligación de optar o de renunciar al escaño, por lo que, aun si los preceptos legales en vigor hubieran configurado a la pena de suspensión de cargo público como una causa de incompatibilidad generadora del cese del Diputado, y no de su mera suspensión, el acto impugnado hubiera sido nulo por prescindir de los trámites esen</w:t>
      </w:r>
      <w:r>
        <w:lastRenderedPageBreak/>
        <w:t>ciales del procedimiento legalmente establecido para declarar este tipo de incompatibilidades.</w:t>
      </w:r>
    </w:p>
    <w:p w:rsidR="00FE0907" w:rsidRDefault="00FE0907" w:rsidP="00FE0907">
      <w:pPr>
        <w:pStyle w:val="TextoNormal"/>
      </w:pPr>
    </w:p>
    <w:p w:rsidR="00FE0907" w:rsidRDefault="00FE0907" w:rsidP="00FE0907">
      <w:pPr>
        <w:pStyle w:val="TextoNormal"/>
      </w:pPr>
      <w:r w:rsidRPr="00FE0907">
        <w:rPr>
          <w:rStyle w:val="NumeroAFNegritaCaracter"/>
        </w:rPr>
        <w:t>4</w:t>
      </w:r>
      <w:r>
        <w:t>. Resta por examinar, finalmente, si la resolución del Presidente de la Asamblea Regional de Cantabria, en la que comunicó a la Junta Electoral que el hoy recurrente había perdido la condición de Diputado, vulnera los derechos a la igualdad (art.  14 C.E.), a obtener la tutela judicial efectiva (art. 24.1 C.E.)  y al Juez ordinario predeterminado por la Ley (art. 24.2 C.E.).  Estas alegaciones han de ser rechazadas, puesto que, de una parte, no cabe apreciar infracción del derecho a la igualdad dado que los supuestos aportados como término de comparación por el hoy recurrente, si bien se refieren a supuestos de suspensión en el ejercicio de las funciones parlamentarias acordadas por el Presidente de la Asamblea Regional de Cantabria, tenían por causa situaciones de hecho esencialmente distintas.  De otra parte, también carece de fundamento la aducida infracción del art. 24 de la C.E., puesto que, en modo alguno, la decisión ahora impugnada puede considerarse dictada en ejecución de la condena penal, lo que ya había sido efectuado por acuerdo de la Mesa de la Asamblea de 13 de junio de 1988.</w:t>
      </w:r>
    </w:p>
    <w:p w:rsidR="00FE0907" w:rsidRDefault="00FE0907" w:rsidP="00FE0907">
      <w:pPr>
        <w:pStyle w:val="TextoNormal"/>
      </w:pPr>
    </w:p>
    <w:p w:rsidR="00FE0907" w:rsidRDefault="00FE0907" w:rsidP="00FE0907">
      <w:pPr>
        <w:pStyle w:val="TextoNormal"/>
      </w:pPr>
      <w:r w:rsidRPr="00FE0907">
        <w:rPr>
          <w:rStyle w:val="NumeroAFNegritaCaracter"/>
        </w:rPr>
        <w:t>5</w:t>
      </w:r>
      <w:r>
        <w:t>. Es preciso determinar finalmente el alcance que la concesión del amparo comporta.  Pues bien, para el otorgamiento del amparo solicitado es suficiente, de acuerdo con las pretensiones del actor, con la anulación de la resolución del Presidente de la Asamblea Regional de Cantabria declarando su cese como Diputado, habida cuenta de la suspensión cautelar decretada en el curso de este proceso.  La declaración de su derecho, cuya utilidad podría resultar cuestionable dada la expiración de la legislatura y la celebración de nuevas elecciones, puede no obstante, surtir efectos, por lo que procede pronunciarla como hicimos en la STC 28/1984.</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y, en consecuencia:</w:t>
      </w:r>
    </w:p>
    <w:p w:rsidR="00FE0907" w:rsidRDefault="00FE0907" w:rsidP="00FE0907">
      <w:pPr>
        <w:pStyle w:val="TextoNormal"/>
      </w:pPr>
      <w:r>
        <w:t>1º.  Anular la resolución del Presidente de la Asamblea de Cantabria de 21 de julio de 1988, en cuanto declaró que el Sr.  Vallines Díaz había perdido la condición de Diputado Regional.</w:t>
      </w:r>
    </w:p>
    <w:p w:rsidR="00FE0907" w:rsidRDefault="00FE0907" w:rsidP="00FE0907">
      <w:pPr>
        <w:pStyle w:val="TextoNormal"/>
      </w:pPr>
      <w:r>
        <w:t>2º. Declarar el derecho del actor a no ser removido de su cargo por causa de las penas accesorias de suspensión de cargo público y de suspensión del derecho de sufragio impuestas por la Sentencia de la Audiencia Provincial de Huesca de 4 de diciembre de 1984.</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dieciseis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1" w:name="SENTENCIA_1992_8"/>
      <w:r>
        <w:lastRenderedPageBreak/>
        <w:t>SENTENCIA 8/1992, de 16 de enero de 1992</w:t>
      </w:r>
    </w:p>
    <w:bookmarkEnd w:id="11"/>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ECLI:ES:TC:1992:8</w:t>
      </w:r>
    </w:p>
    <w:p w:rsidR="00FE0907" w:rsidRDefault="00FE0907" w:rsidP="00FE0907">
      <w:pPr>
        <w:pStyle w:val="SntesisDescriptiva"/>
      </w:pPr>
    </w:p>
    <w:p w:rsidR="00FE0907" w:rsidRDefault="00FE0907" w:rsidP="00FE0907">
      <w:pPr>
        <w:pStyle w:val="SntesisDescriptiva"/>
      </w:pPr>
      <w:r>
        <w:t>Recurso de amparo 1.809/1988. Comisiones Obreras contra Real Decreto 518/1987, de 15 de abril, sobre prestación de servicios mínimos por "Unión Eléctrica Fenosa, S.A.".</w:t>
      </w:r>
    </w:p>
    <w:p w:rsidR="00FE0907" w:rsidRDefault="00FE0907" w:rsidP="00FE0907">
      <w:pPr>
        <w:pStyle w:val="SntesisDescriptiva"/>
      </w:pPr>
    </w:p>
    <w:p w:rsidR="00FE0907" w:rsidRDefault="00FE0907" w:rsidP="00FE0907">
      <w:pPr>
        <w:pStyle w:val="SntesisAnaltica"/>
      </w:pPr>
      <w:r>
        <w:t>Vulneración del derecho a la huelga</w:t>
      </w:r>
    </w:p>
    <w:p w:rsidR="00FE0907" w:rsidRDefault="00FE0907" w:rsidP="00FE0907">
      <w:pPr>
        <w:pStyle w:val="SntesisAnaltica"/>
      </w:pPr>
    </w:p>
    <w:p w:rsidR="00FE0907" w:rsidRDefault="00FE0907" w:rsidP="00FE0907">
      <w:pPr>
        <w:pStyle w:val="Extracto"/>
      </w:pPr>
      <w:r>
        <w:t>1.</w:t>
      </w:r>
      <w:r>
        <w:tab/>
        <w:t>Se reitera la doctrina sentada por este Tribunal acerca del ejercicio del derecho de huelga en servicios esenciales de la Comunidad (SSTC 11/1981, 26/1981, 33/1981, 51/1986, 53/1986, 27/1989, 43/1990, 122/1990 y 123/1990) [F.J. 2].</w:t>
      </w:r>
    </w:p>
    <w:p w:rsidR="00FE0907" w:rsidRDefault="00FE0907" w:rsidP="00FE0907">
      <w:pPr>
        <w:pStyle w:val="Extracto"/>
      </w:pPr>
    </w:p>
    <w:p w:rsidR="00FE0907" w:rsidRDefault="00FE0907" w:rsidP="00FE0907">
      <w:pPr>
        <w:pStyle w:val="Extracto"/>
      </w:pPr>
      <w:r>
        <w:t>2.</w:t>
      </w:r>
      <w:r>
        <w:tab/>
        <w:t>La jurisprudencia de este Tribunal exige que se expresen en cada caso concreto las razones en virtud de las cuales se restringe el derecho de huelga, y que tales razones respondan realmente a las características de cada conflicto concreto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1.809/88, interpuesto por la Confederación Sindical de Comisiones Obreras, representada por la Procuradora de los Tribunales doña Isabel Cañedo Vega y asistida del Letrado don Enrique Lillo Pérez, contra el Real Decreto 518/1987, de 15 de abril, sobre prestación de servicios mínimos por "Unión Eléctrica Fenosa, S.A.", y contra la Sentencia de la Sala Quinta del Tribunal Supremo de 24 de junio de 1988. Han comparecido el Ministerio Fiscal y el Abogado del Estado. Ha sido Ponente el Magistrado don Jesús Leguina Villa,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Doña Isabel Cañedo Vega, en nombre y representación de la Confederación Sindical de Comisiones Obreras, interpone el 11 de noviembre de 1988 recurso de amparo contra el Real Decreto 518/1987, de 15 de abril, sobre prestación de servicios mínimos por "Unión </w:t>
      </w:r>
      <w:r>
        <w:lastRenderedPageBreak/>
        <w:t>Eléctrica Fenosa, S.A.", con motivo de la huelga prevista, y la Sentencia de la Sala Quinta del Tribunal Supremo de 29 de junio de 1988.</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los siguientes hechos: </w:t>
      </w:r>
    </w:p>
    <w:p w:rsidR="00FE0907" w:rsidRDefault="00FE0907" w:rsidP="00FE0907">
      <w:pPr>
        <w:pStyle w:val="TextoNormal"/>
      </w:pPr>
      <w:r>
        <w:t xml:space="preserve">a) En el marco de la negociación de un nuevo convenio colectivo, en la empresa "Unión Eléctrica Fenosa, S.A." se convocó huelga, dictándose el Real Decreto 518/1987, de 15 de abril, sobre prestación de servicios mínimos por "Unión Eléctrica Fenosa, S.A.", "con motivo de la huelga prevista". </w:t>
      </w:r>
    </w:p>
    <w:p w:rsidR="00FE0907" w:rsidRDefault="00FE0907" w:rsidP="00FE0907">
      <w:pPr>
        <w:pStyle w:val="TextoNormal"/>
      </w:pPr>
      <w:r>
        <w:t xml:space="preserve">El Real Decreto citado dice: </w:t>
      </w:r>
    </w:p>
    <w:p w:rsidR="00FE0907" w:rsidRDefault="00FE0907" w:rsidP="00FE0907">
      <w:pPr>
        <w:pStyle w:val="TextoNormal"/>
      </w:pPr>
      <w:r>
        <w:t xml:space="preserve">"El servicio público de suministro de energía eléctrica es de carácter esencial para los intereses generales y, por consiguiente, no puede ser interrumpido por el ejercicio del derecho de huelga. </w:t>
      </w:r>
    </w:p>
    <w:p w:rsidR="00FE0907" w:rsidRDefault="00FE0907" w:rsidP="00FE0907">
      <w:pPr>
        <w:pStyle w:val="TextoNormal"/>
      </w:pPr>
      <w:r>
        <w:t xml:space="preserve">Por esta razón, es imprescindible conjugar el interés general con los derechos de los trabajadores afectados, adoptando las medidas necesarias para asegurar el funcionamiento de aquel servicio público, permitiendo, a la vez, que el mayor número posible de estos trabajadores pueda ejercer su derecho a la huelga. </w:t>
      </w:r>
    </w:p>
    <w:p w:rsidR="00FE0907" w:rsidRDefault="00FE0907" w:rsidP="00FE0907">
      <w:pPr>
        <w:pStyle w:val="TextoNormal"/>
      </w:pPr>
      <w:r>
        <w:t xml:space="preserve">En su virtud, en aplicación de lo previsto en el art. 10, párrafo segundo, del Real Decreto-ley 17/1977, de 4 de marzo, teniendo en cuenta la Sentencia del Tribunal Constitucional de 8 de abril de 1981, sobre el recurso de inconstitucionalidad núm. 192/1980, y en particular el párrafo e), en su apartado segundo, así como la sentencia de 17 de julio de 1981 del mismo Tribunal, a propuesta del Ministro de Industria y Energía, y previa deliberación del Consejo de Ministros en su reunión del día 15 de abril de 1987, dispongo: </w:t>
      </w:r>
    </w:p>
    <w:p w:rsidR="00FE0907" w:rsidRDefault="00FE0907" w:rsidP="00FE0907">
      <w:pPr>
        <w:pStyle w:val="TextoNormal"/>
      </w:pPr>
      <w:r>
        <w:t xml:space="preserve">Artículo 1. Las situaciones de huelga que afecten al personal que presta sus servicios en "Unión Eléctrica-Fenosa, Sociedad Anónima" para el servicio público de suministro de energía eléctrica en las provincias de Madrid, Toledo, Ciudad Real, Cuenca, Guadalajara, Avila, Segovia, León, Zamora y Asturias y, en su caso, en las Empresas filiales de la misma que sean afectadas por la misma situación de huelga, se entenderán condicionadas al mantenimiento de los servicios esenciales. </w:t>
      </w:r>
    </w:p>
    <w:p w:rsidR="00FE0907" w:rsidRDefault="00FE0907" w:rsidP="00FE0907">
      <w:pPr>
        <w:pStyle w:val="TextoNormal"/>
      </w:pPr>
      <w:r>
        <w:t xml:space="preserve">Artículo 2. Los servicios esenciales mínimos a que se refiere el artículo anterior serán los siguientes: </w:t>
      </w:r>
    </w:p>
    <w:p w:rsidR="00FE0907" w:rsidRDefault="00FE0907" w:rsidP="00FE0907">
      <w:pPr>
        <w:pStyle w:val="TextoNormal"/>
      </w:pPr>
      <w:r>
        <w:t xml:space="preserve">- La seguridad de personas e instalaciones se mantendrá a los niveles operativos reglamentarios en todas las instalaciones afectas a servicio público de suministro de energía eléctrica. </w:t>
      </w:r>
    </w:p>
    <w:p w:rsidR="00FE0907" w:rsidRDefault="00FE0907" w:rsidP="00FE0907">
      <w:pPr>
        <w:pStyle w:val="TextoNormal"/>
      </w:pPr>
      <w:r>
        <w:t xml:space="preserve">- Se mantendrán disponibles las centrales nucleares, hidroeléctricas y de carbón. </w:t>
      </w:r>
    </w:p>
    <w:p w:rsidR="00FE0907" w:rsidRDefault="00FE0907" w:rsidP="00FE0907">
      <w:pPr>
        <w:pStyle w:val="TextoNormal"/>
      </w:pPr>
      <w:r>
        <w:t xml:space="preserve">En caso de ser necesario el funcionamiento de alguna de las centrales anteriores para garantizar la cobertura del sistema eléctrico nacional, las órdenes emitidas por el Centro de Control Eléctrico de "Red Eléctrica de España, Sociedad Anónima", deberán contar previamente con la aprobación de la Delegación del Gobierno en la Explotación del Sistema Eléctrico. </w:t>
      </w:r>
    </w:p>
    <w:p w:rsidR="00FE0907" w:rsidRDefault="00FE0907" w:rsidP="00FE0907">
      <w:pPr>
        <w:pStyle w:val="TextoNormal"/>
      </w:pPr>
      <w:r>
        <w:t xml:space="preserve">- Las instalaciones de transporte, transformación y distribución, así como las auxiliares a aquéllas, deberán disponer del mantenimiento y control necesarios para garantizar la continuidad del suministro de energía eléctrica, en los niveles de tensión y energía reactiva adecuados. </w:t>
      </w:r>
    </w:p>
    <w:p w:rsidR="00FE0907" w:rsidRDefault="00FE0907" w:rsidP="00FE0907">
      <w:pPr>
        <w:pStyle w:val="TextoNormal"/>
      </w:pPr>
      <w:r>
        <w:t xml:space="preserve">La Empresa determinará, con carácter estricto, y oído el Comité de Huelga, el personal necesario para cubrir los servicios señalados. </w:t>
      </w:r>
    </w:p>
    <w:p w:rsidR="00FE0907" w:rsidRDefault="00FE0907" w:rsidP="00FE0907">
      <w:pPr>
        <w:pStyle w:val="TextoNormal"/>
      </w:pPr>
      <w:r>
        <w:t xml:space="preserve">Artículo 3. Los paros y alteraciones en el trabajo por parte del personal necesario para el mantenimiento de los servicios esenciales mínimos determinados en el artículo anterior, </w:t>
      </w:r>
      <w:r>
        <w:lastRenderedPageBreak/>
        <w:t xml:space="preserve">serán considerados ilegales a los efectos del art. 16.1 del Real Decreto-ley 17/1977, de 4 de marzo. </w:t>
      </w:r>
    </w:p>
    <w:p w:rsidR="00FE0907" w:rsidRDefault="00FE0907" w:rsidP="00FE0907">
      <w:pPr>
        <w:pStyle w:val="TextoNormal"/>
      </w:pPr>
      <w:r>
        <w:t xml:space="preserve">Artículo 4. Los artículos anteriores no supondrán limitación alguna de los derechos que la normativa reguladora de la huelga reconozca al personal en dicha situación, ni tam poco respecto de la tramitación y efectos de las peticiones que la motiven. </w:t>
      </w:r>
    </w:p>
    <w:p w:rsidR="00FE0907" w:rsidRDefault="00FE0907" w:rsidP="00FE0907">
      <w:pPr>
        <w:pStyle w:val="TextoNormal"/>
      </w:pPr>
      <w:r>
        <w:t xml:space="preserve">Artículo 5. El presente Real Decreto entrará en vigor el mismo día de su publicación en el "Boletín Oficial del Estado". </w:t>
      </w:r>
    </w:p>
    <w:p w:rsidR="00FE0907" w:rsidRDefault="00FE0907" w:rsidP="00FE0907">
      <w:pPr>
        <w:pStyle w:val="TextoNormal"/>
      </w:pPr>
      <w:r>
        <w:t>b) La Confederación Sindical de Comisiones Obreras interpuso recurso contencioso-administrativo, tramitado conforme a la Ley 62/1978, de 26 de diciembre, contra el Real Decreto 518/1987, de 15 de abril. La Sentencia de la Sala Quinta del Tribunal Supremo de 24 de junio de 1988 desestimó el recurso. Esta Sentencia rechaza que el Real Decreto impugnado vulnere el art. 28.2 de la Constitución porque, en primer lugar, el mismo cuenta con motivación suficiente, como se desprende de su preámbulo. En segundo término, porque se dictó previo Informe de la Secretaría General Técnica del Ministerio de Industria y Energía. Sin que, en tercer lugar, sea obstáculo para su promulgación que tenga carácter general y vigencia indefinida, ni que no atienda a una consideración individualizada. En cuarto lugar, no es tampoco requisito esencial la intervención del Comité de Huelga. En quinto lugar, el Real Decreto no equipara las garantías de mantenimiento con el funcionamiento normal del servicio. Sin que, finalmente, tampoco se vulnere la doctrina constitucional sobre la necesidad de acuerdo para la designación de trabajadores y de los servicios de mantenimiento, pues el Real Decreto prevé que se oiga al Comité de Huelga con carácter previo.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Contra el Real Decreto 518/1987, de 15 de abril, se interpone recurso de amparo, por presunta vulneración del art. 28.2 de la Constitución, con la súplica de que se declare su nulidad. </w:t>
      </w:r>
    </w:p>
    <w:p w:rsidR="00FE0907" w:rsidRDefault="00FE0907" w:rsidP="00FE0907">
      <w:pPr>
        <w:pStyle w:val="TextoNormal"/>
      </w:pPr>
      <w:r>
        <w:t>A) El Real Decreto 518/1987 y la Sentencia de la Sala Quinta del Tribunal Supremo de 24 de junio de 1988 vulneran la cláusula general limitadora del derecho fundamental de huelga al equiparar servicio público y servicio esencial. La adopción de las medidas que concreta el art. 2 de dicho Real Decreto tiene su base expresa en el carácter de servicio público "esencial para los intereses generales" de la empresa "Unión Eléctrica Fenosa, S.A."; carácter de servicio público del que se sigue que "no puede ser interrumpido" por el ejercicio del derecho de huelga y del que arranca el imperativo de "asegurar el funcionamiento" del mismo. La Sentencia del Tribunal Supremo impugnada parte de la misma premisa. Al equiparar servicio público con servicio esencial, tanto el Real Decreto como la Sentencia impugnadas vulneran el art. 28.2 de la Constitución. La jurisprudencia constitucional ha elaborado un concepto muy elástico de servicio esencial, optando por un sistema de cláusula general y no por un sistema de listas. Por lo que no cabe realizar un juicio previo sobre la esencialidad de una activi dad productiva o de servicios determinada; de hacerse así todos los sectores de la producción, salvo excepciones, serían esenciales. Por el contrario, la STC 26/1981 (seguida por las SSTC 51/1986 y 53/1986) define el servicio esencial, no por las propias necesidades del servicio, sino por los derechos fundamentales, libertades públicas y bienes constitucionalmente protegidos, habiendo de apreciarse en cada caso los intereses y derechos en juego las circunstancias concretas de cada huelga, así como su extensión y duración. Está descartado que la noción de servicio esencial coincida con la noción de servicio público, con la continuidad del funcionamiento del mismo o con las necesidades de la organización del servicio. Nada de lo anterior se ha respetado por el Real Decreto y la Sentencia impugnados. En aquél no se hace una sola mención a los de</w:t>
      </w:r>
      <w:r>
        <w:lastRenderedPageBreak/>
        <w:t xml:space="preserve">rechos y libertades limitadas por el ejercicio del derecho de huelga, ni al grado de incidencia de éste en el ejercicio de aquéllos, sino que se parte del concepto de servicio público como habilitante de la restricción sobre el derecho de huelga. Pero no cabe identificar servicio público con servicio esencial, sin que la esencialidad pueda definirse por el cumplimiento de intereses generales; noción esta última que concurre en todo servicio público. La mera alegación del carácter público o de utilidad general del servicio no basta para limitar el derecho de huelga. </w:t>
      </w:r>
    </w:p>
    <w:p w:rsidR="00FE0907" w:rsidRDefault="00FE0907" w:rsidP="00FE0907">
      <w:pPr>
        <w:pStyle w:val="TextoNormal"/>
      </w:pPr>
      <w:r>
        <w:t xml:space="preserve">B) El Real Decreto impugnado vulnera el derecho de huelga al carecer de la motivación que requiere el acto restrictivo del derecho. De conformidad con la jurisprudencia constitucional, toda decisión del poder público restrictiva del derecho de huelga requiere una especial causalización y motiva ción, con el fin de que los destinatarios de la misma conozcan las razones por las cuales su derecho se sacrificó y de que, en su caso, los Tribunales puedan fiscalizar adecuadamente la corrección constitucional de aquella decisión. La justificación debe proporcionarse tanto en el momento de dictarse la resolución como en un momento posterior, si los interesados instan la rescisión jurisdiccional del acto, momento éste en que la autoridad política y administrativa debe ofrecer la justificación y aportar la base fáctica sobre la que la decisión se adoptó, incluidos los correspondientes estudios técnicos (SSTC 26/1981 y 51/1986). La fundamentación ha de contener, en primer lugar, la determinación de prestaciones esenciales no susceptibles de ser interrumpidas y de las personas concretas que deben realizar tales prestaciones; y, en segundo lugar, las previsiones técnicas que permitan establecer en el caso concreto cuales son aquellas prestaciones y quiénes estas personas. Se ha de designar así una cuota de actividad -el servicio mínimo- a cumplir y las personas que como consecuencia de ello resultan privadas del ejercicio del derecho. Pues bien, el Real Decreto impugnado carece de la motivación exigida por la jurisprudencia constitucional (y del Tribunal Supremo). La única motivación que contiene es la del "interés general", lo que no es suficiente para que los destinatarios conozcan las razones por la que su derecho se sacrificó y los intereses a los que se sacrificó (SSTC 26/1981 y 51/1986), sin que sean suficientes indicaciones genéricas aplicables a cualquier conflicto y de las que no puedan derivarse criterios para enjuiciar la ordenación y proporcionalidad de la restricción que se impone al ejercicio del derecho de huelga (STC 53/1986). No es suficiente con apelar al interés general, como hace la norma recurrida y el informe del Abogado del Estado, obrante en autos, pues se ha de atender a la incidencia del servicio en el ejercicio de los restantes derechos fundamentales. Pero el enfoque adecuado no es de las necesidades del servicio público como organización técnica de prestaciones, sino la perspectiva finalista mencionada (STC 26/1981). Al perder de vista lo anterior, se impide la entrada en juego del principio de sustituibilidad de los distintos servicios entre sí, imponiéndose un razonamiento en el que lo esencial es la actividad de la empresa, el servicio como un todo, sin diferenciar diversos grados de prestaciones y sin que exista una razonable proporcionalidad en los sacrificios. También incide en la falta de motivación la ausencia de un informe técnico de una organismo estatal de carácter imparcial. La Sentencia del Tribunal Supremo, por su parte, afirma sorprendentemente que la cuestión de la motivación no es cuestión a dilucidar en el proceso especial de la Ley 62/1978. Se hace caso omiso así de la jurisprudencia constitucional y de una cierta práctica administrativa, para lo que basta con comparar la norma aquí impugnada con el Real Decreto 755/1987, de 19 de junio, por el que se establecen normas para garantizar la prestación de servicios mínimos en los órganos de la Administración de Justicia. </w:t>
      </w:r>
    </w:p>
    <w:p w:rsidR="00FE0907" w:rsidRDefault="00FE0907" w:rsidP="00FE0907">
      <w:pPr>
        <w:pStyle w:val="TextoNormal"/>
      </w:pPr>
      <w:r>
        <w:t>C) El Real Decreto impugnado lesiona el derecho de huelga al establecer la vigencia indefinida de la fijación de servicios mínimos con independencia de la extensión y dura</w:t>
      </w:r>
      <w:r>
        <w:lastRenderedPageBreak/>
        <w:t xml:space="preserve">ción de la huelga, la incidencia de ésta en los derechos fundamentales afectados y al permitir la determinación unilateral y discrecional de los mismos por la empresa. La técnica normalmente empleada para la imposición de un servicio mínimo en caso de huelga consiste en un Real Decreto declarativo de la esencialidad del servicio en el que se va a declarar la huelga, y en el que se determinan los criterios generales a aplicar a los casos concretos, determinándose el órgano competente para la delimitación posterior. No ocurre así con la norma impugnada en amparo, en la que se establecen prescripciones para cualquier situación de huelga, actual y futura, determinándose definitivamente los servicios a mantener con carácter inmediato y directo, con aplicación no sólo al personal de la empresa, sino al de las empresas filiales (art. 1), y, además, a través de la decisión empresarial prevista en el art. 2 in fine del Real Decreto recurrido. No hay, por tanto, operación de mediación o de adaptación de los servicios a cada concreta situación de huelga, y no se nombra a la autoridad gubernativa que sería compe tente para realizar aquella adaptación. La norma impugnada fija de manera general, para cualquier situación de huelga, con independencia de su duración y extensión, los niveles de mantenimiento de la actividad, lo que no es compatible con la jurisprudencia constitucional. Además, el acto restrictivo del derecho se encomienda en la práctica a la empresa. Esta última afirmación no queda empañada por la competencia que el art. 2 del Real Decreto impugnado atribuye al Delegado del Gobierno, toda vez que dicho Delegado no es autoridad gubernativa en el sentido del art. 10 del Real Decreto-Ley 17/1977, de 4 de marzo, consignándose así la suerte de los derechos constitucionales de los trabajadores en manos de los órganos de gestión de la empresa (STC 26/1981). Organos que asimismo pueden determinar los servicios a mantener en empresas filiales. Ninguno de los anteriores razonamientos fue atendido por la Sentencia recurrida, que convalidó los anteriores aspectos sobre la base de una genérica alusión a la potestad reglamentaria ex art. 97 de la Constitución. </w:t>
      </w:r>
    </w:p>
    <w:p w:rsidR="00FE0907" w:rsidRDefault="00FE0907" w:rsidP="00FE0907">
      <w:pPr>
        <w:pStyle w:val="TextoNormal"/>
      </w:pPr>
      <w:r>
        <w:t>D) El Real Decreto recurrido vulnera el derecho de huelga al no observar otras garantías constitucionales; inobservancia del requisito de intento de acuerdo con los interesados en la determinación de los servicios mínimos y de la oferta de preservación de servicios realizada por los huelguistas. La jurisprudencia constitucional ha establecido que la decisión sobre el nivel de servicio a mantener durante la huelga ha de adoptarse teniendo en cuenta, no sólo las circunstancias de duración o extensión de ésta, sino además "sin olvidar ni desoír" la oferta de mantenimiento o preservación que los convocantes de la huelga hayan hecho (STC 26/1981). Por ello se han de examinar tanto las propuestas de la empresa como la oferta de garantías de los propios huelguistas. De otra forma, sería la empresa quien, a través de su informe- propuesta, determinaría la eficacia de la huelga. La jurisprudencia ordinaria y la doctrina del Comité de Libertad Sindical de la OIT también insisten sobre lo anterior. Son también muchos los Reales Decretos de mantenimiento de servicios esenciales que impo nen como requisito ante el establecimiento del servicio mínimo ante cada concreto supuesto de huelga que sea oído el comité de huelga u otros organismos representativos de los trabajadores. Por último, si se tiene en cuenta la similitud entre procedimiento administrativo sancionador y el acto limitativo del de recho fundamental de huelga (pues ambos restringen o lesionan intereses), puede concluirse que las garantías formales de las que se rodea el procedimiento administrativo sancionador (audiencia al interesado) son igualmente exigibles para el acto administrativo restrictivo del derecho de huelga; por lo que su incumplimiento implica un vicio esencial que provoca indefensión en forma insubsanable. En el presente caso, la garantía formal se ha omitido por completo. En primer lugar, la norma impugnada no menciona en absoluto la oferta de preservación de servicios realizada por la organización convocante. Pero es que, además, en el expe</w:t>
      </w:r>
      <w:r>
        <w:lastRenderedPageBreak/>
        <w:t xml:space="preserve">diente administrativo no consta informe técnico alguno que haya sido determinante de la imposición de los servicios mínimos, tal como reconoce el propio Abogado del Estado. Así pues, se ha ignorado la oferta de preservación de los servicios realizada por los huelguistas y la decisión administrativa se ha basado no en consideraciones imparciales o neutrales, sino en la propuesta de la empresa. La Sentencia del Tribunal Supremo recurrida en amparo se apoya en la afirmación de la STC 51/1986 en el sentido de que "la previa negociación con la representación de los trabajadores no es un requisito indispensable para la validez de la decisión administrativa desde el plano constitucional", por lo que "no es requisito esencial la intervención del comité de huelga". Pero esta afirmación se viene extrayendo de su contexto, con la pretensión de buscar el alineamiento con una línea minoritaria de la jurisprudencia contraria a aceptar la necesidad de valorar la oferta de preservación del servicio realizada por los propios huelguistas; la afirmación del Tribunal Constitucional ha de enmarcarse en el énfasis que aquel pone en subrayar la competencia decisoria de la autoridad gubernativa, sin que la ley exija la previa negociación de la extensión de los servicios; lo que es distinto de la necesidad de integrar en la valoración la oferta realizada por los convocantes de la huelga. La STC 51/1986 ha de interpretarse como una oposición a la autorregulación negociada del derecho de huelga, pero no cabe entender que la oferta de los huelguistas no ha de integrarse en el conjunto de garantías de las que ha de rodearse una acto restrictivo de derechos fundamentales. </w:t>
      </w:r>
    </w:p>
    <w:p w:rsidR="00FE0907" w:rsidRDefault="00FE0907" w:rsidP="00FE0907">
      <w:pPr>
        <w:pStyle w:val="TextoNormal"/>
      </w:pPr>
      <w:r>
        <w:t xml:space="preserve">E) El Real Decreto impugnado vacía de contenido el derecho de huelga, equiparando las garantías de mantenimiento prescritas constitucionalmente con el mantenimiento regular y adecuado del servicio. El derecho de huelga, aun cuando se ejercite en los servicios esenciales de la comunidad, no puede ser vaciado de contenido, aunque en ese ámbito sí caben restricciones a su ejercicio. Para valorar la intensidad o extensión de la restricción ha de partirse, en primer lugar, y como ya se ha dicho, de una consideración individualizada de cada huelga, atendiendo a su duración y extensión, así como a las necesidades que existan en la concreta coyuntura (SSTC 26/1981 y 53/1986). En segundo lugar, se ha de tener en cuenta el principio de proporcionalidad de los sacrificios impuestos a los huelguistas y a los usuarios de los servicios, así como la necesidad de que la restricción del derecho de huelga sea la menor posible (STC 51/1986). Lo anterior no se ha respetado en el Real Decreto recurrido. En él se establece que se mantendrán "los niveles operativos reglamentarios"; que se mantendrán las instalaciones de transporte, transformación y distribución, y las auxiliares de las mismas en condiciones tales de "garantizar la continuidad del suministro de energía eléctrica, en los niveles de tensión y energía reactiva adecuados"; y, en fin, adicionalmente cabe disponer de la actividad productiva de las centrales nucleares, hidroeléctricas y de carbón "para garantizar la cobertura del sistema eléctrico nacional". No existe, pues, indicación que permita inducir un criterio de restricción o de funcionalización de estas actividades u objetivo de mantenimiento de mínimos; por el contrario éstas se definen con arreglo a parámetros de normalidad-continuidad, nivel adecuado, cobertura general del sistema, sin que se haga mención de niveles mínimos de seguridad, planes de emergencia, zonas de riesgo potencial alto, etc. El art. 2 de la norma impugnada equipara mantenimiento con funcionamiento regular del servicio, mermando cualquier efectividad práctica del derecho de huelga, lo que está vedado por la jurisprudencia constitucional. Además se priva de aquel derecho con carácter irreversible a toda una categoría de trabajadores y a un sector de la empresa, precisamente el más numeroso. Se vulnera igualmente con ello el principio de proporcionalidad de los sacrificios, puesto que no existe sacrificio en los usuarios, que no sufren las consecuencias de la huelga, y el principio de la menor restricción posible del derecho de huelga. </w:t>
      </w:r>
    </w:p>
    <w:p w:rsidR="00FE0907" w:rsidRDefault="00FE0907" w:rsidP="00FE0907">
      <w:pPr>
        <w:pStyle w:val="TextoNormal"/>
      </w:pPr>
      <w:r>
        <w:lastRenderedPageBreak/>
        <w:t>F) El Real Decreto impugnado vulnera la doctrina constitucional sobre la exigencia de acuerdo para la designación de trabajadores y de los servicios de mantenimiento en los supuestos de huelga. Se atribuye con carácter exclusivo a la empresa la facultad de determinar el personal necesario para cubrir los servicios señalados en el art. 2; lo que vulnera la doctrina del TC. La redacción en este extremo de la norma impugnada es exacta a la inicialmente contenida en el art. 6.7 del Real Decreto-Ley 17/1977, de 4 de marzo, declarada inconstitucional por la STC 11/1981, que impuso la determinación conjunta y negociada entre empresa y comité de huelga. Esta necesidad de acuerdo no se prevé en la norma impugnada, que sólo establece la audiencia al comité de huelga.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12 de enero de 1989, la Sección acuerda admitir a trámite la demanda y, de conformidad con lo dispuesto en el art. 51 de la LOTC, requerir atentamente al Ministerio de Industria y al Tribunal Supremo para que en el plazo de diez días remitan testimonio, respectivamente, del Real Decreto 518/1987 y del expediente administrativo dimanante del mismo, y del recurso núm. 266/87 seguido ante la Sala Quinta, interesándose al propio tiempo se emplace a cuantos fueron parte en el procedimiento, con excepción de la recurrente, para que en el plazo de diez días puedan comparecer en el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La Sección, por providencia de 16 de mayo de 1989, acuerda tener por recibidas las actuaciones remitidas por el Tribunal Supremo y por el Ministerio de Industria y, de conformidad con lo establecido en el art. 52 de la LOTC, dar vista de las actuaciones del presente recurso, por plazo común de veinte días, al Ministerio Fiscal, al Abogado del Estado y a la solicitante de amparo, para que aleguen lo que a su derecho convenga.</w:t>
      </w:r>
    </w:p>
    <w:p w:rsidR="00FE0907" w:rsidRDefault="00FE0907" w:rsidP="00FE0907">
      <w:pPr>
        <w:pStyle w:val="TextoNormal"/>
      </w:pPr>
    </w:p>
    <w:p w:rsidR="00FE0907" w:rsidRDefault="00FE0907" w:rsidP="00FE0907">
      <w:pPr>
        <w:pStyle w:val="TextoNormal"/>
      </w:pPr>
      <w:r w:rsidRPr="00FE0907">
        <w:rPr>
          <w:rStyle w:val="NumeroAFNegritaCaracter"/>
        </w:rPr>
        <w:t>6</w:t>
      </w:r>
      <w:r>
        <w:t>. La representación de la recurrente Confederación Sindical de Comisiones Obreras presenta su escrito de alegaciones el día 9 de junio de 1989. En el mismo se insiste en que el enfoque de la restricción del derecho de huelga no ha de depender de si la huelga se lleva cabo en un servicio público y en las necesidades de éste, sino en si la paralización del mismo afecta al ejercicio de derechos fundamentales. No haciéndolo así se impide valorar la sustituibilidad o no de los distintos servicios, la proporcionalidad de las medidas adoptadas y si existe o no motivación. Además, el Real Decreto impugnado equipara el mantenimiento del servicio con el funcionamiento ordinario del mismo, sin atender a las circunstancias concretas de la huelga en cuestión y la proporcionalidad de los sacrificios. El Real Decreto impugnado lesiona, en segundo lugar, el derecho de huelga al carecer del requisito de neutralidad e imparcialidad en la fijación de los servicios mínimos; neutralidad que debe reflejarse tanto en el tipo de autoridad que se encarga de esta función como en su actuación concreta (SSTC 11/1981 y 27/1989). Y en el caso no se intentó pactar los servicios a mantener, ni se consultó al sujeto convocante de la huelga, ni se aceptó su oferta de negociar la cuestión, ni, en fin, se negoció la designación de los trabajadores que tenían que cubrir los servicios, designación que en la práctica recayó en la empresa.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Ministerio Fiscal presenta su escrito de alegaciones el día 12 de junio de 1989. Tras exponer los antecedentes del caso, se recuerda en el escrito, en primer lugar, que los servicios mínimos están previstos en la Constitución para resolver la disparidad de intereses que pueda existir entre los trabajadores huelguistas y los ciudadanos. Por ello, quizá la más grave de las denuncias que se hacen al Real Decreto impugnado es la referente a que </w:t>
      </w:r>
      <w:r>
        <w:lastRenderedPageBreak/>
        <w:t xml:space="preserve">la determinación de los concretos servicios mínimos que deberán mantenerse queda en este caso en manos de la empresa, de forma unilateral y discrecional; y ello, porque la empresa carece de toda autoridad mediadora entre sus trabajadores y la sociedad, ni ostenta una posición de neutralidad ni de imparcialidad. La mera lectura de la disposición objeto de impugnación (art. 2 in fine) es esclarecedora, sin que el carácter estricto con que debe determinarse el personal necesario para cubrir los servicios señalados, ni la mera audiencia del comité de huelga, sean suficientes para suministrar las garantías que el TC ha exigido en ocasiones semejantes. Así la STC 27/1989 establece que los servicios mínimos han de fijarse por autoridad gubernativa, que ha de actuar imparcialmente y atendiendo a las circunstancias concretas de cada situación de huelga, sin que la fijación de los servicios, que sólo corresponde a quien tiene responsabilidades y potestades de gobierno, pueda ser delegada en la práctica a la dirección empresarial. Lo anterior sería suficiente para otorgar el amparo. </w:t>
      </w:r>
    </w:p>
    <w:p w:rsidR="00FE0907" w:rsidRDefault="00FE0907" w:rsidP="00FE0907">
      <w:pPr>
        <w:pStyle w:val="TextoNormal"/>
      </w:pPr>
      <w:r>
        <w:t xml:space="preserve">Pero es que, además, existe ausencia de causalización suficiente acerca de la esencialidad de alguno de los servicios que pretendían garantizarse. Es cierto que en lo que se refiere a la seguridad de las personas e instalaciones, que han de mantenerse en los "niveles operativos reglamentarios", poca especificación más puede pedirse, dado que la necesidad es patente de por sí. Ahora bien, resulta difícil saber qué se quiere decir exactamente con que las centrales nucleares, hidroeléctricas y de carbón "se mantendrán disponibles", pues nada concreta el Real Decreto, que se limita a asegurar la intervención gubernativa previendo que para su funcionamiento debe contarse previamente con la aprobación de la Delegación del Gobierno. No existe causalización de la esencialidad del servicio ni se cuantifica el mismo. También en lo previsto en relación con "las instalaciones de transporte, transformación y distribución, así como a las auxiliares de aquéllas" existe falta de concreción, tanto en la motivación de la esencialidad del servicio, como en el grado de nivel que debe considerarse "adecuado", y, por consiguiente, el número de trabajadores que no podrán secundar la huelga para atender a esos servicios. De conformidad con lo sentado en la STC 26/1981, existe falta de causalización y explicación del sacrificio que se impone a los trabajadores. También por ello debe otorgarse el amparo. </w:t>
      </w:r>
    </w:p>
    <w:p w:rsidR="00FE0907" w:rsidRDefault="00FE0907" w:rsidP="00FE0907">
      <w:pPr>
        <w:pStyle w:val="TextoNormal"/>
      </w:pPr>
      <w:r>
        <w:t>El resto de los motivos de la demanda tiene menos base. La previa negociación, sin estar excluída, no es indispensable para la validez de la decisión administrativa desde el punto de vista constitucional (STC 26/1981). El vaciamiento del derecho de huelga queda subsumido en las anteriores consideraciones. Y la confusión de servicio público con servicio esencial se debe fundamentalmente a la falta de motivación suficiente. Por todo lo cual, el Ministerio Fiscal interesa que se otorgue el amparo.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Abogado del Estado presenta su escrito de alegaciones el día 12 de junio de 1989. En el escrito se delimita, en primer lugar, la pretensión de amparo, señalando que la lesión del derecho de huelga se imputa al Real Decreto impugnado y no al acuerdo de la empresa que determinó el personal necesario para cubrir los servicios mínimos y que, en todo caso, el análisis debe partir de la doctrina sentada por el TC (SSTC 11/1981, 16/1981 y 33/1981, 51/1986 y 53/1986 y 27/1989). Seguidamente se afirma que la norma recurrida no infringe el derecho constitucional de huelga. </w:t>
      </w:r>
    </w:p>
    <w:p w:rsidR="00FE0907" w:rsidRDefault="00FE0907" w:rsidP="00FE0907">
      <w:pPr>
        <w:pStyle w:val="TextoNormal"/>
      </w:pPr>
      <w:r>
        <w:t xml:space="preserve">La entidad demandante aduce que el Real Decreto recurrido equipara servicio público con servicio esencial. Pero esta afirmación no le sirve para discutir el carácter esencial del servicio público de suministro de energía eléctrica, pareciendo ser la cuestión planteada de índole meramente formal. No obstante, el problema no admite el planteamiento de la demanda, que, por otra parte, no conduce a ningún sitio. Aplicando la doctrina constitucional </w:t>
      </w:r>
      <w:r>
        <w:lastRenderedPageBreak/>
        <w:t xml:space="preserve">sobre el art. 10, párrafo segundo, del Real Decreto-ley 17/1977, de 4 de marzo, y sobre el concepto de servicio esencial, resulta claro que el servicio de suministro de energía eléctrica puede ser calificado de esencial. Se trata de un servicio que incide en todos los ámbitos de la vida social, siendo necesaria la regular prestación del suministro para garantizar la efectividad de diversos derechos fundamentales, libertades públicas y bienes constitucionalmente protegidos. Lo anterior no exige ningún esfuerzo argumental, perteneciendo al general conocimiento. Sin ánimo exhaustivo, a nadie se le oculta que el suministro de energía eléctrica se precisa para la efectividad del derecho a la protección de la salud (art. 43 C.E.), de la libre circulación de los ciudadanos (art. 19 C.E.), del derecho a disfrutar de un medio ambiente adecuado (art. 45 C.E.), etc. </w:t>
      </w:r>
    </w:p>
    <w:p w:rsidR="00FE0907" w:rsidRDefault="00FE0907" w:rsidP="00FE0907">
      <w:pPr>
        <w:pStyle w:val="TextoNormal"/>
      </w:pPr>
      <w:r>
        <w:t xml:space="preserve">La demanda alega vicios de motivación del Real Decreto impugnado, lo que ya fue rechazado por la Sentencia del Tribunal Supremo igualmente impugnada. En el preámbulo del Real Decreto se razonan las causas de su promulgación, mencionándose los intereses generales. De conformidad con la doctrina constitucional, la motivación será insuficiente cuando no permita a los trabajadores cuyo derecho de huelga se restringe conocer a qué intereses concretos se ha sacrificado el derecho. Pero lo anterior no resulta frustrado "en aquellos casos en que la justificación necesaria es de tal naturaleza que, excepcionalmente, pertenece al general conocimiento, reduciéndose la necesidad de aportar datos o cifras adicionales que, aunque siempre convenientes, abundaría en algo ya de todos conocido" (STC 51/1986). Esto es lo que ha sucedido en el presente caso. Así, el mantenimiento de la seguridad de personas e instalaciones en los niveles operativos reglamentarios es una exigencia imprescindible para conciliar el derecho a la huelga con el derecho a la vida que a todos corresponde (se trata de evitar catástrofes que podrían poner en peligro numerosas vidas humanas) y con el derecho a disfrutar de un medio ambiente adecuado para el desarrollo de la persona. Esta finalidad de garantía constituye el fundamento último de la publicatio del servicio. Por eso, en el Real Decreto-ley de 12 de abril de 1924 "se declaran servicios públicos los suministros de energía eléctrica ... correspondiendo al Ministerio de Trabajo, Comercio e Industria la reglamentación de tales servicios para garantía de la seguridad e intereses públicos". Pero estas razones son de todos conocidas y, más aun, por los trabajadores que trabajan en el sector eléctrico. También encuentra plena justificación la previsión de que se mantendrán disponibles las centrales nucleares, hidroeléctricas y de carbón. La explotación del sistema eléctrico nacional se concibe como una interacción entre las explotaciones eléctricas de todas y cada una de las empresas del sector con las actuaciones de la sociedad estatal gestora ("Red Eléctrica de España, S.A."), creada por la Ley 49/1984, de 26 de diciembre, de explotación unificada del sistema eléctrico nacional. De acuerdo con ello, el Real Decreto recurrido establece que estas centrales sólo entrarán en funcionamiento cuando sea imprescindible "para garantizar la cobertura del sistema eléctrico nacional". Declaración que proporciona, por sí misma, una justificación suficiente del servicio mínimo: se trata de asegurar la cobertura del sistema eléctrico nacional. Resulta claro, finalmente, que las instalaciones de transporte, transformación y distribución deben disponer del mantenimiento y control necesarios para garantizar la continuidad del suministro. La fundamentación de esta exigencia pertenece también al general conocimiento. </w:t>
      </w:r>
    </w:p>
    <w:p w:rsidR="00FE0907" w:rsidRDefault="00FE0907" w:rsidP="00FE0907">
      <w:pPr>
        <w:pStyle w:val="TextoNormal"/>
      </w:pPr>
      <w:r>
        <w:t xml:space="preserve">Las restantes alegaciones de la demanda tienen que ver con el procedimiento de elaboración del Real Decreto impugnado o se dirigen contra el último apartado de su art. 2, de conformidad con el cual "la empresa determinará, con carácter estricto, y oído el comité de huelga, el personal necesario para cubrir los servicios señalados". La argumentación contenida en la demanda no es suficiente para demostrar la pretendida vulneración del </w:t>
      </w:r>
      <w:r>
        <w:lastRenderedPageBreak/>
        <w:t>derecho fundamental. Para ello basta recordar la doctrina del Tribunal Constitucional. La necesidad de preservar los servicios esenciales de la comunidad requiere una actividad a la vez jurídica y política que, por su naturaleza, puede y debe ser realizada por autoridad que ejerza responsabilidades de gobierno. Ello supuesto, el TC ha declarado: que la previa negociación, sin estar excluida, no es un requisito indispensable para la validez de la decisión administrativa desde el plano constitucional; que la autoridad gubernativa puede remitir la concreta fijación de los servicios a instituciones derivadas de la autonomía colectiva, en cuyo caso los huelguistas podrán defenderse del acuerdo que lleve a cabo esa concreta fijación; y, en fin, que del art. 28.2 de la Constitución no se deriva un procedimiento específico para la preservación de los servicios esenciales. Es claro que en este caso se han cumplido estas exigencias. Por todo lo cual, el Abogado del Estado solicita la denegación del amparo.</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13 de enero de 1992, se señaló para deliberación y votación de la presente Sentencia el día 16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Confederación sindical demandante sostiene que el Real Decreto y la Sentencia del Tribunal Supremo impugnados han lesionado el derecho de huelga reconocido en el art.  28.2 de la Constitución. Según se declara expresamente, dicho Real Decreto, sobre prestación de servicios mínimos por la empresa "Unión Eléctrica Fenosa, S.A.", se promulgó "con motivo de la huelga prevista" en dicha empresa los días 22 y 29 de abril y 6 de mayo de 1987.</w:t>
      </w:r>
    </w:p>
    <w:p w:rsidR="00FE0907" w:rsidRDefault="00FE0907" w:rsidP="00FE0907">
      <w:pPr>
        <w:pStyle w:val="TextoNormal"/>
      </w:pPr>
    </w:p>
    <w:p w:rsidR="00FE0907" w:rsidRDefault="00FE0907" w:rsidP="00FE0907">
      <w:pPr>
        <w:pStyle w:val="TextoNormal"/>
      </w:pPr>
      <w:r w:rsidRPr="00FE0907">
        <w:rPr>
          <w:rStyle w:val="NumeroAFNegritaCaracter"/>
        </w:rPr>
        <w:t>2</w:t>
      </w:r>
      <w:r>
        <w:t>. Para un mejor examen de las cuestiones planteadas en la presente demanda de amparo, es conveniente evocar brevemente la doctrina sentada por este Tribunal acerca del ejercicio del derecho de huelga en servicios esenciales de la comunidad (SSTC 11/1981, 26/1981, 33/1981, 51/1986, 53/1986, 27/1989, 43/1990, 122/1990 y 123/1990), destacando en lo que ahora importe los siguientes aspectos :</w:t>
      </w:r>
    </w:p>
    <w:p w:rsidR="00FE0907" w:rsidRDefault="00FE0907" w:rsidP="00FE0907">
      <w:pPr>
        <w:pStyle w:val="TextoNormal"/>
      </w:pPr>
      <w:r>
        <w:t>a) Antes que a determinadas actividades industriales y mercantiles de las que derivarían prestaciones vitales y necesarias para la vida de la comunidad, la noción de servicio esencial de la comunidad hace referencia a la naturaleza de los intereses a cuya satisfacción la prestación se endereza, entendiendo por tales los derechos fundamentales, las libertades públicas y los bienes constitucionalmente protegidos, con la consecuencia de que a priori ningún tipo de actividad productiva puede ser considerado en sí mismo como esencial (STC 51/1986, fundamento jurídico 2º). Sólo lo será en aquellos casos en que la satisfacción de los mencionados intereses afectados exija el mantenimiento del servicio, y en la medida y con la intensidad en que efectivamente lo exija, puesto que los servicios esenciales no son dañados o puestos en peligro por cualquier situación de huelga, siendo necesario examinar en cada caso las circunstancias concurrentes en la misma (SSTC 26/1981, fundamento jurídico 10; 51/1986, fundamento jurídico 2º).</w:t>
      </w:r>
    </w:p>
    <w:p w:rsidR="00FE0907" w:rsidRDefault="00FE0907" w:rsidP="00FE0907">
      <w:pPr>
        <w:pStyle w:val="TextoNormal"/>
      </w:pPr>
      <w:r>
        <w:t>b) En la adopción de las medidas que garanticen el mantenimiento de los servicios esenciales, la autoridad gubernativa ha de ponderar la extensión territorial y personal, la duración prevista y las demás circunstancias concurrentes en la huelga, así como las concretas necesidades del servicio y la naturaleza de los derechos o bienes constitucionalmen</w:t>
      </w:r>
      <w:r>
        <w:lastRenderedPageBreak/>
        <w:t>te protegidos sobre los que aquélla repercute (SSTC 26/1981, fundamento jurídico 10 y 15; 53/1986, fundamento jurídico 3º).</w:t>
      </w:r>
    </w:p>
    <w:p w:rsidR="00FE0907" w:rsidRDefault="00FE0907" w:rsidP="00FE0907">
      <w:pPr>
        <w:pStyle w:val="TextoNormal"/>
      </w:pPr>
      <w:r>
        <w:t>c) Finalmente, por lo que hace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que realiza el acto debe estar en todo momento en condiciones de ofrecer la justificación" (STC 26/1981, fundamento jurídico 16).  Siendo una decisión que comporta tan graves consecuencias, es preciso no sólo que exista una especial justificación sino que tal justificación se exteriorice adecuadamente con objeto de que "los destinatarios conozcan las razones por las cuales su derecho se sacrificó y los intereses a los que se sacrificó" (STC 26/1981, fundamento jurídico 14) y de que, en su caso, puedan defenderse ante los órganos judiciales (STC 27/1989, fundamento jurídico 4º).  Recae,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w:t>
      </w:r>
    </w:p>
    <w:p w:rsidR="00FE0907" w:rsidRDefault="00FE0907" w:rsidP="00FE0907">
      <w:pPr>
        <w:pStyle w:val="TextoNormal"/>
      </w:pPr>
      <w:r>
        <w:t>Ello significa que en la motivación aportada por la autoridad gubernativa han de incluírse los factores o criterios cuya ponderación ha conducido a determinar las prestaciones mínimas, sin que sean suficientes "indicaciones genéricas, aplicables a cualquier conflicto", de las que no es posible deducir cuáles son los elementos valorados por aquella autoridad para tomar la decisión restrictiva en la forma y con el alcance con que lo ha hecho, cómo se ha llegado a la determinación de las prestaciones mínimas dentro de la calificación del servicio como esencial".  En definitiva, han de hacerse explícitos, siquiera sea sucintamente, "los criterios seguidos para fijar el nivel de tales servicios, de forma que por los Tribunales, en su caso, y en su momento, se pueda fiscalizar la adecuación de las medidas adoptadas" (STC 53/1986, fundamento jurídico 6º y 7º; también STC 26/1981, fundamento jurídico 14 y 15; STC 51/1986, fundamento jurídico 4º; STC 27/1989, fundamento jurídico 4º y 5º).</w:t>
      </w:r>
    </w:p>
    <w:p w:rsidR="00FE0907" w:rsidRDefault="00FE0907" w:rsidP="00FE0907">
      <w:pPr>
        <w:pStyle w:val="TextoNormal"/>
      </w:pPr>
      <w:r>
        <w:t>Si es lícito distinguir entre la motivación expresa del acto -"que puede responder a criterios de concisión y claridad propios de la actuación administrativa"- y las razones que en un proceso posterior se pueden alegar para justificar la decisión tomada, ello no implica que la justificación ex post libere del deber de motivar el acto desde el momento mismo en que éste se adopta (STC 53/1986, fundamento jurídico 6º), pues la falta de motivación impide precisamente la justa valoración y el control material o de fondo de la medida (STC 27/1989, fundamento jurídico 5º).  La decisión de la autoridad gubernativa ha de exteriorizar los motivos sobre la esencialidad del servicio, las características de la huelga convocada, los intereses que pueden quedar afectados y los trabajos que no pueden sufrir interrupción o cuya prestación debe mantenerse en algún grado, (STC 27/1989, fundamento jurídico 4º), siendo insuficientes a este propósito, como antes se ha recordado, las indicaciones genéricas que puedan predicarse de cualquier conflicto o de cualquier actividad, y de las cuales no quepa inferir criterios para enjuiciar la ordenación y proporcionalidad de la restricción que al ejercicio del derecho de huelga se impone (SSTC 51/1986, fundamento jurídico 4º; 53/1986, fundamento jurídico 6º).</w:t>
      </w:r>
    </w:p>
    <w:p w:rsidR="00FE0907" w:rsidRDefault="00FE0907" w:rsidP="00FE0907">
      <w:pPr>
        <w:pStyle w:val="TextoNormal"/>
      </w:pPr>
    </w:p>
    <w:p w:rsidR="00FE0907" w:rsidRDefault="00FE0907" w:rsidP="00FE0907">
      <w:pPr>
        <w:pStyle w:val="TextoNormal"/>
      </w:pPr>
      <w:r w:rsidRPr="00FE0907">
        <w:rPr>
          <w:rStyle w:val="NumeroAFNegritaCaracter"/>
        </w:rPr>
        <w:t>3</w:t>
      </w:r>
      <w:r>
        <w:t>. Las anteriores premisas extraídas de nuestra jurisprudencia nos permiten analizar ya las quejas que la entidad recurrente formula en relación con el Real Decreto impugnado.</w:t>
      </w:r>
    </w:p>
    <w:p w:rsidR="00FE0907" w:rsidRDefault="00FE0907" w:rsidP="00FE0907">
      <w:pPr>
        <w:pStyle w:val="TextoNormal"/>
      </w:pPr>
      <w:r>
        <w:lastRenderedPageBreak/>
        <w:t>De los diferentes reproches que la demanda dirige contra dicha disposición, el primero que lógicamente debemos examinar es el que se refiere a su pretendida falta de motivación suficiente.  Lo que ha de analizarse ahora es, en concreto, si el Real Decreto en cuestión da cuenta de modo explícito de los intereses tomados en consideración por la autoridad gubernativa para justificar, en su criterio, la calificación como esencial del servicio prestado por la empresa afectada, con la intensidad y alcance concurrentes en el supuesto concreto, pues sólo así los destinatarios de las medidas adoptadas pudieron, ya conocer las razones por las que su derecho había de sacrificarse, ya defenderse en su caso ante los Tribunales frente a la restricción sufrida; y sólo así éstos últimos estaban en condiciones de poder comprobar el ajuste o el desajuste constitucional del acto del poder público sujeto a su enjuiciamiento.</w:t>
      </w:r>
    </w:p>
    <w:p w:rsidR="00FE0907" w:rsidRDefault="00FE0907" w:rsidP="00FE0907">
      <w:pPr>
        <w:pStyle w:val="TextoNormal"/>
      </w:pPr>
      <w:r>
        <w:t>La disposición impugnada no respeta a las exigencias constitucionales arriba recordadas. Dicha disposición se limita, en efecto, a incluír en su preámbulo una declaración apodíctica y genérica según la cual "el servicio público de suministro de energía eléctrica es de carácter esencial para los intereses generales", dando por supuesto que tan sucinta declaración basta para imponer las restricciones al ejercicio del derecho de huelga que se crean oportunas.  No parece, ciertamente, discutible la necesidad de que el suministro de energía eléctrica no quede interrumpido, pero dicha necesidad no exime al poder público del deber de señalar los concretos derechos y bienes en juego ni le exonera de explicar en qué medida una huelga concreta los pone en peligro, así como de razonar que su preservación ha de hacerse precisamente en el nivel y proporciones decididas, pues no hay que olvidar que, como antes dijimos, no existe a priori ningún tipo de actividad productiva que en sí misma pueda ser considerada como esencial (STC 51/1986, fundamento jurídico 2º) y que la regular e ininterrumpida prestación de los servicios esenciales no resulta amenazada por cualquier situación de huelga, lo que obliga a ponderar con todo cuidado las circunstancias concurrentes en cada caso (SSTC 26/1981, fundamento jurídico 10, y 51/1986, fundamento jurídico 2º).  Por lo demás, la disposición impugnada no ofrece tampoco explicación alguna que justifique eventualmente la imposibilidad de establecer diferencias entre los diversos consumos de energía eléctrica,ni exhibe motivaciones técnicas que impongan la necesidad de mantener simultáneamente disponibles las centrales nucleares, hidroeléctricas y térmicas.  No se niega que ello haya de ser así, pero ha de rechazarse que, precisamente por no proporcionarse aquellas razones, no resulte posible el control de fondo de la decisión adoptada.  Insuficiencias de la disposición impugnada que tampoco fueron subsanadas en el proceso previo.</w:t>
      </w:r>
    </w:p>
    <w:p w:rsidR="00FE0907" w:rsidRDefault="00FE0907" w:rsidP="00FE0907">
      <w:pPr>
        <w:pStyle w:val="TextoNormal"/>
      </w:pPr>
    </w:p>
    <w:p w:rsidR="00FE0907" w:rsidRDefault="00FE0907" w:rsidP="00FE0907">
      <w:pPr>
        <w:pStyle w:val="TextoNormal"/>
      </w:pPr>
      <w:r w:rsidRPr="00FE0907">
        <w:rPr>
          <w:rStyle w:val="NumeroAFNegritaCaracter"/>
        </w:rPr>
        <w:t>4</w:t>
      </w:r>
      <w:r>
        <w:t>. Estrechamente relacionado con el que acabamos de examinar, el segundo reproche que, en una secuencia lógica, ahora hemos de ver es el que se refiere a la imposición de prestaciones mínimas sin tomar en consideración la duración y las características específicas de la huelga convocada.  Entiende el sindicato recurrente que no estamos ante un caso de acto inicial de imposición de servicios mínimos, requerido para la plenitud de su eficacia de una posterior concreción de su contenido por parte de la correspondiente autoridad gubernativa (a diferencia de lo que se ha hecho en otras ocasiones), sino que aquí es a la empresa a la que de hecho se atribuye la adopción de tales decisiones concretas.</w:t>
      </w:r>
    </w:p>
    <w:p w:rsidR="00FE0907" w:rsidRDefault="00FE0907" w:rsidP="00FE0907">
      <w:pPr>
        <w:pStyle w:val="TextoNormal"/>
      </w:pPr>
      <w:r>
        <w:t>También esta queja ha de ser acogida.  El Real Decreto impugnado, como lo indica su propia denominación, se promulgó "con motivo de la huelga prevista" para los días 22 y 29 de abril y 6 de mayo de 1987. No obstante lo cual, la disposición no pondera la extensión, duración prevista y demás cir cunstancias concurrentes en la huelga, como no lo hace tampoco respecto de la naturaleza de los derechos o bienes sobre los que aquélla repercu</w:t>
      </w:r>
      <w:r>
        <w:lastRenderedPageBreak/>
        <w:t>te, toda vez que, según se ha visto, ni siquiera menciona tales bienes o derechos. La disposición impugnada se limita a proporcionar indicaciones genéricas, aplicables a cualquier conflicto, sin que sea posible saber con algún rigor cómo se ha llegado a valorar el carácter esencial del servicio y los factores o criterios técnicos cuya ponderación ha determinado que hayan de mantenerse en funcionamiento unas concretas actividades y no otras, y en los niveles y proporciones decididos. Todo lo cual impide llevar a cabo un control material o de fondo de la medida adoptada, no siendo ocioso por ello que volvamos a insistir en que la jurisprudencia de este Tribunal exige que se expresen en cada caso concreto las razones en virtud de las cuales se restringe el derecho de huelga, y que tales razones respondan realmente a las características de cada conflicto concreto.</w:t>
      </w:r>
    </w:p>
    <w:p w:rsidR="00FE0907" w:rsidRDefault="00FE0907" w:rsidP="00FE0907">
      <w:pPr>
        <w:pStyle w:val="TextoNormal"/>
      </w:pPr>
      <w:r>
        <w:t>De otro lado, el Real Decreto impugnado se remite para su ulterior concreción, no a decisiones de la autoridad gubernativa, sino a determinaciones unilaterales de la propia empresa (art.  2, último párrafo). Tampoco esta remisión se compadece con la constitucionalmente exigible imparcialidad que ha de presidir la determinación de las actividades que deben ser mantenidas en caso de huelga. La jurisprudencia de este Tribunal, desde la STC 26/1981, y como recuerdan las Sentencias 51/1986 y 53/1986, ha residenciado en la autoridad gubernativa correspondiente la decisión que haya de adoptarse a este propósito, sin perjuicio de que pueda remitir la concreta fijación o puesta en práctica de los servicios a instituciones derivadas de la autonomía colectiva o hacer suyas las propuestas de las partes en conflicto.  La empresa puede completar técnica y funcionalmente las previsiones de la disposición sobre mantenimiento de los servicios esenciales (STC 53/1986) y a ella puede confiarse también su puesta en práctica (STC 27/1989); y es asimismo posible que la autoridad gubernativa acepte las iniciativas de la dirección de la empresa, siempre que la de cisión adoptada provenga inequívocamente de aquella autoridad, asegurándose así que dicha decisión responda, no a los intereses empresariales, sino a la necesidad de preservar los servicios esenciales para la comunidad (STC 27/1989).  La autoridad gubernativa es la que tiene, en principio, la potestad y también el deber de determinar esos servicios, y siendo ello así en el ordenamiento vigente no puede abandonar esa tarea (distinta de la simple ejecución o puesta en práctica) para dejarla en manos de la entidad empleadora (STC 27/1989).  Es este abandono el que ha tenido lugar precisamente en el presente caso, pues es a la empresa a la que se delega la determinación de las actividades o prestaciones mínimas, sin que haya previsión alguna de una posterior intervención de la autoridad gubernativa en el momento de concretar en cada caso la regulación general a la vista de las circunstancias concurrentes. La disposición impugnada carece, por tanto, de los requisitos de neutralidad e imparcialidad constitucionalmente exigibles.</w:t>
      </w:r>
    </w:p>
    <w:p w:rsidR="00FE0907" w:rsidRDefault="00FE0907" w:rsidP="00FE0907">
      <w:pPr>
        <w:pStyle w:val="TextoNormal"/>
      </w:pPr>
      <w:r>
        <w:t>Los motivos anteriores son suficientes para estimar el presente recurso de amparo, pues es evidente que ya sólo con ellos se ha infringido abiertamente el art.  28.2 de la Constitución que reconoce el derecho a la huelga de los trabajadores para la defensa de sus intereses. Es innecesario, por tanto, que examinemos los restantes motivos de impugnación que la entidad demandante aduce en apoyo de su queja.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lastRenderedPageBreak/>
        <w:t>Ha decidido</w:t>
      </w:r>
    </w:p>
    <w:p w:rsidR="00FE0907" w:rsidRDefault="00FE0907" w:rsidP="00FE0907">
      <w:pPr>
        <w:pStyle w:val="TextoNormalCentrado"/>
        <w:keepNext/>
      </w:pPr>
    </w:p>
    <w:p w:rsidR="00FE0907" w:rsidRDefault="00FE0907" w:rsidP="00FE0907">
      <w:pPr>
        <w:pStyle w:val="TextoNormal"/>
      </w:pPr>
      <w:r>
        <w:t>Estimar el recurso de amparo interpuesto por la Confederación Sindical de Comisiones Obreras y, en consecuencia, declarar la nulidad del Real Decreto 518/1987, de 15 de abril, sobre prestación de servicios mínimos por "Unión Eléctrica-Fenosa, S.A.", con motivo de la huelga prevista, y de la Sentencia del Tribunal Supremo de 24 de junio de 1987.</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dieciséis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2" w:name="SENTENCIA_1992_9"/>
      <w:r>
        <w:lastRenderedPageBreak/>
        <w:t>SENTENCIA 9/1992, de 16 de enero de 1992</w:t>
      </w:r>
    </w:p>
    <w:bookmarkEnd w:id="12"/>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ECLI:ES:TC:1992:9</w:t>
      </w:r>
    </w:p>
    <w:p w:rsidR="00FE0907" w:rsidRDefault="00FE0907" w:rsidP="00FE0907">
      <w:pPr>
        <w:pStyle w:val="SntesisDescriptiva"/>
      </w:pPr>
    </w:p>
    <w:p w:rsidR="00FE0907" w:rsidRDefault="00FE0907" w:rsidP="00FE0907">
      <w:pPr>
        <w:pStyle w:val="SntesisDescriptiva"/>
      </w:pPr>
      <w:r>
        <w:t>Recurso de amparo 1.888/1988. Contra Sentencia, y Auto de aclaración subsiguiente, de la Magistratura de Trabajo núm. 20 de Madrid, así como contra Auto de la Sala Sexta del Tribunal Supremo inadmitiendo recurso de casación contra la Sentencia de instancia.</w:t>
      </w:r>
    </w:p>
    <w:p w:rsidR="00FE0907" w:rsidRDefault="00FE0907" w:rsidP="00FE0907">
      <w:pPr>
        <w:pStyle w:val="SntesisDescriptiva"/>
      </w:pPr>
    </w:p>
    <w:p w:rsidR="00FE0907" w:rsidRDefault="00FE0907" w:rsidP="00FE0907">
      <w:pPr>
        <w:pStyle w:val="SntesisAnaltica"/>
      </w:pPr>
      <w:r>
        <w:t>Supuesta vulneración del derecho a la tutela judicial efectiva: derecho a los recursos</w:t>
      </w:r>
    </w:p>
    <w:p w:rsidR="00FE0907" w:rsidRDefault="00FE0907" w:rsidP="00FE0907">
      <w:pPr>
        <w:pStyle w:val="SntesisAnaltica"/>
      </w:pPr>
    </w:p>
    <w:p w:rsidR="00FE0907" w:rsidRDefault="00FE0907" w:rsidP="00FE0907">
      <w:pPr>
        <w:pStyle w:val="Extracto"/>
      </w:pPr>
      <w:r>
        <w:t>1.</w:t>
      </w:r>
      <w:r>
        <w:tab/>
        <w:t>Si bien corresponde a los órganos de la jurisdicción ordinaria decidir en cada caso sobre el cumplimiento o no de las exigencias materiales y formales establecidas legalmente para la admisión de un determinado recurso -porque aquel derecho fundamental se satisface no sólo mediante la decisión judicial sobre el fondo planteado, sino también a través de la que acuerde su inadmisión en aplicación razonada de una de las causas previstas por la Ley- estas últimas han de ser interpretadas en el sentido más favorable a la plena sustanciación y decisión del recurso, pudiendo revisarse en sede constitucional la aplicación efectuada para evitar en su caso la imposición de obstáculos y formalismos enervantes contrarios al indicado derecho fundamental [F.J. 2].</w:t>
      </w:r>
    </w:p>
    <w:p w:rsidR="00FE0907" w:rsidRDefault="00FE0907" w:rsidP="00FE0907">
      <w:pPr>
        <w:pStyle w:val="Extracto"/>
      </w:pPr>
    </w:p>
    <w:p w:rsidR="00FE0907" w:rsidRDefault="00FE0907" w:rsidP="00FE0907">
      <w:pPr>
        <w:pStyle w:val="Extracto"/>
      </w:pPr>
      <w:r>
        <w:t>2.</w:t>
      </w:r>
      <w:r>
        <w:tab/>
        <w:t>Si el recurso necesario para entender agotada la vía judicial se interpone de forma extemporánea o legalmente improcedente, ha de entenderse incumplido el requisito, toda vez que los órganos judiciales se han visto privados -por causa sólo imputable a la parte- del conocimiento y resolución de la cuestión de fondo controvertida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1.888/88 interpuesto por el Procurador de los Tribunales don Melquiades Alvarez-Buylla Alvarez, en nombre y representación de don Rafael Vendrell Tossas y doña Josefa Casado Pascual, asistido del Letrado don Francisco Sans Vidal contra Sentencia de 30 de mayo de 1987, Auto de aclaración de 21 de octubre de 1987 y providencia de 11 de diciembre de 1987, dictados por la Magistratura de Trabajo núm. 20 </w:t>
      </w:r>
      <w:r>
        <w:lastRenderedPageBreak/>
        <w:t>de las de Madrid, y Auto de 28 de septiembre de 1988 de la Sala Sexta del Tribunal Supremo; resoluciones, estas dos últimas, que inadmitieron recurso de casación formulado contra la sentencia de instancia. Ha comparecido el Ministerio Fiscal y ha sido Ponente el Presidente, don Francisco Tomás y Valiente,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tuvo entrada en este Tribunal el día 22 de noviembre de 1988, el Procurador de los Tribunales don Melquiades Alvarez-Buylla Alvarez, en nombre y representación de don Rafael Vendrell Tossas y doña Josefa Casado Pascual, interpuso recurso de amparo contra la Sentencia de 30 de mayo de 1987 y el Auto de aclaración de la misma, de 21 de octubre de 1987, dictados por la Magistratura de Trabajo núm.20 de las de Madrid en autos sobre despido, asi como contra la providencia de 11 de diciembre de 1987 de esa misma Magistratura y Auto de 28 de septiembre de 1988 de la Sala Sexta del Tribunal Supremo que acordaron la inadmisión a trámite del recurso de casación formulado contra la primera Sentencia.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que se basa la demanda de amparo son, en síntesis, los siguientes: </w:t>
      </w:r>
    </w:p>
    <w:p w:rsidR="00FE0907" w:rsidRDefault="00FE0907" w:rsidP="00FE0907">
      <w:pPr>
        <w:pStyle w:val="TextoNormal"/>
      </w:pPr>
      <w:r>
        <w:t xml:space="preserve">A) Ante la Magistratura de Trabajo núm. 20 de las de Madrid se siguió proceso de despido contra los actuales recurrentes de amparo y otros, con el núm. 1.577/86, en el que recayó Sentencia de fecha 30 de mayo de 1987 en cuya parte dispositiva se estimó la demanda, declarando la improcedencia de los despidos y acordando la readmisión de los trabajadores. </w:t>
      </w:r>
    </w:p>
    <w:p w:rsidR="00FE0907" w:rsidRDefault="00FE0907" w:rsidP="00FE0907">
      <w:pPr>
        <w:pStyle w:val="TextoNormal"/>
      </w:pPr>
      <w:r>
        <w:t xml:space="preserve">De la expresada Sentencia se solicitó aclaración, dictando la Magistratura Auto, de fecha 21 de octubre de 1987, por el que aclaraba su resolución anterior. </w:t>
      </w:r>
    </w:p>
    <w:p w:rsidR="00FE0907" w:rsidRDefault="00FE0907" w:rsidP="00FE0907">
      <w:pPr>
        <w:pStyle w:val="TextoNormal"/>
      </w:pPr>
      <w:r>
        <w:t xml:space="preserve">B) El anterior Auto de aclaración fue notificado al Letrado defensor de los actuales recurrentes por correo certificado con acuse de recibo, que los mismos afirman haber recibido en fecha 13 de noviembre de 1987, pese a que en el correspondiente acuse figura como fecha de recepción el día 12 de noviembre de 1987. </w:t>
      </w:r>
    </w:p>
    <w:p w:rsidR="00FE0907" w:rsidRDefault="00FE0907" w:rsidP="00FE0907">
      <w:pPr>
        <w:pStyle w:val="TextoNormal"/>
      </w:pPr>
      <w:r>
        <w:t xml:space="preserve">Los actuales demandantes presentaron a continuación, en fecha 25 de noviembre de 1987, escrito fechado el anterior día 21 del mismo mes y año, por el que anunciaban la interposición de recurso de casación contra la Sentencia de Magistratura para ante la Sala Sexta del Tribunal Supremo. </w:t>
      </w:r>
    </w:p>
    <w:p w:rsidR="00FE0907" w:rsidRDefault="00FE0907" w:rsidP="00FE0907">
      <w:pPr>
        <w:pStyle w:val="TextoNormal"/>
      </w:pPr>
      <w:r>
        <w:t xml:space="preserve">C) La Magistratura de Trabajo dictó providencia en fecha 11 de diciembre de 1987, por la que acordó "...no haber lugar a tener por preparados los recursos de casación por los demandados doña Josefa Casado Pascual y don Rafael Vendrell Tossas por estar fuera de plazo, pues aún cuando en sus escritos de 25 de noviembre de 1987 manifiestan que el Auto de aclaración de 21 de octubre de 1987, les fue notificado el 13 de noviembre, en el acuse de recibo devuelto por el Servicio de Correos consta recibido el 12 de noviembre..." </w:t>
      </w:r>
    </w:p>
    <w:p w:rsidR="00FE0907" w:rsidRDefault="00FE0907" w:rsidP="00FE0907">
      <w:pPr>
        <w:pStyle w:val="TextoNormal"/>
      </w:pPr>
      <w:r>
        <w:t xml:space="preserve">Contra la anterior providencia se formuló reposición que fue desestimada mediante Auto de la misma Magistratura de fecha 26 de enero de 1988. </w:t>
      </w:r>
    </w:p>
    <w:p w:rsidR="00FE0907" w:rsidRDefault="00FE0907" w:rsidP="00FE0907">
      <w:pPr>
        <w:pStyle w:val="TextoNormal"/>
      </w:pPr>
      <w:r>
        <w:t xml:space="preserve">D) Finalmente, contra la inadmisión del recurso de casación interpusieron los demandantes recurso de queja para ante la Sala Sexta del Tribunal Supremo que fue igualmente desestimado mediante Auto de 28 de septiembre de 1988, última de las resoluciones que se impugnan en la demanda de amparo. </w:t>
      </w:r>
    </w:p>
    <w:p w:rsidR="00FE0907" w:rsidRDefault="00FE0907" w:rsidP="00FE0907">
      <w:pPr>
        <w:pStyle w:val="TextoNormal"/>
      </w:pPr>
      <w:r>
        <w:t xml:space="preserve">Con base en los anteriores hechos, los demandantes de amparo suplican de este Tribunal se dicte sentencia por la que se declare la nulidad del Auto de 28 de septiembre de </w:t>
      </w:r>
      <w:r>
        <w:lastRenderedPageBreak/>
        <w:t xml:space="preserve">1988 dictado por la Sala Sexta del Tribunal Supremo y de la providencia de 11 de diciembre de 1987, Sentencia de 30 de mayo de 1987 y Auto de aclaración de la misma, de la Magistratura de Trabajo núm. 20 de Barcelona, a fin de que por la Magistratura citada se dicte otra nueva Sentencia ajustada a Derecho; y alternativamente, "en su caso", se retrotraigan las actuaciones a momento anterior al de dictarse el Auto de aclaración referido a fin de que pueda presentarse escrito de anuncio de recurso de casación tras la notificación de las resoluciones judiciales con todas las garantías. </w:t>
      </w:r>
    </w:p>
    <w:p w:rsidR="00FE0907" w:rsidRDefault="00FE0907" w:rsidP="00FE0907">
      <w:pPr>
        <w:pStyle w:val="TextoNormal"/>
      </w:pPr>
      <w:r>
        <w:t>Alegan los actores la vulneración del derecho a obtener tutela judicial efectiva sin indefensión que consagra el art. 24.1 de la Constitución Española. Esta vulneración constitucional se escinde en una doble argumentación en relación con las diferentes resoluciones impugnadas. Asi a la Sentencia y Auto de aclaración dictados por la entonces Magistratura de Trabajo núm. 20 de las de Barcelona (hoy Juzgado de lo Social) se reprocha la lesión de tal derecho fundamental por falta de motivación y fundamentación jurídica. Ninguna de las dos resoluciones -se afirma- ha razonado en Derecho la decisión que adopta, hasta el punto de reconocer incluso en su parte dispositiva el Auto de aclaración que deberá corregirse en casación alguno de los extremos recogidos en su fallo. En segundo lugar, y con independencia de lo anterior, a la providencia de Magistratura que tuvo por no anunciado el recurso de casación y al Auto del Tribunal Supremo que desestimó la queja y fundamentalmente a este último, se reprocha la lesión del derecho invocado en su vertiente de indefensión y limitación injustificada del acceso al mencionado recurso. Argumentan los actores al respecto que las dos razones expuestas por el Tribunal Supremo para confirmar la inadmisión del recurso son inexactas. La primera, que el anuncio se hizo un día después del plazo para recurrir por haberse notificado el Auto de aclaración el día 12 de noviembre, porque no se recibió la notificación ese día sino el siguiente -trece de noviembre- y asi lo demuestra el hecho de que en el sobre del certificado de correos pueda leerse que el destinatario estaba ausente en el primer reparto el día 12 de noviembre, asi como que la firma estampada en el acuse sea ilegible y desde luego no corresponda a ningún empleado del Letrado a cuyo domicilio fue dirigida dicha notificación. La segunda razón que expone el Tribunal Supremo, esto es, que el escrito de anuncio del recurso se presentó el día 25 de noviembre de 1987, pese a estar fechado el día 21 anterior, porque es práctica común que los escritos se presenten en fecha posterior a su suscripción y ello es irrelevante además en este caso, porque el día 25 de noviembre no había concluído el plazo de diez días para efectuar el tan repetido anuncio de interposición. Citan, por último, los actores varias Sentencias del Tribunal Constitucional en apoyo de su argumentación respecto de las dos vertientes en que -a su juicio- se ha lesionado el derecho fundamental a obtener tutela judicial efectiva.</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26 de diciembre de 1988, la Sección Tercera (anterior Sala Segunda) de este Tribunal acuerda admitir la demanda de amparo formulada y a tenor de lo dispuesto en el art. 51 de la Ley Orgánica del Tribunal Constitucional, requerir atentamente a la Magistratura de Trabajo núm. 20 de Barcelona y a la Sala Sexta del Tribunal Supremo, a fin de que, en el plazo de diez dias remitan respectivamente testimonio de las actuaciones relativas al procedimiento núm. 1.577/86 y al recurso de queja núm. 981/88, interesándose al propio tiempo se emplace a quienes fueron parte en el mencionado procedimiento, a excepción de los recurrentes, para que en el plazo de diez dias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Por providencia de 17 de abril de 1989, la Sección acuerda tener por recibidas las actuaciones judiciales remitidas y, en virtud de lo dispuesto en el art. 52 de la Ley Orgánica del Tribunal Constitucional, dar vista de las actuaciones al Ministerio Fiscal y a los solicitantes del amparo a fin de que, en el plazo de veinte días, formulen las alegaciones que estimen pertinentes.</w:t>
      </w:r>
    </w:p>
    <w:p w:rsidR="00FE0907" w:rsidRDefault="00FE0907" w:rsidP="00FE0907">
      <w:pPr>
        <w:pStyle w:val="TextoNormal"/>
      </w:pPr>
    </w:p>
    <w:p w:rsidR="00FE0907" w:rsidRDefault="00FE0907" w:rsidP="00FE0907">
      <w:pPr>
        <w:pStyle w:val="TextoNormal"/>
      </w:pPr>
      <w:r w:rsidRPr="00FE0907">
        <w:rPr>
          <w:rStyle w:val="NumeroAFNegritaCaracter"/>
        </w:rPr>
        <w:t>5</w:t>
      </w:r>
      <w:r>
        <w:t>. En fecha 16 de mayo de 1989, la representación legal de los demandantes evacuó el trámite de alegaciones, mediante escrito en el que dió por reproducidas integramente las que se recogian en el escrito de demanda y sin añadir ningún otro extremo, terminó solicitando se otorgue el amparo pedido en los términos recogidos en el suplico de la demanda inicial.</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Con fecha 17 de mayo de 1989 se recibe el escrito de alegaciones del Ministerio Fiscal. En él, tras resumir los antecedentes de hecho consignados en la demanda de amparo, analiza el fondo de la pretensión formulada por el actor, comenzando por señalar que el recurrente en amparo hace dos derivaciones de la conculcación del art. 24.1 C.E. que alega. Una, atinente a la falta de motivación de la Sentencia de la Magistratura de Trabajo, y la otra referida a la inadmisión del recurso de casación contra la meritada Sentencia por lo que, ante todo, ha de señalarse que el primer motivo del amparo está afectado por la falta del requisito que establece el art. 44. 1 a) de la LOTC, esto es, por la falta de de agotamiento de la via judicial, toda vez que la posible falta de motivación de la Sentencia sería una cuestión a resolver mediante la resolución que en su día dictara el Tribunal Supremo en caso de que fuera removido el obstáculo que impidió el acceso al recurso, lo que sí constituye materia a analizar y resolver. Afirma, al respecto, el Ministerio Fiscal, que la denegación que en su día decidió la Magistratura, respecto de no tener por anunciado el recurso y la desestimación de la queja posterior por el Tribunal Supremo, giran en torno a la cuestión fáctica de la interposición del recurso fuera del plazo de los diez dias que para el mismo prevé la Ley de Procedimiento Laboral, en su art. 169. El recurrente tiene, no obstante, reconocida la recepción del envio del Auto aclaratorio de la Sentencia, momento a partir del cual se inicia el cómputo del plazo de diez días, si bien disiente en cuanto al día, manifestando que llegó a su poder el siguiente del que obra en el acuse de recibo, siendo aquel el 12 de noviembre y este último el 13, argumentando al afecto que carece de empleado que pudiera recibirlo, que éste no ha podido ser identificado por el Letrado y, en fin, que es posible que el cartero hiciera firmar a alguna persona como receptor el día 13 y la depositara en su buzón ese día; sin embargo, continua el Ministerio Público, el examen de la causa evidencia con toda claridad que en el acuse de recibo aparece consignada como fecha de recepción el día 12, una cruz en la persona receptora (empleado) en el recuadro correspondiente y una firma en el "recibí" del envio. Todo ello llevó al Magistrado de Trabajo, primero, y a la Sala Sexta del Tribunal Supremo, después, a considerar extemporaneo el recurso. Ha de tenerse presente que tanto desde el punto de vista de legalidad ordinaria -art. 32 L.P.L.- como desde la vertiente jurisprudencial de índole constitucional se ha sancionado la corrección de las notificaciones por correo certificado con acuse de recibo, así como que la recepción de la comunicación no se niega por el recurrente. Todo ello determina -para el Ministerio Fiscal- que la denegación del acceso al recurso no se haya producido en este caso de modo infundado, sino ajustado a Derecho, que la queja del recurrente se limite a la manifestación de disconformidad con la interpretación judicial, y, en suma que a los órganos judiciales no pueda exigirse otra actuación, dada la legalidad de la </w:t>
      </w:r>
      <w:r>
        <w:lastRenderedPageBreak/>
        <w:t>notificación, la certeza del término inicial y final del plazo y la seguridad de que la comunicación llegó a su destinatario a través de persona por él autorizada. En virtud de todo ello, el Ministerio Fiscal interesa la desestimación del amparo solicitado.</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fecha 13 de enero de 1992, se acordó señalar para la deliberación y votación de esta Sentencia el día 16 de enero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Plantean los demandantes, a través del presente recurso de amparo, la vulneración del derecho consagrado en el art.  24.1 C.E., a obtener tutela judicial efectiva sin indefensión, desde dos perspectivas diferentes, atinente la primera a la falta de motivación de la Sentencia dictada por la Magistratura de Trabajo núm. 20 de Barcelona en el proceso judicial de que dimana la presente queja, asi como del Auto de aclaración de la misma; referente, la segunda, a la incorrecta inadmisión del recurso de casación que se intentó formular contra la resolución de instancia, y a través del cual pretendió precisamente la parte un nuevo examen judicial de aquella falta de fundamentación que reprochaba a la Sentencia y al Auto de aclaración dictados en la causa laboral.</w:t>
      </w:r>
    </w:p>
    <w:p w:rsidR="00FE0907" w:rsidRDefault="00FE0907" w:rsidP="00FE0907">
      <w:pPr>
        <w:pStyle w:val="TextoNormal"/>
      </w:pPr>
      <w:r>
        <w:t>La pretensión de amparo se fundamenta pues, en dos motivos de distinta naturaleza: material y formal respectivamente; y es esa misma naturaleza la que, con carácter general, determinaría por si sola su orden de análisis, que debería comenzar por la causa de vulneración constitucional de índole formal, para examinar posteriormente la de naturaleza material o sustantiva.  Ahora bien, en este supuesto, la naturaleza procesal del segundo de los fundamentos de la lesión constitucional denunciada, no solo determina su análisis preferente respecto de la vulneración material o de fondo que también se invoca, sino que, unido a la necesaria subsidiariedad del propio recurso de amparo constitucional, impide un pronunciamiento en esta sede respecto del primer motivo de vulneración del art. 24.1 de la Constitución Española alegado por los actores; y ello, con independencia de cual sea la resolución que finalmente se adopte en cuanto a la efectiva concurrencia o no de la lesión procesal denunciada.</w:t>
      </w:r>
    </w:p>
    <w:p w:rsidR="00FE0907" w:rsidRDefault="00FE0907" w:rsidP="00FE0907">
      <w:pPr>
        <w:pStyle w:val="TextoNormal"/>
      </w:pPr>
      <w:r>
        <w:t>En efecto, examinada la decisión judicial de inadmisión del recurso de casación anunciado contra la Sentencia -y si el recurso de amparo fuera estimable por tal motivo- este Tribunal, respetando la naturaleza subsidiaria propia del amparo constitucional, no podría entrar a conocer y pronunciarse sobre la pretendida falta de motivación de la resolución de instancia, en tanto no se pronunciase previamente sobre tal cuestión la jurisdicción ordinaria a través del citado recurso de casación que, en virtud de la estimación del amparo, habría de ser sustanciado y resuelto por el Tribunal Supremo.  Pero, a la misma conclusión ha de llegarse si la pretensión de amparo por ese motivo formal resultase desestimada, porque en este caso -conforme indica el Ministerio Público- la extemporanea interposición del recurso de casación, que ahora habría de reputarse correctamente apreciada en vía judicial, impediría entender cumplido el requisito que establece el art.  44.1 a) de la Ley Orgánica del Tribunal Constitucional es decir, el agotamiento de la via judicial previa mediante la interposición en tiempo y forma de los recursos pertinentes contra la resolución judicial posteriormente cuestionada en vía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Sentado lo anterior ha de abordarse por tanto, la eventual vulneración del derecho a obtener tutela judicial sin indefensión provocada en este caso -según la tesis de los acto</w:t>
      </w:r>
      <w:r>
        <w:lastRenderedPageBreak/>
        <w:t>res- por la indebida inadmisión del recurso de casación anunciado contra la Sentencia dictada en la instancia.</w:t>
      </w:r>
    </w:p>
    <w:p w:rsidR="00FE0907" w:rsidRDefault="00FE0907" w:rsidP="00FE0907">
      <w:pPr>
        <w:pStyle w:val="TextoNormal"/>
      </w:pPr>
      <w:r>
        <w:t>Ciertamente este Tribunal viene manteniendo que la limitación injustificada o arbitraria del acceso a los recursos legalmente previstos, constituye lesión del derecho consagrado en el art.  24.1 de la Constitución; y que, si bien corresponde a los órganos de la jurisdicción ordinaria, decidir en cada caso sobre el cumplimiento o no de las exigencias materiales y formales establecidas legalmente para la admisión de un determinado recurso- porque aquel derecho fundamental se satisface no solo mediante la decisión judicial sobre el fondo planteado, sino también a través de la que acuerde su inadmisión en aplicación razonada de una de las causas previstas por la Ley- estas últimas han de ser interpretadas en el sentido mas favorable a la plena sustanciación y decisión del recurso, pudiendo revisarse en sede constitucional la aplicación efectuada para evitar en su caso la imposición de obstáculos y formalismos enervantes contrarios al indicado derecho fundamental (SSTC 3/1987, 180/1987, 5/1988, 78/1988, 100/1988, 20/1989 y 50/1990, entre otras).</w:t>
      </w:r>
    </w:p>
    <w:p w:rsidR="00FE0907" w:rsidRDefault="00FE0907" w:rsidP="00FE0907">
      <w:pPr>
        <w:pStyle w:val="TextoNormal"/>
      </w:pPr>
      <w:r>
        <w:t>De la anterior premisa doctrinal se deriva que para resolver en el supuesto que nos ocupa sobre la adecuación al art. 24.1 de la C.E. de la inadmisión del recurso de casación acordada judicialmente, han de analizarse dos presupuestos esenciales: la previsión legal de la causa de inadmisión aplicada por los órganos judiciales y la interpretación que de la misma se ha efectuado en este caso a la luz de los datos fácticos que resulten del examen de las actuaciones.</w:t>
      </w:r>
    </w:p>
    <w:p w:rsidR="00FE0907" w:rsidRDefault="00FE0907" w:rsidP="00FE0907">
      <w:pPr>
        <w:pStyle w:val="TextoNormal"/>
      </w:pPr>
    </w:p>
    <w:p w:rsidR="00FE0907" w:rsidRDefault="00FE0907" w:rsidP="00FE0907">
      <w:pPr>
        <w:pStyle w:val="TextoNormal"/>
      </w:pPr>
      <w:r w:rsidRPr="00FE0907">
        <w:rPr>
          <w:rStyle w:val="NumeroAFNegritaCaracter"/>
        </w:rPr>
        <w:t>3</w:t>
      </w:r>
      <w:r>
        <w:t>. En el primer aspecto ha de señalarse que, tanto la Magistratura de Trabajo núm. 20 de Barcelona, a través de su providencia de fecha 11 de diciembre de 1987 y Auto posterior confirmatorio en reposición de la misma, como el Tribunal Supremo, mediante el Auto de 28 de septiembre de 1988 que resolvió el recurso de queja ulterior, acordaron tener por no anunciado el recurso de casación intentado por los actuales recurrentes en amparo, en aplicación de una causa de inadmisión legalmente prevista, a saber el incumplimiento del requisito que establece el art. 169 de la Ley de Procedimiento Laboral, esto es, la presentación del escrito de anuncio del recurso fuera del plazo de diez dias que se fija en tal precepto.  No es, pues, la previsión legal del presupuesto lo que puede cuestionarse en este caso, ni por otro lado se objeta tal cuestión por los actores en este supuesto concreto. Es su concurrencia efectiva, o, lo que es lo mismo, su aplicación a una realidad fáctica que, apreciada en un sentido por los órganos judiciales, es objeto de disconformidad por los recurrentes, lo que constituye esencia de la queja en esta ocasión.</w:t>
      </w:r>
    </w:p>
    <w:p w:rsidR="00FE0907" w:rsidRDefault="00FE0907" w:rsidP="00FE0907">
      <w:pPr>
        <w:pStyle w:val="TextoNormal"/>
      </w:pPr>
      <w:r>
        <w:t>Asi, entrando ya en el examen del segundo de los aspectos indicados, mientras la Magistratura de Trabajo y el Tribunal Supremo mantienen que no se respetó la citada exigencia temporal porque la fecha inicial que debe considerarse en el cómputo del plazo es el día 12 de noviembre de 1987, como correspondiente a la fecha de notificación del Auto de aclaración de la Sentencia recurrida, los demandantes mantienen que esta fecha debe situarse en el siguiente día 13 de noviembre de 1987, porque sólo en este último día tuvieron conocimiento y recibieron de manera efectiva la notificación del expresado Auto.  A ello, añade el Tribunal Supremo otra razón para apreciar la extemporaneidad, relacionada con el día final del plazo, esto es, el correspondiente a la fecha de presentación del escrito de anuncio del recurso, que también será objeto de examen seguidamente.</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La disconformidad sobre las fechas, inicial y final en el cómputo del plazo que establece el citado art. 169 L.P.L.  para la válida presentación del escrito de anuncio del recurso, habrá de despejarse mediante el examen de las actuaciones judiciales; examen, que en </w:t>
      </w:r>
      <w:r>
        <w:lastRenderedPageBreak/>
        <w:t>este supuesto confirma plenamente la apreciación judicial de extemporaneidad. Así, en cuanto al inicio del plazo, es la fecha del día 12 de noviembre de 1987 la que se constata como de recepción de la notificación en el correspondiente acuse de recibo de la comunicación realizada por correo certificado. En el indicado acuse de recibo la recepción aparece debidamente firmada en esa fecha, tanto por el funcionario de correos como por el receptor, identificado como "empleado" del destinatario, en el apartado correspondiente.  Frente a ello, la afirmación de los actores sobre su recepción el siguiente día 13 de noviembre carece de acreditación alguna.  Se limitan estos a alegar, en tal sentido, que desconocen a la persona que suscribió la recepción; más, pese a ello, esa misma firma aparece estampada posteriormente, también en calidad de "empleado", en sucesivas notificaciones posteriores, como se comprueba mediante simple examen de los autos (notificaciones de fechas 21 y 23 de diciembre de 1987 y 14 de enero de 1988). Asimismo aducen que en el sobre de la comunicación, el funcionario de correos hizo constar la ausencia del destinatario en el primer reparto efectuado el día 12 de noviembre; y, en efecto, esa frase figura en el sobre remitido; pero ello unicamente documenta tal extremo, lo que no excluye que se realizase mas de un reparto en la misma fecha, como efectivamente debió suceder en este caso a juzgar por la suscripción de la recepción que se advera en el acuse de recibo de la comunicación judicial.</w:t>
      </w:r>
    </w:p>
    <w:p w:rsidR="00FE0907" w:rsidRDefault="00FE0907" w:rsidP="00FE0907">
      <w:pPr>
        <w:pStyle w:val="TextoNormal"/>
      </w:pPr>
      <w:r>
        <w:t>Tampoco en la fecha final del cómputo del plazo, puede mantenerse la tesis de los actores tras el examen de lo actuado.  La presentación del escrito de anuncio del recurso de casación aparece diligenciada en autos por el Secretario judicial en fecha 25 de noviembre de 1987, por lo que, tal y como razona el Tribunal Supremo en la resolución que decide la queja planteada por la parte, es unicamente esa fecha la que ha de considerarse en el cómputo, cualquiera que fuese la de suscripción del escrito.  En consecuencia, tanto por esta última razón -presentación del escrito el día 25 de noviembre de 1987- como por la primera -notificación del Auto de aclaración el día 12 de noviembre de 1987- el anuncio de interposición de la casación se realizó extemporaneamente, siendo de correcta aplicación la causa de inadmisión del recurso decidida judicialmente; primero, por encontrarse prevista legalmente y, además, por su adecuación a la realidad fáctica constatada en autos.  Se concluye por ello, que ninguna vulneración o limitación injustificada del acceso a los recursos, ni, por ende, del derecho fundamental que consagra el art. 24.1 C.E. cabe advertir en el presente supuesto, lo que determina que la petición de amparo fundamentada en tal motivo, haya de desestimarse.</w:t>
      </w:r>
    </w:p>
    <w:p w:rsidR="00FE0907" w:rsidRDefault="00FE0907" w:rsidP="00FE0907">
      <w:pPr>
        <w:pStyle w:val="TextoNormal"/>
      </w:pPr>
    </w:p>
    <w:p w:rsidR="00FE0907" w:rsidRDefault="00FE0907" w:rsidP="00FE0907">
      <w:pPr>
        <w:pStyle w:val="TextoNormal"/>
      </w:pPr>
      <w:r w:rsidRPr="00FE0907">
        <w:rPr>
          <w:rStyle w:val="NumeroAFNegritaCaracter"/>
        </w:rPr>
        <w:t>5</w:t>
      </w:r>
      <w:r>
        <w:t>. Descartada la lesión constitucional que, por la inadmisión del recurso de casación, se imputaba a las sucesivas decisiones judiciales cabría abordar a continuación el análisis de la segunda queja planteada por los actores, esto es, la relativa a la insuficiente motivación jurídica de la Sentencia de intancia.  Pero, conforme se indicó inicialmente, no resulta posible analizar tal cuestión, porque es precisamente la extemporaneidad del recurso de casación - correctamente apreciada, según se ha expuesto, por la jurisdicción ordinaria- lo que impide entender cumplido el requisito que, para la válida interposición del amparo, establece el art.  44. 1 a) LOTC, es decir, el agotamiento de la via judicial previa a este proceso constitucional.</w:t>
      </w:r>
    </w:p>
    <w:p w:rsidR="00FE0907" w:rsidRDefault="00FE0907" w:rsidP="00FE0907">
      <w:pPr>
        <w:pStyle w:val="TextoNormal"/>
      </w:pPr>
      <w:r>
        <w:t xml:space="preserve">En efecto, este Tribunal ha señalado ya con anterioridad (ATC 114/1983) que el agotamiento de la via judicial supone no solo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pues, solo asi, se </w:t>
      </w:r>
      <w:r>
        <w:lastRenderedPageBreak/>
        <w:t>podrá entender satisfecho el presupuesto previo que nos ocupa y respetada la naturaleza subsidaria propia del recurso de amparo.  Si por el contrario -y como acontece en este caso- el recurso necesario para entender agotada la via judicial, o, lo que es lo mismo, para que el órgano judicial se pronuncie sobre la lesión invocada antes de plantearla ante esta sede, se interpone en forma extemporanea o legalmente improcedente, ha de entenderse incumplido el requisito, toda vez que los órganos juficiales se han visto privados -por causa solo imputable a la parte- del conocimiento y resolución de la cuestión de fondo controvertida; y, en fin, la naturaleza del recurso de amparo, como remedio subsidario frente a las violaciones de derechos fundamentales, no ha resultado respetada.  Por todo ello, y, ante la inobservancia de este requisito previo, tampoco procede estimar, ni aún analizar, la segunda de las vulneraciones en que se fundamenta el amparo pedido, que también por tal motivo ha de desestimarse.</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formulado por don Rafael Vendrell Tossas y doña Josefa Casado Pascual.</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dieciseis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3" w:name="SENTENCIA_1992_10"/>
      <w:r>
        <w:lastRenderedPageBreak/>
        <w:t>SENTENCIA 10/1992, de 16 de enero de 1992</w:t>
      </w:r>
    </w:p>
    <w:bookmarkEnd w:id="13"/>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ECLI:ES:TC:1992:10</w:t>
      </w:r>
    </w:p>
    <w:p w:rsidR="00FE0907" w:rsidRDefault="00FE0907" w:rsidP="00FE0907">
      <w:pPr>
        <w:pStyle w:val="SntesisDescriptiva"/>
      </w:pPr>
    </w:p>
    <w:p w:rsidR="00FE0907" w:rsidRDefault="00FE0907" w:rsidP="00FE0907">
      <w:pPr>
        <w:pStyle w:val="SntesisDescriptiva"/>
      </w:pPr>
      <w:r>
        <w:t>Recurso de amparo 1.935/1988. Contra Sentencia de la Audiencia Provincial de Madrid condenatoria por un delito de robo con intimidación en las personas, confirmada en casación por el Tribunal Supremo.</w:t>
      </w:r>
    </w:p>
    <w:p w:rsidR="00FE0907" w:rsidRDefault="00FE0907" w:rsidP="00FE0907">
      <w:pPr>
        <w:pStyle w:val="SntesisDescriptiva"/>
      </w:pPr>
    </w:p>
    <w:p w:rsidR="00FE0907" w:rsidRDefault="00FE0907" w:rsidP="00FE0907">
      <w:pPr>
        <w:pStyle w:val="SntesisAnaltica"/>
      </w:pPr>
      <w:r>
        <w:t>Vulneración del derecho a la tutela judicial efectiva: ausencia de actividad probatoria de cargo</w:t>
      </w:r>
    </w:p>
    <w:p w:rsidR="00FE0907" w:rsidRDefault="00FE0907" w:rsidP="00FE0907">
      <w:pPr>
        <w:pStyle w:val="SntesisAnaltica"/>
      </w:pPr>
    </w:p>
    <w:p w:rsidR="00FE0907" w:rsidRDefault="00FE0907" w:rsidP="00FE0907">
      <w:pPr>
        <w:pStyle w:val="Extracto"/>
      </w:pPr>
      <w:r>
        <w:t>1.</w:t>
      </w:r>
      <w:r>
        <w:tab/>
        <w:t>Según una línea jurisprudencial ya muy consolidada e iniciada en la STC 31/1981, sólo pueden considerarse pruebas que vinculen a los órganos de la justicia penal las practicadas en el juicio oral, tal y como establece el art. 741 de la L.E.Crim.,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[F.J. 2].</w:t>
      </w:r>
    </w:p>
    <w:p w:rsidR="00FE0907" w:rsidRDefault="00FE0907" w:rsidP="00FE0907">
      <w:pPr>
        <w:pStyle w:val="Extracto"/>
      </w:pPr>
    </w:p>
    <w:p w:rsidR="00FE0907" w:rsidRDefault="00FE0907" w:rsidP="00FE0907">
      <w:pPr>
        <w:pStyle w:val="Extracto"/>
      </w:pPr>
      <w:r>
        <w:t>2.</w:t>
      </w:r>
      <w:r>
        <w:tab/>
        <w:t>También se ha dicho por este Tribunal que esa idea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Tal constatación debe hacerse no como una simple fórmula retórica y de estilo, sino en condiciones que permitan a las partes someterlas a contradicción, evitando formalismos de frecuente uso forense (STC 22/1988) [F.J. 2].</w:t>
      </w:r>
    </w:p>
    <w:p w:rsidR="00FE0907" w:rsidRDefault="00FE0907" w:rsidP="00FE0907">
      <w:pPr>
        <w:pStyle w:val="Extracto"/>
      </w:pPr>
    </w:p>
    <w:p w:rsidR="00FE0907" w:rsidRDefault="00FE0907" w:rsidP="00FE0907">
      <w:pPr>
        <w:pStyle w:val="Extracto"/>
      </w:pPr>
      <w:r>
        <w:t>3.</w:t>
      </w:r>
      <w:r>
        <w:tab/>
        <w:t>Por la inmediatez con los hechos que requiere, el reconocimiento en rueda es una actividad que, debido a la publicidad del juicio y a su dilatado distanciamiento temporal de los hechos, presenta dificultades de realización en el acto del juicio oral; así se reconoció en el ATC 909/1986, donde también se dijo que es una prueba personal «que no sufre transformación por el hecho de su constancia escrita»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Jesús Leguina Villa, don Luis López Guerra y don José Vicente Gimeno Sendra, Magistrados, ha pronunciado</w:t>
      </w:r>
    </w:p>
    <w:p w:rsidR="00FE0907" w:rsidRDefault="00FE0907" w:rsidP="00FE0907">
      <w:pPr>
        <w:pStyle w:val="TextoNormal"/>
      </w:pPr>
    </w:p>
    <w:p w:rsidR="00FE0907" w:rsidRDefault="00FE0907" w:rsidP="00FE0907">
      <w:pPr>
        <w:pStyle w:val="TextoNormalCentrado"/>
        <w:keepNext/>
      </w:pPr>
      <w:r>
        <w:lastRenderedPageBreak/>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1.935/88, interpuesto por don Angel León Quesada, representado por la Procuradora de los Tribunales doña Mª Luisa Puigcerver Portillo y asistido del Letrado don Raúl del Castillo Vega, contra la Sentencia de la Sección Cuarta de la Audiencia Provincial de Madrid, de fecha 3 de diciembre de 1987, condenatoria por un delito de robo con intimidación en las personas, y confirmada en casación por la Sala Segunda del Tribunal Supremo. Ha intervenido el Ministerio Fiscal y ha sido Magistrado Ponente don Luis López Guerra,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el Juzgado de Guardia el 28 de noviembre de 1988 y que tuvo entrada en este Tribunal el día 30 siguiente, doña María Luisa Puigcerver Portillo, Procuradora de los Tribunales y de don Angel León Quesada, interpone recurso de amparo contra la Sentencia de la Audiencia Provincial de Madrid, de fecha 3 de diciembre de 1987, condenatoria por un delito de robo con intimidación en las personas, y confirmada en casación por la Sala Segunda del Tribunal Supremo.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los que trae origen el presente recurso de amparo son, en síntesis, los siguientes: </w:t>
      </w:r>
    </w:p>
    <w:p w:rsidR="00FE0907" w:rsidRDefault="00FE0907" w:rsidP="00FE0907">
      <w:pPr>
        <w:pStyle w:val="TextoNormal"/>
      </w:pPr>
      <w:r>
        <w:t xml:space="preserve">a) La Audiencia Provincial de Madrid declaró como hechos probados que el ahora recurrente en amparo entró en una tienda y, esgrimiendo una navaja, obligó a la propietaria del negocio a que le entregase 24.000 ptas producto de la recaudación y diversos objetos valorados en 29.000 ptas, obligando, asimismo, a una cliente que allí se encontraba a que le hiciera entrega, por el mismo procedimiento, de 1.000 ptas, dándose después a la fuga. </w:t>
      </w:r>
    </w:p>
    <w:p w:rsidR="00FE0907" w:rsidRDefault="00FE0907" w:rsidP="00FE0907">
      <w:pPr>
        <w:pStyle w:val="TextoNormal"/>
      </w:pPr>
      <w:r>
        <w:t xml:space="preserve">En Sentencia de fecha 3 de diciembre de 1987, los referidos hechos fueron considerados por la Sala como constitutivos de un delito de robo con intimidación en las personas (arts. 500, 501, nº 5 y último párrafo, del Código Penal), sin la concurrencia de circunstancias modificativas de la responsabilidad criminal, por el que se impuso al recurrente una pena de cuatro años, dos meses y un día de prisión menor, más penas accesorias, una indemnización y el pago de las costas procesales. </w:t>
      </w:r>
    </w:p>
    <w:p w:rsidR="00FE0907" w:rsidRDefault="00FE0907" w:rsidP="00FE0907">
      <w:pPr>
        <w:pStyle w:val="TextoNormal"/>
      </w:pPr>
      <w:r>
        <w:t>b) Interpuesto por el demandante de amparo recurso de casación, en el que se invocaba la presunción constitucional de inocencia (art. 24.2), recayó Sentencia de la Sala Segunda del Tribunal Supremo, el 6 de octubre de 1988, por la que se declaraba no había lugar a dicho recurso.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Estima el recurrente que ha resultado lesionado su derecho fundamental a la presunción constitucional de inocencia (art. 24.2), por la Sentencia de la Audiencia, ya que en ella se da por probada su autoría de los hechos, sin que se hubiera practicado prueba alguna de cargo en el juicio oral. La mínima actividad probatoria practicada quedó circunscrita </w:t>
      </w:r>
      <w:r>
        <w:lastRenderedPageBreak/>
        <w:t xml:space="preserve">a la fase sumarial y a las diligencias policiales y, en concreto, a un reconocimiento en rueda del delincuente, efectuado con distintas irregularidades. Como quiera que la única testigo posible, la perjudicada y propietaria del negocio -pues la clienta que se encontraba también presente no pudo ser identificada- no asistió al acto de la vista, pese a haber sido propuesta como testigo por el Ministerio Fiscal y por la defensa, los reconocimientos anteriores no han sido convenientemente ratificados en el juicio oral. Y no puede dictarse una Sentencia condenatoria en virtud tan sólo de aquellas diligencias, que fueron incorporadas al juicio oral como prueba documental, porque este proceder no ofrece las suficientes garantías constitucionales, al estar ausentes los principios de oralidad, publicidad, inmediación y contradicción. Además, -afirma el recurrente- aún admitiendo como cierto que la prueba de reconocimiento en rueda es propia de la fase de instrucción o sumarial e inidónea para ser practicada en el juicio oral -lo que resulta discutible-, para que pueda producir efectos formativos de la convicción judicial ha de ser practicada de forma regular y con respeto a las garantías procesales que aquí no se han cumplido; en este punto, la demanda se extiende en destacar diversas supuestas irregularidades acaecidas en el reconocimiento realizado en Comisaría y relativas al orden de colocación de las personas en la rueda, a la firma de la diligencia y a la propia fehaciencia de la identificación efectuada. </w:t>
      </w:r>
    </w:p>
    <w:p w:rsidR="00FE0907" w:rsidRDefault="00FE0907" w:rsidP="00FE0907">
      <w:pPr>
        <w:pStyle w:val="TextoNormal"/>
      </w:pPr>
      <w:r>
        <w:t xml:space="preserve">Con carácter subsidiario, y, para el caso de que no tuviese favorable acogida el anterior motivo de amparo, solicita el recurrente que se reconozca que tampoco ha sido probado que los hechos fueron realizados con la amenaza de una navaja, petición que también él funda en la incomparecencia de la perjudicada como testigo en el juicio oral. </w:t>
      </w:r>
    </w:p>
    <w:p w:rsidR="00FE0907" w:rsidRDefault="00FE0907" w:rsidP="00FE0907">
      <w:pPr>
        <w:pStyle w:val="TextoNormal"/>
      </w:pPr>
      <w:r>
        <w:t>En virtud de lo expuesto, el actor solicita de este Tribunal que otorgue el amparo y declare la nulidad de la Sentencia de la Audiencia Provincial de Madrid, Sección Cuarta, y de la posterior de la Sala Segunda del Tribunal Supremo, confirmatoria de aquélla, reconociendo el derecho del recurrente a la presunción de inocencia; y, subsidiariamente, que se reconozca el derecho del recurrente, derivado de tal derecho fundamental, a que no se le aplique la circunstancia agravante derivada de haber esgrimido una navaja.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19 de diciembre de 1988, la Sección Segunda acordó requerir las actuaciones a los órganos judiciales de procedencia, previamente a pronunciarse sobre la admisión a trámite del recurso, conforme a lo prevenido en el art. 88 de la Ley Orgánica del Tribunal Constitucional (en adelante, LOTC), así como requerir a la Procuradora para que presentase el poder que acreditaba su representación. Mediante diligencia de ordenación de 23 de enero de 1989, se tuvo por satisfecho este último requerimiento y, por providencia de 3 de abril de 1989, la Sección tuvo por recibidas las actuaciones, y a tenor de lo dispuesto en el art. 52 de la LOTC, dió vista de las mismas al recurrente y al Ministerio Fiscal para que formulase las alegaciones que estimara pertinentes en el plazo de veinte días.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Fiscal ante el Tribunal Constitucional solicita que se deniegue el amparo que se insta, por lo que atañe a la prueba de reconocimiento judicial y a la presunción constitucional de inocencia, así como, a la par, estima que debe otorgarse el amparo en lo referido a la existencia del subtipo previsto en el art. 501, párrafo último, del Código Penal, relativo al uso de armas. </w:t>
      </w:r>
    </w:p>
    <w:p w:rsidR="00FE0907" w:rsidRDefault="00FE0907" w:rsidP="00FE0907">
      <w:pPr>
        <w:pStyle w:val="TextoNormal"/>
      </w:pPr>
      <w:r>
        <w:t xml:space="preserve">En efecto, la validez como prueba de cargo de un reconocimiento en rueda, realizado en el sumario con las garantías legalmente exigibles, pero no ratificado en el juicio oral, depende de su naturaleza procesal. Si aceptamos que constituye una prueba preconstituída de imposible reproducción, tendrá virtualidad para enervar la presunción de inocencia. Si, </w:t>
      </w:r>
      <w:r>
        <w:lastRenderedPageBreak/>
        <w:t xml:space="preserve">por el contrario, su naturaleza es idéntica a la de otras pruebas establecidas en la ley procesal, sólo poseerá validez de resultar reproducida en el juicio oral. </w:t>
      </w:r>
    </w:p>
    <w:p w:rsidR="00FE0907" w:rsidRDefault="00FE0907" w:rsidP="00FE0907">
      <w:pPr>
        <w:pStyle w:val="TextoNormal"/>
      </w:pPr>
      <w:r>
        <w:t xml:space="preserve">El art. 368 de la Ley de Enjuiciamiento Criminal (desde ahora, L.E.Crim.) destaca como finalidad del reconocimiento en rueda identificar la personalidad del delincuente "con relación a los designantes, a fin de que no ofrezca duda quién es la persona a que aquéllos se refieren". Así se reconoció en el ATC 494/1983 cuando se dijo que el papel del reconocimiento en rueda era: permitir que el reconocido sea "objeto de la percepción visual de un observador", cuando éste se encuentre incorporado a un grupo en unión de otras personas. La prueba, pues, agota su finalidad con la identificación en rueda y no puede ser reproducida en el juicio oral; sin duda, cabe que la persona que efectuó este reconocimiento sea interrogada en el juicio oral, pero esta actividad será una prueba testifical o de reconocimiento del acusado, pero ya no la diligencia expuesta de identificación en rueda, porque no concurren los requisitos exigidos por la Ley para su práctica; se puede afirmar pues que esta prueba no es susceptible de reproducción en el juicio oral. Es ésta una diligencia cuya práctica no es obligatoria, según se desprende de la Ley, cuando la identificación es clara y que es propia de la fase de instrucción o sumarial y, por ello, no idónea para ser practicada en el juicio oral. A estas consideraciones deben aunarse las expuestas en la STC 22/1988 sobre el llamado test de alcoholemia que exige, para que permita desvirtuar la presunción de inocencia, ser ratificado en el juicio oral por los agentes que la hayan practicado y sometido a contradicción, "o al menos que haya sido ratificado o complementado durante el curso del procedimiento judicial". Dicha doctrina puede trasladarse al presente supuesto, dada la similitud entre ambas clases de pruebas. </w:t>
      </w:r>
    </w:p>
    <w:p w:rsidR="00FE0907" w:rsidRDefault="00FE0907" w:rsidP="00FE0907">
      <w:pPr>
        <w:pStyle w:val="TextoNormal"/>
      </w:pPr>
      <w:r>
        <w:t xml:space="preserve">Partiendo de estos razonamientos, en el caso que nos ocupa, la prueba del reconocimiento fue practicada con todas las garantías exigibles, tanto en la policía como ante el órgano judicial, pues se respetó la presencia de Letrado, quien pudo realizar el debido contraste y contradicción al reconocimiento practicado, lo que no hizo. </w:t>
      </w:r>
    </w:p>
    <w:p w:rsidR="00FE0907" w:rsidRDefault="00FE0907" w:rsidP="00FE0907">
      <w:pPr>
        <w:pStyle w:val="TextoNormal"/>
      </w:pPr>
      <w:r>
        <w:t xml:space="preserve">El Tribunal Constitucional admite que el órgano sentenciador pueda conceder prevalencia a la prueba practicada en el sumario frente a la del juicio oral, si observa discordancia entre ellas, pues no está obligado a apreciar el resultado de esta última. Una consecuencia lógica de esta libertad de apreciación de la prueba, es que pueda concederse validez para desvirtuar la presunción de inocencia a una prueba que no es reproducible en el juicio oral. </w:t>
      </w:r>
    </w:p>
    <w:p w:rsidR="00FE0907" w:rsidRDefault="00FE0907" w:rsidP="00FE0907">
      <w:pPr>
        <w:pStyle w:val="TextoNormal"/>
      </w:pPr>
      <w:r>
        <w:t xml:space="preserve">En cambio, si no admitimos que el reconocimiento en rueda tiene una naturaleza singular y específica, su falta de reproducción y de contraste en el juicio oral, impediría dictar una Sentencia condenatoria ante la carencia de la mínima actividad probatoria de cargo necesaria, y se habría violado la presunción de inocencia. </w:t>
      </w:r>
    </w:p>
    <w:p w:rsidR="00FE0907" w:rsidRDefault="00FE0907" w:rsidP="00FE0907">
      <w:pPr>
        <w:pStyle w:val="TextoNormal"/>
      </w:pPr>
      <w:r>
        <w:t>Debe ser aceptada, por otra parte, la denuncia de la falta de prueba de la concurrencia del subtipo del art. 501.5, párrafo último, del Código Penal. La queja se funda en que la Sentencia se dictó en este extremo basándose en la declaración prestada por el denunciante ante la policía en el atestado y ante el órgano judicial durante la investigación sumarial, sin que luego compareciera la perjudicada en el juicio oral. La acusación, sin embargo, no solicitó la suspensión del juicio por la falta de declaración del testigo, como procedía de acuerdo con una interpretación del art. 801 de la L.E.Crim., y, en consecuencia, tal testimonio no pudo ser contradicho, circunstancia que lleva a entender vulnerada la presunción constitucional de inocencia (art. 24.2).</w:t>
      </w:r>
    </w:p>
    <w:p w:rsidR="00FE0907" w:rsidRDefault="00FE0907" w:rsidP="00FE0907">
      <w:pPr>
        <w:pStyle w:val="TextoNormal"/>
      </w:pPr>
    </w:p>
    <w:p w:rsidR="00FE0907" w:rsidRDefault="00FE0907" w:rsidP="00FE0907">
      <w:pPr>
        <w:pStyle w:val="TextoNormal"/>
      </w:pPr>
      <w:r w:rsidRPr="00FE0907">
        <w:rPr>
          <w:rStyle w:val="NumeroAFNegritaCaracter"/>
        </w:rPr>
        <w:t>6</w:t>
      </w:r>
      <w:r>
        <w:t>. El recurrente insta de este Tribunal que otorgue el amparo y ratifica y da por reproducidas las alegaciones que efectuó en la demanda. Señala el recurrente que el reconoci</w:t>
      </w:r>
      <w:r>
        <w:lastRenderedPageBreak/>
        <w:t>miento realizado en la Comisaría no puede tomarse como prueba, porque no fue reconocido el procesado sino un agente de policía que formaba parte de la rueda; y el posterior reconocimiento en sede judicial se practicó con vulneración de lo dispuesto en el art. 370 de la L.E.Crim.; en definitiva, tampoco las diligencias policiales sumariales expuestas, que no fueron ratificadas en el juicio oral, pueden fundar una Sentencia condenatoria.</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trece de enero de 1992, se señaló el día 16 del mismo mes y año,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recurrente en amparo aduce que no se practicó prueba alguna de cargo en el juicio oral que permitiera desvirtuar la presunción constitucional de inocencia (art. 24.2 de la Norma fundamental), toda vez que la perjudicada no compareció en la vista para ratificar la identificación realizada en la diligencia de reconocimiento en rueda y, aunque la misma fue incorpo rada al juicio a petición del Ministerio Fiscal y mediante su lectura, este expediente de su transformación en una llamada prueba documental no satisface las garantías constitucionalmente exigibles; además, se denuncia que la práctica de dichos reconocimientos en rueda estuvo plagada de múltiples irregularidades; con carácter subsidiario y para el caso de que no se estimara el primer motivo de amparo, solicita el recurrente que se reconozca que tampoco ha sido probado que los hechos fueran realizados con la amenaza de una navaja, a los efectos de lo dispuesto para el empleo de armas u otros medios peligrosos en el art.  501.5, párrafo último, del Código Penal.</w:t>
      </w:r>
    </w:p>
    <w:p w:rsidR="00FE0907" w:rsidRDefault="00FE0907" w:rsidP="00FE0907">
      <w:pPr>
        <w:pStyle w:val="TextoNormal"/>
      </w:pPr>
    </w:p>
    <w:p w:rsidR="00FE0907" w:rsidRDefault="00FE0907" w:rsidP="00FE0907">
      <w:pPr>
        <w:pStyle w:val="TextoNormal"/>
      </w:pPr>
      <w:r w:rsidRPr="00FE0907">
        <w:rPr>
          <w:rStyle w:val="NumeroAFNegritaCaracter"/>
        </w:rPr>
        <w:t>2</w:t>
      </w:r>
      <w:r>
        <w:t>. Sentado el objeto del presente amparo constitucional, según se perfila en la demanda, es preciso recordar para la solución del caso que, ciertamente, este Tribunal ha venido afirmando, en una línea jurisprudencial ya muy consolidada e iniciada en la STC 31/1981, que sólo pueden considerarse pruebas que vinculen a los órganos de la justicia penal las practicadas en el juicio oral, tal y como establece el art. 741 de la L.E.Crim.,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w:t>
      </w:r>
    </w:p>
    <w:p w:rsidR="00FE0907" w:rsidRDefault="00FE0907" w:rsidP="00FE0907">
      <w:pPr>
        <w:pStyle w:val="TextoNormal"/>
      </w:pPr>
      <w:r>
        <w:t>Pero no es menos cierto que también se ha dicho por este Tribunal que esa idea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Ello es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preconstituída, supuestos en los cuales el juzgador podrá fundar en tales actos la formación de su convicción, sin necesidad de que sean reproducidos en el juicio oral (SSTC 80/1986, 25/1988, 60/1988, 137/1988, 217/1989, 140/1991, etc...). En este mismo sentido, el art. 730 de la L.E.Crim. permite traer dichas actuaciones sumariales al juicio al disponer que puedan leerse, a instancia de cualquiera de las partes, las diligencias que, por causas independientes de su vo</w:t>
      </w:r>
      <w:r>
        <w:lastRenderedPageBreak/>
        <w:t>luntad, no puedan ser reproducidas en el juicio oral, pues estando sujeto también el proceso penal al principio de búsqueda de la verdad material, es preciso asegurar que no se pierdan datos o elementos de convicción (SSTC 62/1985, 137/1988, etc...). Bien es cierto, que la constatación en el juicio de estas diligencias sumariales debe hacerse no como una simple fórmula retórica y de estilo, sino en condiciones que permitan a las partes someterlas a contradicción, evitando formalismos de frecuente uso forense (STC 22/1988); todo ello con el fin, precisamente, de permitir a la defensa del acusado someter las actuaciones sumariales a una efectiva contradicción en el acto de la vista.</w:t>
      </w:r>
    </w:p>
    <w:p w:rsidR="00FE0907" w:rsidRDefault="00FE0907" w:rsidP="00FE0907">
      <w:pPr>
        <w:pStyle w:val="TextoNormal"/>
      </w:pPr>
    </w:p>
    <w:p w:rsidR="00FE0907" w:rsidRDefault="00FE0907" w:rsidP="00FE0907">
      <w:pPr>
        <w:pStyle w:val="TextoNormal"/>
      </w:pPr>
      <w:r w:rsidRPr="00FE0907">
        <w:rPr>
          <w:rStyle w:val="NumeroAFNegritaCaracter"/>
        </w:rPr>
        <w:t>3</w:t>
      </w:r>
      <w:r>
        <w:t>. En el presente caso, ya se ha dicho que la cuestión que principalmente se plantea en la demanda es si la constancia en el sumario de haberse practicado una identificación del delincuente por la perjudicada en una diligencia de reconocimiento en rueda -primeramente en las instalaciones policiales y posteriormente en presencia judicial, contándose en ambos casos con la presencia del Letrado del inculpado- puede estimarse, por sí sólo, como un medio de prueba susceptible de desvirtuar la presunción de inocencia, a pesar de no haber sido ratificado tal reconocimiento en la vista oral.  La representación del recurrente alega, de un lado, que en la práctica del reconocimiento se produjeron irregularidades invalidantes que eliminan su fuerza probatoria y, de otro, que la no comparecencia en el juicio oral de la testigo hizo imposible su ratificación y convalidación. El Ministerio Fiscal manifiesta que, si se admite que el reconocimiento en rueda constituye una prueba preconstituída de imposible reproducción, que sólo se puede practicar en un momento procesal, y se constata en el juicio con las garantías procesales de audiencia y contradicción exigidas para la debida defensa del inculpado, tendrá virtualidad para enervar la presunción de inocencia; aunque acabe por afirmar que la incomparecencia de la testigo en el juicio oral debe llevar a estimar la queja del recurrente, relativa a la falta de prueba del subtipo previsto en el art.  501.5, párrafo último, del Código Penal.</w:t>
      </w:r>
    </w:p>
    <w:p w:rsidR="00FE0907" w:rsidRDefault="00FE0907" w:rsidP="00FE0907">
      <w:pPr>
        <w:pStyle w:val="TextoNormal"/>
      </w:pPr>
    </w:p>
    <w:p w:rsidR="00FE0907" w:rsidRDefault="00FE0907" w:rsidP="00FE0907">
      <w:pPr>
        <w:pStyle w:val="TextoNormal"/>
      </w:pPr>
      <w:r w:rsidRPr="00FE0907">
        <w:rPr>
          <w:rStyle w:val="NumeroAFNegritaCaracter"/>
        </w:rPr>
        <w:t>4</w:t>
      </w:r>
      <w:r>
        <w:t>. Reseñadas las posiciones de las partes y por lo que se refiere a las aducidas irregularidades en la práctica del reconocimiento, el examen de las actuaciones por esta Sala evidencia que no pueden estimarse constitucionalmente relevantes a la hora de salvaguardar derechos fundamentales. La rueda de identificación se realizó con la asistencia del Letrado del inculpado tanto en las dependencias policiales como posteriormente en presencia judicial, y aquél no formuló en ningún caso protesta alguna; se respetaron también las garantías formales legalmente exigibles, tal y como reconoce el Ministerio Público ante este Tribunal. No hay, pues, motivos para dudar en sede constitucional de la corrección de la determinación del imputado practicada en rueda.</w:t>
      </w:r>
    </w:p>
    <w:p w:rsidR="00FE0907" w:rsidRDefault="00FE0907" w:rsidP="00FE0907">
      <w:pPr>
        <w:pStyle w:val="TextoNormal"/>
      </w:pPr>
      <w:r>
        <w:t xml:space="preserve">Por otro lado, es razonable pensar que, por la inmediatez con los hechos que el reconocimiento en rueda requiere, entre otras razones, se trata de una actividad que, debido a la publicidad del juicio y a su dilatado distanciamiento temporal de los hechos, presenta dificultades de realización en el acto del juicio oral, por su misma naturaleza; y así se reconoció en el ATC 909/1986, dónde también se dijo que es una prueba personal "que no sufre transformación por el hecho de su constancia escrita" (fundamento jurídico 2º).  Ahora bien, evaluar la capacidad de la identificación en rueda para integrar una prueba de cargo respecto de la culpabilidad del inculpado, y de naturaleza preconstituída, requiere tener forzosamente en cuenta el objeto sobre el que recae el reconocimiento.  La Ley de Enjuiciamiento Criminal prevé que cuantos dirijan cargo a determinada persona, deberán reconocerlo judicialmente si se estima precisa la diligencia "a fín de que no ofrezca duda quién es la persona a que aquéllos se refieren" (art. 368 de la L.E.Crim.). Y, prosigue la citada </w:t>
      </w:r>
      <w:r>
        <w:lastRenderedPageBreak/>
        <w:t>Ley, "el que deba practicar el reconocimiento manifestará si se encuentra en la rueda o grupo la persona a quien hubiere hecho referencia en sus declaraciones, designándole, en caso afirmativo, clara y determinantemente" (art. 369). De lo que se trata, por tanto, es de precisar con exactitud la persona frente a la que se realizan determinadas imputaciones.  El fin de la diligencia del reconocimiento en rueda no es otro que permitir la determinación del inculpado, siendo éste un mero "objeto de la percepción visual de su observador" (ATC 494/1983, fundamento jurídico único).</w:t>
      </w:r>
    </w:p>
    <w:p w:rsidR="00FE0907" w:rsidRDefault="00FE0907" w:rsidP="00FE0907">
      <w:pPr>
        <w:pStyle w:val="TextoNormal"/>
      </w:pPr>
      <w:r>
        <w:t>Siendo ello así, para desvirtuar la presunción de inocencia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w:t>
      </w:r>
    </w:p>
    <w:p w:rsidR="00FE0907" w:rsidRDefault="00FE0907" w:rsidP="00FE0907">
      <w:pPr>
        <w:pStyle w:val="TextoNormal"/>
      </w:pPr>
      <w:r>
        <w:t>Pues bien, en el supuesto que nos ocupa, no consta que se haya practicado en el plenario actividad probatoria de cargo de ninguna clase sobre los hechos, ya que no concurrió testigo alguno, y el acusado negó su participación en los supuestos delitos que se le imputaban, tanto en fase sumarial como en el juicio oral, sin efectuar jamás una declaración autoinculpatoria.</w:t>
      </w:r>
    </w:p>
    <w:p w:rsidR="00FE0907" w:rsidRDefault="00FE0907" w:rsidP="00FE0907">
      <w:pPr>
        <w:pStyle w:val="TextoNormal"/>
      </w:pPr>
      <w:r>
        <w:t>La lectura del acta del juicio oral revela que el Ministerio Fiscal que ejercía la acusación, ante la incomparecencia de la perjudicada, en vez de instar la suspensión del juicio para la declaración de la testigo de cargo como procedía en una interpretación del art. 801 de la L.E.Crim., solicitó de la Audiencia la lectura de ciertos folios del sumario. Y, en la posterior Sentencia condenatoria dictada por la Sala que enjuició los hechos (fundamento jurídico 2º), se funda la convicción sobre la autoría del acusado en "el reconocimiento de su persona que verificó una de las víctimas del injusto en Comisaría con asistencia de Letrado (folio 11), después ratificado a presencia judicial (folio 33)". En consecuencia, puede afirmarse que hubo, sin duda, en el juicio oral una constatación de la identidad de la persona a quien se había hecho referencia en la declaración de la perjudicada, pero, en cambio, no se produjo una ratificación del contenido de dicha declaración testifical de una forma en la cual los hechos que la acusación imputaba al acusado y que éste negaba, pudieran ser verdaderamente contrastados de manera contradictoria y con inmediación y oralidad, como las garantías constitucionales del proceso exigen.</w:t>
      </w:r>
    </w:p>
    <w:p w:rsidR="00FE0907" w:rsidRDefault="00FE0907" w:rsidP="00FE0907">
      <w:pPr>
        <w:pStyle w:val="TextoNormal"/>
      </w:pPr>
      <w:r>
        <w:t>Así vistas las cosas, la condena se fundó exclusivamente en la identificación del inculpado efectuada en una diligencia de reconocimiento, porque la posterior declaración de la víctima en fase sumarial ni fue ratificada convenientemente en el juicio oral ni, obviamente, pudo ser sometida por el procesado a contradicción con oralidad e inmediación. Y carece de sentido pensar que la declaración sumarial de la perjudicada, entendida como diligencia de investigación, configure una prueba anticipada y preconstituída de imposible reproducción en el juicio oral en virtud de su supuesto carácter irrepetible e imprevisible.  Por el contrario, el art. 6.3, letra d), del Convenio Europeo de Derechos Humanos reconoce como regla general que todo acusado posee, entre sus mínimos derechos, el de "interrogar o hacer interrogar a los testigos que declaren contra él..." ; y de un tenor similar es el art. 14.3 e) del Pacto Internacional de Derechos Civiles y Políticos.  El hipotético recurso a la lectura del acta de la declaración sumarial del perjudicado como prueba anticipada y preconstituída, para ser hecha valer como prueba de cargo, debe ser, por tanto, muy excepcional y venir en su caso fundado en alguna grave causa justificativa, de carácter absoluto u obstativo, causa que en este supuesto obviamente no se produjo; de no existir estos motivos, sino meras imposibilidades relativas, habrá que acudir a los mecanismos de sus</w:t>
      </w:r>
      <w:r>
        <w:lastRenderedPageBreak/>
        <w:t>pensión dispuestos en el art. 746.3 de la L.E.Crim., donde se ordena que procede la suspensión del juicio "cuando no comparezcan los testigos de cargo" ofrecidos por las partes.  La prueba testifical es, por su naturaleza, perfectamente reproducible en el juicio oral, para su debido contraste y contradicción por las partes de forma oral y sin mengua de los derechos de defensa del imputado; esa reproducción es si cabe más acuciante en las ocasiones en que conforma la única prueba de cargo posible, y, si no se hiciera así, -como acaba por señalar el Ministerio Fiscal- no es válida para enervar la presunción de inocencia, de acuerdo con la doctrina constitucional expuesta; un problema bien distinto, que no debe ser confundido con éste, es que las declaraciones sumariales, rectificadas en el juicio oral, puedan valorarse como prueba sin infracción alguna del principio de inmediación, cuando quien las ha prestado reconoce durante el juicio oral que tuvieron lugar (ATC 479/1986, entre otros).</w:t>
      </w:r>
    </w:p>
    <w:p w:rsidR="00FE0907" w:rsidRDefault="00FE0907" w:rsidP="00FE0907">
      <w:pPr>
        <w:pStyle w:val="TextoNormal"/>
      </w:pPr>
    </w:p>
    <w:p w:rsidR="00FE0907" w:rsidRDefault="00FE0907" w:rsidP="00FE0907">
      <w:pPr>
        <w:pStyle w:val="TextoNormal"/>
      </w:pPr>
      <w:r w:rsidRPr="00FE0907">
        <w:rPr>
          <w:rStyle w:val="NumeroAFNegritaCaracter"/>
        </w:rPr>
        <w:t>5</w:t>
      </w:r>
      <w:r>
        <w:t>. Cuanto se ha dicho lleva a concluir que no hubo en el juicio oral realizado ante la Audiencia de procedencia prueba alguna de cargo practicada con las debidas garantías, lo que impide entender convenientemente desvirtuada la presunción constitucionall de inocencia (art. 24.2) y obliga a reconocer el derecho fundamental que el solicitante de amparo invoca.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la demanda de amparo presentada por don Angel León Quesada y en su virtud:</w:t>
      </w:r>
    </w:p>
    <w:p w:rsidR="00FE0907" w:rsidRDefault="00FE0907" w:rsidP="00FE0907">
      <w:pPr>
        <w:pStyle w:val="TextoNormal"/>
      </w:pPr>
      <w:r>
        <w:t>1.  Reconocer su derecho fundamental a la presunción de inocencia (art. 24.2 de la Constitución).</w:t>
      </w:r>
    </w:p>
    <w:p w:rsidR="00FE0907" w:rsidRDefault="00FE0907" w:rsidP="00FE0907">
      <w:pPr>
        <w:pStyle w:val="TextoNormal"/>
      </w:pPr>
      <w:r>
        <w:t>2.  Anular la Sentencia de la Audiencia Provincial de Madrid, de 3 de diciembre de 1987, Sección Cuarta, en el sumario núm. 52/87 procedente del Juzgado de Instrucción núm. 2 de Alcalá de Henares, así como la posterior Sentencia de la Sala Segunda del Tribunal Supremo, de 6 de octubre de 1988, en el recurso de casación núm. 374/88.</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dieciseis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4" w:name="SENTENCIA_1992_11"/>
      <w:r>
        <w:lastRenderedPageBreak/>
        <w:t>SENTENCIA 11/1992, de 27 de enero de 1992</w:t>
      </w:r>
    </w:p>
    <w:bookmarkEnd w:id="14"/>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ECLI:ES:TC:1992:11</w:t>
      </w:r>
    </w:p>
    <w:p w:rsidR="00FE0907" w:rsidRDefault="00FE0907" w:rsidP="00FE0907">
      <w:pPr>
        <w:pStyle w:val="SntesisDescriptiva"/>
      </w:pPr>
    </w:p>
    <w:p w:rsidR="00FE0907" w:rsidRDefault="00FE0907" w:rsidP="00FE0907">
      <w:pPr>
        <w:pStyle w:val="SntesisDescriptiva"/>
      </w:pPr>
      <w:r>
        <w:t>Recurso de amparo 945/1989. Contra Sentencia del Juzgado de Distrito de Reinosa sobre lesiones y daños por imprudencia en tráfico y la resolutoria en apelación del Juzgado de Instrucción de la misma ciudad.</w:t>
      </w:r>
    </w:p>
    <w:p w:rsidR="00FE0907" w:rsidRDefault="00FE0907" w:rsidP="00FE0907">
      <w:pPr>
        <w:pStyle w:val="SntesisDescriptiva"/>
      </w:pPr>
    </w:p>
    <w:p w:rsidR="00FE0907" w:rsidRDefault="00FE0907" w:rsidP="00FE0907">
      <w:pPr>
        <w:pStyle w:val="SntesisAnaltica"/>
      </w:pPr>
      <w:r>
        <w:t>Vulneración del derecho a la tutela judicial efectiva: infracción del principio acusatorio en juicio de faltas</w:t>
      </w:r>
    </w:p>
    <w:p w:rsidR="00FE0907" w:rsidRDefault="00FE0907" w:rsidP="00FE0907">
      <w:pPr>
        <w:pStyle w:val="SntesisAnaltica"/>
      </w:pPr>
    </w:p>
    <w:p w:rsidR="00FE0907" w:rsidRDefault="00FE0907" w:rsidP="00FE0907">
      <w:pPr>
        <w:pStyle w:val="Extracto"/>
      </w:pPr>
      <w:r>
        <w:t>1.</w:t>
      </w:r>
      <w:r>
        <w:tab/>
        <w:t>El recurso de amparo es un instrumento procesal dotado de sustantividad propia, para cuya utilización sólo vienen legitimadas las personas directamente afectadas, entendiendo como tales (STC 123/1989) aquellas que sean titulares del derecho subjetivo presuntamente vulnerado (STC 141/1985), que son las únicas autorizadas para impetrar la protección del propio derecho y no de los derechos ajenos de los que no tengan la representación, ni hayan sido ejercidos por sus titulares [F.J. 2].</w:t>
      </w:r>
    </w:p>
    <w:p w:rsidR="00FE0907" w:rsidRDefault="00FE0907" w:rsidP="00FE0907">
      <w:pPr>
        <w:pStyle w:val="Extracto"/>
      </w:pPr>
    </w:p>
    <w:p w:rsidR="00FE0907" w:rsidRDefault="00FE0907" w:rsidP="00FE0907">
      <w:pPr>
        <w:pStyle w:val="Extracto"/>
      </w:pPr>
      <w:r>
        <w:t>2.</w:t>
      </w:r>
      <w:r>
        <w:tab/>
        <w:t>La cualidad de personalísimos que tienen los derechos fundamentales impide que la falta de interposición de recurso de amparo propio sea subsanable por la vía de coadyuvar con el demandante [F.J. 2].</w:t>
      </w:r>
    </w:p>
    <w:p w:rsidR="00FE0907" w:rsidRDefault="00FE0907" w:rsidP="00FE0907">
      <w:pPr>
        <w:pStyle w:val="Extracto"/>
      </w:pPr>
    </w:p>
    <w:p w:rsidR="00FE0907" w:rsidRDefault="00FE0907" w:rsidP="00FE0907">
      <w:pPr>
        <w:pStyle w:val="Extracto"/>
      </w:pPr>
      <w:r>
        <w:t>3.</w:t>
      </w:r>
      <w:r>
        <w:tab/>
        <w:t>Se reitera y resume la doctrina sentada por este Tribunal sobre el alcance del principio acusatorio en los diversos tipos de proceso penal [F.J. 3].</w:t>
      </w:r>
    </w:p>
    <w:p w:rsidR="00FE0907" w:rsidRDefault="00FE0907" w:rsidP="00FE0907">
      <w:pPr>
        <w:pStyle w:val="Extracto"/>
      </w:pPr>
    </w:p>
    <w:p w:rsidR="00FE0907" w:rsidRDefault="00FE0907" w:rsidP="00FE0907">
      <w:pPr>
        <w:pStyle w:val="Extracto"/>
      </w:pPr>
      <w:r>
        <w:t>4.</w:t>
      </w:r>
      <w:r>
        <w:tab/>
        <w:t>Cuando se trate de juicio de faltas por accidente de tráfico, el concepto de ausencia de acusación y acusación implícita, que nuestra doctrina declara ineficaz para fundamentar una Sentencia condenatoria, debe matizarse en el sentido de limitarlo a los presupuestos en que la condena se produzca de manera inesperada y sorprendente para el condenado por no ser razonablemente previsible que pudiera suponer que él también venía implicado en esa responsabilidad, atendiendo siempre a la forma en que se produce el debate sobre quién fue el responsable del accidente y cuáles fueron las circunstancias concurrentes en el hecho denunciado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Rodriguez-Piñero y Bravo-Ferrer, don José Luis de los Mozos y de los Mozos, don Alvaro Rodriguez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lastRenderedPageBreak/>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945/1989, promovido por don Máximo González Fernández, representado por la Procuradora doña María Luz Albaca Medina, y asistido del Letrado don Mariano Medina Crespo, contra Sentencia del Juzgado de Distrito de Reinosa sobre lesiones y daños por imprudencia en tráfico y la resolutoria en apelación del Juzgado de Instrucción de dicha ciudad. Ha intervenido el Ministerio Fiscal. Ha sido Ponente el Magistrado don Eugenio Díaz Eimil,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presentado el 20 de mayo de 1989, doña María Luz Albacar Medina, Procuradora de los Tribunales y de don Máximo González Fernández, interpuso recurso de amparo contra la Sentencia del Juzgado de Instrucción de Reinosa de 5 de abril de 1989, recaída en el recurso de apelación 72/88, correspondiente al expediente de juicio de faltas 286/86 del Juzgado de Distrito de la misma localidad, invocando la vulneración del art. 24 de la Constitución y, en concreto, del principio acusatorio en el juicio de faltas.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Se relatan en la demanda de amparo los siguientes hechos: </w:t>
      </w:r>
    </w:p>
    <w:p w:rsidR="00FE0907" w:rsidRDefault="00FE0907" w:rsidP="00FE0907">
      <w:pPr>
        <w:pStyle w:val="TextoNormal"/>
      </w:pPr>
      <w:r>
        <w:t xml:space="preserve">a) El 31 de agosto de 1986, en la carretera nacional 611, se produjo un accidente de circulación con intervención de cinco vehículos, lo que dió lugar a la tramitación del expediente de juicio de faltas 286/86. </w:t>
      </w:r>
    </w:p>
    <w:p w:rsidR="00FE0907" w:rsidRDefault="00FE0907" w:rsidP="00FE0907">
      <w:pPr>
        <w:pStyle w:val="TextoNormal"/>
      </w:pPr>
      <w:r>
        <w:t xml:space="preserve">Segun la propia declaración de hechos probados de la Sentencia de instancia, aceptados posteriormente por la dictada en apelación, el accidente se produjo al colisionar el vehículo conducido por don Alejandro Agustín Calleja Lucas con el vehículo que le precedía conducido por don Santiago del Rio Huerta, a resultas de lo cual, éste último golpeó, a su vez, al vehículo que iba delante de su marcha, conducido por su propietario don Máximo González Fernández, que es quien ahora recurre en amparo. </w:t>
      </w:r>
    </w:p>
    <w:p w:rsidR="00FE0907" w:rsidRDefault="00FE0907" w:rsidP="00FE0907">
      <w:pPr>
        <w:pStyle w:val="TextoNormal"/>
      </w:pPr>
      <w:r>
        <w:t xml:space="preserve">Detenidos los tres vehículos dañados, cuando aun permanecían en la calzada esperando al equipo de atestados de la Guardia Civil, don Alejandro Agustín Calleja Lucas dió paso a una furgoneta, conducida por don Francisco Javier Casanueva Villaro, que circulaba en la misma dirección, la cual, al adelantar a los tres vehículos que habían sufrido el accidente por el carril de la izquierda de la calzada, colisionó con el vehículo R-12 que, circulando en dirección contraria, era conducido por don José Andrés González Amor, resultando con daños ambos vehículos y con lesiones la ocupante del R-12, doña Aurora Amor González. </w:t>
      </w:r>
    </w:p>
    <w:p w:rsidR="00FE0907" w:rsidRDefault="00FE0907" w:rsidP="00FE0907">
      <w:pPr>
        <w:pStyle w:val="TextoNormal"/>
      </w:pPr>
      <w:r>
        <w:t xml:space="preserve">b) En el juicio de faltas tramitado ante el Juzgado de Distrito de Reinosa, el Ministerio Fiscal estimó que, apreciándose la existencia de dos accidentes distintos, los hechos eran constitutivos de dos faltas. La primera, la tipificada en el art. 600 del Código Penal, considerando autor de la misma a don Alejandro Agustín Calleja Lucas, para el que interesó la imposición de una multa de 5.000 ptas., con obligación civil de indemnizar al perjudicado don Máximo González Fernández en la cantidad de 97.588 ptas, por los daños causados en </w:t>
      </w:r>
      <w:r>
        <w:lastRenderedPageBreak/>
        <w:t xml:space="preserve">el vehículo de su propiedad. Y la segunda de las faltas, la del art. 586 del Código Penal, considerando autor de la misma a don Francisco Javier Casanueva Villaro, para el que interesó la imposición de las penas de 5.000 pesetas de multa,reprensión privada y privación del permiso de conducción por tiempo de un mes, con obligación civil de indemnizar a los perjudicados don José Andrés González Amor y doña Autora Amor González (conductor y ocupante del vehículo R-12). </w:t>
      </w:r>
    </w:p>
    <w:p w:rsidR="00FE0907" w:rsidRDefault="00FE0907" w:rsidP="00FE0907">
      <w:pPr>
        <w:pStyle w:val="TextoNormal"/>
      </w:pPr>
      <w:r>
        <w:t xml:space="preserve">A la petición del Ministerio Fiscal se adhirieron, mostrando plena conformidad con la calificación jurídico penal de la acusación pública, don José Andrés González Amor y don Máximo González Fernández (ahora recurrente en amparo), así como doña Aurora Amor González (que interesó, no obstante, una indemnización en cuantía superior), don Santiago del Río Huerta (que interesó, igualmente, se le reconociera una indemnización con cargo al denunciado, don Alejandro Agustín Calleja Lucas) y la entidad Mutua General de Seguros, aseguradora del vehículo de don Santiago del Río que fijó su postura en coincidencia con la de su asegurado. </w:t>
      </w:r>
    </w:p>
    <w:p w:rsidR="00FE0907" w:rsidRDefault="00FE0907" w:rsidP="00FE0907">
      <w:pPr>
        <w:pStyle w:val="TextoNormal"/>
      </w:pPr>
      <w:r>
        <w:t xml:space="preserve">De otra parte, don Alejandro Agustín Calleja Lucas mostró su disconformidad con el informe del Ministerio Fiscal, al entender que los hechos eran constitutivos de tres faltas. La primera, la del art. 600 del Código Penal, de la que sería autor don Santiago del Río Huerta, debiéndole ser impuesta una multa de 5.000 pesetas, con obligación civil de indemnizar a don Máximo González Fernández. La segunda, la del art. 600 del Código Penal, de la que sería autor el propio señor Calleja Lucas (por daños causados en el vehículo de don Santiago del Río, conductor éste del vehículo que, a su vez, golpeó al vehículo de don Máximo González) y la tercera, la del art. 586.3 del Código Penal, de la que sería autor don Francisco-Javier Casanueva Villaro, pronunciándose al respecto en los mismos términos interesados por el Ministerio Fiscal. </w:t>
      </w:r>
    </w:p>
    <w:p w:rsidR="00FE0907" w:rsidRDefault="00FE0907" w:rsidP="00FE0907">
      <w:pPr>
        <w:pStyle w:val="TextoNormal"/>
      </w:pPr>
      <w:r>
        <w:t xml:space="preserve">Finalmente, don Francisco-Javier Casanueva Villaro y su Compañía Aseguradora, la entidad Mutua Montañesa de Seguros, mostraron su disconformidad con la petición del Ministerio Fiscal, solicitando se dictara una Sentencia absolutoria de todos los denunciados, con reserva de las correspondientes acciones civiles. </w:t>
      </w:r>
    </w:p>
    <w:p w:rsidR="00FE0907" w:rsidRDefault="00FE0907" w:rsidP="00FE0907">
      <w:pPr>
        <w:pStyle w:val="TextoNormal"/>
      </w:pPr>
      <w:r>
        <w:t xml:space="preserve">c) No obstante, en el acta del juicio consta un añadido que dice: "y añadir que en el último informe se proceda a condenar a los tres conductores que tenían aparcados sus coches en la calzada por obrar imprudentemente y no señalizar en la forma debida el obstáculo puesto en la calzada", con lo que parece que, siendo el último de los informes emitidos en el juicio el de don Francisco-Javier Casanueva Villaro y el de su Compañía aseguradora, estas partes dedujeron una petición contradictoria. </w:t>
      </w:r>
    </w:p>
    <w:p w:rsidR="00FE0907" w:rsidRDefault="00FE0907" w:rsidP="00FE0907">
      <w:pPr>
        <w:pStyle w:val="TextoNormal"/>
      </w:pPr>
      <w:r>
        <w:t xml:space="preserve">El demandante de amparo señala que en el acto del juicio, el Sr. Casanueva justificó su petición absolutoria, como razonamiento exculpador de su propia conducta, con la argumentación de que, en realidad, hubiera procedido la condena de aquellos tres conductores (los estacionados en la calzada), por crear con su pasividad un peligroso obstáculo para la circulación, pero que formalmente no dirigió acusación contra los mismos. Y, en todo caso, aun cuando se entendiera que en el acto del juicio de faltas el Sr. Casanueva dedujo válida petición de condena penal de don Máximo González Fernández (y de los otros dos implicados en la primera colisión, es decir, don Santiago del Río y don Alejandro Agustín Calleja), tal hecho para nada afectaría al presente recurso de amparo. </w:t>
      </w:r>
    </w:p>
    <w:p w:rsidR="00FE0907" w:rsidRDefault="00FE0907" w:rsidP="00FE0907">
      <w:pPr>
        <w:pStyle w:val="TextoNormal"/>
      </w:pPr>
      <w:r>
        <w:t xml:space="preserve">d) La sentencia del Juzgado de Distrito de 25 de marzo de 1988, aclarada por Auto de 24 de mayo siguiente, se condenó, de una parte, a don Alejandro-Agustín Calleja Lucas y, de otra, a don Francisco-Javier Casanueva Villaro, absolviendo expresamente a don Santiago del Río. </w:t>
      </w:r>
    </w:p>
    <w:p w:rsidR="00FE0907" w:rsidRDefault="00FE0907" w:rsidP="00FE0907">
      <w:pPr>
        <w:pStyle w:val="TextoNormal"/>
      </w:pPr>
      <w:r>
        <w:lastRenderedPageBreak/>
        <w:t xml:space="preserve">En la misma sentencia no consta en manera alguna la petición de condena, por relación al segundo de los accidentes, de los tres conductores implicados en el primero de los accidentes (Srs. Máximo González, Santiago del Río y Alejandro-Agustín Calleja), razón por la cual no se abordó el estudio de su posible imprudencia al no ser objeto de acusación. Y, en cuanto, al demandante, la sentencia, en su fallo, tuvo que absolverle por cuanto, por ninguna de las partes implicadas,fue formalmente acusado. </w:t>
      </w:r>
    </w:p>
    <w:p w:rsidR="00FE0907" w:rsidRDefault="00FE0907" w:rsidP="00FE0907">
      <w:pPr>
        <w:pStyle w:val="TextoNormal"/>
      </w:pPr>
      <w:r>
        <w:t xml:space="preserve">e) Contra la sentencia de instancia, interpusieron recurso de apelación doña Autora Amor González, don Juan-Andrés González Amor, don Francisco Casanueva Villaro, la entidad Casanueva Bedía, S.A. y la entidad Mutua Montañesa de Seguros, pero ninguno de los apelantes, que lo fueron por razón del segundo accidente, solicitaron la condena de quien ahora recurre en amparo (el Sr. Máximo González), ni la de don Alejandro Agustín Calleja, ni la de don Santiago del Río. </w:t>
      </w:r>
    </w:p>
    <w:p w:rsidR="00FE0907" w:rsidRDefault="00FE0907" w:rsidP="00FE0907">
      <w:pPr>
        <w:pStyle w:val="TextoNormal"/>
      </w:pPr>
      <w:r>
        <w:t>Sin embargo, la sentencia del Juzgado de Instrucción de 5 de abril de 1989, contra la que se dirige el recurso de amparo, tras aceptar en su integridad la declaración de hechos probados contenida en la sentencia de instancia absuelve a don Francisco_Javier Casanueva Villaro y condena, por el segundo accidente, a don Máximo González Fernández, don Santiago del Río Huerta y don Alejandro-Agustín Calleja Lucas, al estimar que el accidente fue causa de su imprudencia por no apartar los vehículos de la calzada después de la colisión que habían tenido.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Alega el recurrente en amparo que la Sentencia que se impugna ha vulnerado el principio acusatorio, vulnerándose así la tutela judicial que era debida a quienes han resultado condenados sin ser acusados y el derecho a la no indefensión. </w:t>
      </w:r>
    </w:p>
    <w:p w:rsidR="00FE0907" w:rsidRDefault="00FE0907" w:rsidP="00FE0907">
      <w:pPr>
        <w:pStyle w:val="TextoNormal"/>
      </w:pPr>
      <w:r>
        <w:t xml:space="preserve">Además, como consecuencia de esas condenas inconstitucionales, la Sentencia incurre en incongruencia positiva, dado que impone a los condenados la obligación civil de indemnizar a don José-Andrés González Amor,a doña Aurora Amor González y a don Francisco-Javier Casanueva Villaro cuando lo cierto es que los dos primeros dirigieron su acción civil contra otra persona (don Francisco-Javier Casanueva Villaro) y el propio Sr. Casanueva se limitó a solicitar la absolución. </w:t>
      </w:r>
    </w:p>
    <w:p w:rsidR="00FE0907" w:rsidRDefault="00FE0907" w:rsidP="00FE0907">
      <w:pPr>
        <w:pStyle w:val="TextoNormal"/>
      </w:pPr>
      <w:r>
        <w:t xml:space="preserve">En todo caso, esas incongruencias dimanan de la previa vulneración de las garantías constitucionales que con la Sentencia dictada en apelación se ha producido, al desconocerse la vinculante operatividad del principio acusatorio, llegándose a condenar a unas personas contra las que no se formuló la correspondiente acusación formal, ni en el acto del juicio, ni, en todo caso, durante la tramitación del recurso de apelación. </w:t>
      </w:r>
    </w:p>
    <w:p w:rsidR="00FE0907" w:rsidRDefault="00FE0907" w:rsidP="00FE0907">
      <w:pPr>
        <w:pStyle w:val="TextoNormal"/>
      </w:pPr>
      <w:r>
        <w:t xml:space="preserve">Finalmente, se señala que la estimación de la demanda de amparo debe traducirse en la anulación de la Sentencia impugnada, sin retrotraer las actuaciones, lo que supondrá la desaparición de la condena de quien recurre en amparo. No obstante, será también procedente que el Tribunal se plantee si esa declaración de parcial nulidad de la sentencia debe extender sus efectos restauradores a las condenas de los otros dos conductores que tampoco fueron objeto de acusación. </w:t>
      </w:r>
    </w:p>
    <w:p w:rsidR="00FE0907" w:rsidRDefault="00FE0907" w:rsidP="00FE0907">
      <w:pPr>
        <w:pStyle w:val="TextoNormal"/>
      </w:pPr>
      <w:r>
        <w:t>Mediante otrosí, se solicita la suspensión de la ejecución de la Sentencia al amparo del artículo 56 de la LOTC.</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16 de octubre de 1989 se concedió al demandante de amparo y al Ministerio Fiscal el plazo común de diez días para que alegaran lo que estimaren pertinente sobre la posible concurrencia de la causa de inadmisibilidad prevista en el art. 50.1c) de la LOTC, por carecer manifiestamente la demanda de contenido constitucional, trámite que fué cumplido con el resultado de solicitar, tanto el recurrente como el Ministerio Fis</w:t>
      </w:r>
      <w:r>
        <w:lastRenderedPageBreak/>
        <w:t xml:space="preserve">cal, la admisión a trámite del recurso, lo cual fué acordado por providencia de de 27 de noviembre de 1989. </w:t>
      </w:r>
    </w:p>
    <w:p w:rsidR="00FE0907" w:rsidRDefault="00FE0907" w:rsidP="00FE0907">
      <w:pPr>
        <w:pStyle w:val="TextoNormal"/>
      </w:pPr>
      <w:r>
        <w:t>Recibidas las actuaciones judiciales, se dictó providencia de 5 de marzo, por la que se declaró no haber lugar al personamiento del Procurador don Francisco Reina Guerra, en representación de "La Unión y el Fénix Español S.A.", y la de la Procuradora doña María Teresa Puente Méndez, en representación de don Santiago del Rio Huerta y de la "Mutua General de Seguros", por no hacerlo como coadyuvantes del recurrente, y se dió vista de las actuaciones a éste y al Ministerio Fiscal para que, en el plazo común de veinte días, formularan las alegaciones que estimasen pertinentes.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demandante de amparo suplicó que se tuviese por evacuado el trámite, limitándose a ratificar en su integridad el escrito de demanda con las puntualizaciones contenidas, como resumen del mismo, en el escrito de alegaciones. </w:t>
      </w:r>
    </w:p>
    <w:p w:rsidR="00FE0907" w:rsidRDefault="00FE0907" w:rsidP="00FE0907">
      <w:pPr>
        <w:pStyle w:val="TextoNormal"/>
      </w:pPr>
      <w:r>
        <w:t xml:space="preserve">El Ministerio Fiscal solicitó el otorgamiento del amparo, alegando sustancialmente que el principio acusatorio rige también en el juicio de faltas, incluso en la fase de acusación, según doctrina establecida, entre otras, en las SSTC 28/1984, 54/1985, 17/1989 y 53/1989, debiendo ser formulada de manera expresa, sin que sea admisible la acusación implícita; doctrina que aplicada al caso debatido conduce a la estimación de la demanda, puesto que en la apelación se condena al recurrente de amparo a pesar de no existir constancia alguna de que se hubiese formulado acusación contra el recurrente. </w:t>
      </w:r>
    </w:p>
    <w:p w:rsidR="00FE0907" w:rsidRDefault="00FE0907" w:rsidP="00FE0907">
      <w:pPr>
        <w:pStyle w:val="TextoNormal"/>
      </w:pPr>
      <w:r>
        <w:t xml:space="preserve">En cuanto a la petición de que el amparo se extienda a los otros dos conductores condenados que se encuentran en la misma situación que el recurrente, el Ministerio Fiscal se opone a ello por entender que lo dispuesto en el art. 903 de la Ley de Enjuiciamiento Criminal en relación con las sentencias de casación no es aplicable al recurso de amparo, cuyos efectos deben limitarse a proteger los derechos de quien promueve sin incluir a aquéllos que pudiéndo haberlo hecho, no lo hicieron como son esos otros dos condenados, cuya situación, por otro lado, a juicio del Ministerio Fiscal, no guarda identidad esencial con la del demandante. </w:t>
      </w:r>
    </w:p>
    <w:p w:rsidR="00FE0907" w:rsidRDefault="00FE0907" w:rsidP="00FE0907">
      <w:pPr>
        <w:pStyle w:val="TextoNormal"/>
      </w:pPr>
      <w:r>
        <w:t>Considera, por ello, el Ministerio Fiscal que el amparo debe quedar limitado a quien lo reclama, entendiendo que debe otorgarse, anulando la sentencia de apelación en lo que se refiere a la condena del demandante.</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10 de diciembre de 1991 se señaló para deliberación y votación el día 13 de enero de 1992, quedando concluída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demandante de amparo sostiene que la sentencia que recurre, dictada en apelación dimanante de un juicio de faltas por accidente de tráfico, ha vulnerado el principio acusatorio que consagra el art. 24 de la Constitución, puesto que condena al demandante y otros dos conductores como responsables de una falta de imprudencia simple con resultado de lesiones, tipificada en el art. 586.3º del Código Penal, sin que en contra de ellos se hubiese formulado acusación ni en la primera instancia, ni en la apelación.</w:t>
      </w:r>
    </w:p>
    <w:p w:rsidR="00FE0907" w:rsidRDefault="00FE0907" w:rsidP="00FE0907">
      <w:pPr>
        <w:pStyle w:val="TextoNormal"/>
      </w:pPr>
      <w:r>
        <w:t xml:space="preserve">Frente a dicha pretensión de amparo se plantean dos cuestiones: la de orden formal, consistente en determinar cuál es el ámbito subjetivo que procede reconocer el amparo y la de contenido sustantivo, relativa a establecer si, tal y como sostienen el recurrente y el </w:t>
      </w:r>
      <w:r>
        <w:lastRenderedPageBreak/>
        <w:t>Ministerio Fiscal, la Sentencia impugnada ha efectivamente vulnerado el derecho fundamental que se invoca.</w:t>
      </w:r>
    </w:p>
    <w:p w:rsidR="00FE0907" w:rsidRDefault="00FE0907" w:rsidP="00FE0907">
      <w:pPr>
        <w:pStyle w:val="TextoNormal"/>
      </w:pPr>
    </w:p>
    <w:p w:rsidR="00FE0907" w:rsidRDefault="00FE0907" w:rsidP="00FE0907">
      <w:pPr>
        <w:pStyle w:val="TextoNormal"/>
      </w:pPr>
      <w:r w:rsidRPr="00FE0907">
        <w:rPr>
          <w:rStyle w:val="NumeroAFNegritaCaracter"/>
        </w:rPr>
        <w:t>2</w:t>
      </w:r>
      <w:r>
        <w:t>. En el aspecto formal, alega el demandante que el amparo debe extenderse a los otros dos conductores condenados que se encuentran en la misma situación de falta de acusación y consiguiente indefensión que la del propio demandante, invocando a tal propósito que el art. 903 de la Ley de Enjuiciamiento Criminal dispone que la Sentencia estimatoria de la casación "aprovechará a los demás en lo que les fuera favorable, siempre que se encuentren en la misma situación que el recurrente y les sean aplicables los motivos alegados por los que se declara la casación de la Sentencia".</w:t>
      </w:r>
    </w:p>
    <w:p w:rsidR="00FE0907" w:rsidRDefault="00FE0907" w:rsidP="00FE0907">
      <w:pPr>
        <w:pStyle w:val="TextoNormal"/>
      </w:pPr>
      <w:r>
        <w:t>Esta alegación no es aceptable, debiendo, por el contrario, reducir el ámbito subjetivo del amparo al condenado que lo ha promovido, aceptando en este punto la tesis del Ministerios Fiscal, puesto que el recurso de amparo, de acuerdo con la naturaleza de derechos de la personalidad que tiene los fundamentales garantizados por la Constitución, no es una nueva instancia jurisdiccional (STC 62/1982), ni se configura como un recurso de casación (STC 21/1982), sino que es un instrumento procesal dotado de sustantividad propia, para cuya utilización sólo vienen legitimadas las personas directamente afectadas, entendiendo como tales (STC 123/1989) aquéllas que sean titulares del derecho subjetivo presuntamente vulnerado (STC 141/1985), que son los únicas autorizadas para impetrar la protección del propio derecho y no de derechos ajenos de los que no tengan la representación, ni hayan sido ejercidos por sus titulares; situación en la que se han colocado voluntariamente los otros dos condenados a los que el aquí demandante pretende tan indebidamente extender los efectos de la sentencia resolutoria de este amparo, caso de ser estimatoria, ya que ni siquiera han respondido positivamente al emplazamiento que se les hizo de acuerdo con lo previsto en el art.  51.2 de la LOTC, aunque fuese para formular las alegaciones que estimaren pertinentes a favor del otorgamiento del amparo, supuesto en el que tampoco, podrían beneficiarse de los efectos de nuestra Sentencia,en atención a que esa cualidad de personalisimo que tienen los derechos fundamentales impide que la falta de interposición de recurso de amparo propio sea subsanable por la via de coadyuvar con el demandante.</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resolución de la cuestión de fondo -violación del principio acusatorio en un juicio de faltas por accidente de tráfico- requiere recordar la constante doctrina que sobre la materia tiene declarado este Tribunal (entre otras, en las SSTC 54/1985, 84/1985, 41/1986, 163/1986, 57/1987, 17/1988, 168/1990, 47/1991 y 182/1991) y que, en síntesis, se apoya en las siguientes líneas directrices: a) los derechos de tutela judicial sin resultado de indefensión, a ser informado de la acusación y a un proceso con todas las garantías que reconoce el art. 24 de la Constitución conducen, en su consideración conjunta, a establecer que este precepto constitucional consagra el principio acusatorio en todos los procesos penales, incluído el juicio de faltas, conforme al cual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17/1988, 168/1990 y 47/1991, entre otras); b) la pretensión punitiva o acusación debe constar exteriorizada, sin que sea admisible la acusación tácita, si bien debe tenerse especial cuidado en no confundir la inexistencia de la acusación con la calificación jurídica errónea, que hayan efectuado el Ministerio Fiscal o </w:t>
      </w:r>
      <w:r>
        <w:lastRenderedPageBreak/>
        <w:t>las partes que intervienen en el proceso, puesto que el órgano judicial, si así la considera, no está vinculado por la tipificación o imputación que en ella se efectúe, (SSTC 163/1986 y 47/1991) y c) debe también distinguirse entre proceso por delito, en el que el principio acusatorio actúa más enérgicamente, imponiendo formas predeterminadas de acusación y proceso por falta, en el que tal principio debe compatibilizarse con los de oralidad, concentración y sumariedad, puesto que es un proceso en el que se pasa directamente de su iniciación al juicio oral, dónde se formulan las pretensiones y se practican las pruebas de manera mínimamente formalizada, lo cual hace que sea una clase de proceso penal muy poco apropiado para ser sometido a formas concretas de acusación, especialmente cuando versa sobre hechos que por su propia naturaleza presuponen confluencia de distintas posibles responsabilidades para cualquiera de las personas que aparezcan en ellos, como ocurre en el caso de los accidentes de tráfico, en cuyo supuesto las responsabilidades posibles de los que han  intervenido en el accidente se entrecruzan de tan íntima manera que cada uno de ellos ostenta la doble condición de acusador y acusado. (STC 182/1991. Ello es así, porque el juicio tiene por objeto decidir cuál ha sido el culpable del accidente, sin que ninguno de los implicados en el mismo pueda desconocer que, dejando a salvo los supuestos de caso fortuíto y fuerza mayor, la absolución de unos conlleva normalmente la responsabilidad de alguno de los otros que hayan intervenido en el accidente.</w:t>
      </w:r>
    </w:p>
    <w:p w:rsidR="00FE0907" w:rsidRDefault="00FE0907" w:rsidP="00FE0907">
      <w:pPr>
        <w:pStyle w:val="TextoNormal"/>
      </w:pPr>
      <w:r>
        <w:t>La doctrina expuesta significa, por lo tanto, que para determinar si en un juicio de faltas por accidente de circulación se ha o no satisfecho el principio acusatorio es imprescindible ponderar las circunstancias concretas que concurran en cada caso, comprobando cuidadosamente cuáles han sido los términos en que se desarrolló el debate procesal, ya que, según se deja dicho, la identificación de las personas responsables del accidente formulada en el juicio no impide al Juez o Tribunal rechazar tal identificación y, en su lugar, atribuirla a otros de los que han intervenido en el hecho denunciado, si mediante una valoración jurídica distinta estima que ésta es más acorde con los hechos probados y la legalidad penal.</w:t>
      </w:r>
    </w:p>
    <w:p w:rsidR="00FE0907" w:rsidRDefault="00FE0907" w:rsidP="00FE0907">
      <w:pPr>
        <w:pStyle w:val="TextoNormal"/>
      </w:pPr>
      <w:r>
        <w:t>Tales consideraciones nos conducen a entender que, al menos cuando se trate de juicio de faltas por accidente de tráfico, el concepto de ausencia de acusación y acusación implícita, que nuestra doctrina declara ineficaz para fundamentar una sentencia condenatoria, debe matizarse en el sentido de limitarlo a los supuestos en que la condena se produzca de manera inesperada y sorprendente para el condenado por no ser razonablemente previsible que, pudiera suponer que él también venía implicado en esa responsabilidad, atendiendo siempre a la forma en que se produce el debate sobre quien fué el responsable del accidente y cuáles fueron las circunstancias concurrentes en el hecho denunciado.</w:t>
      </w:r>
    </w:p>
    <w:p w:rsidR="00FE0907" w:rsidRDefault="00FE0907" w:rsidP="00FE0907">
      <w:pPr>
        <w:pStyle w:val="TextoNormal"/>
      </w:pPr>
    </w:p>
    <w:p w:rsidR="00FE0907" w:rsidRDefault="00FE0907" w:rsidP="00FE0907">
      <w:pPr>
        <w:pStyle w:val="TextoNormal"/>
      </w:pPr>
      <w:r w:rsidRPr="00FE0907">
        <w:rPr>
          <w:rStyle w:val="NumeroAFNegritaCaracter"/>
        </w:rPr>
        <w:t>4</w:t>
      </w:r>
      <w:r>
        <w:t>. La aplicación de la anterior doctrina al caso aquí debatido conduce a estimar , tal y como se denuncia en la demanda de amparo y sostiene el Ministerio Fiscal, que la resolución judicial recurrida ha vulnerado el principio acusatorio.</w:t>
      </w:r>
    </w:p>
    <w:p w:rsidR="00FE0907" w:rsidRDefault="00FE0907" w:rsidP="00FE0907">
      <w:pPr>
        <w:pStyle w:val="TextoNormal"/>
      </w:pPr>
      <w:r>
        <w:t>En efecto, se trata de un supuesto en el que concurren dos accidentes relacionados entre sí, pero claramente diferenciables: la colisión sucesiva de tres vehículos que circulaban en la misma dirección, el primero de ellos conducido por el solicitante de amparo, y el choque frontal de una furgoneta con un turismo, que se produjo al invadir aquélla la parte izquierda de la calzada por estar ocupada la derecha por los tres vehículos del primer accidente, que habían quedado allí estacionados después de producirse éste.</w:t>
      </w:r>
    </w:p>
    <w:p w:rsidR="00FE0907" w:rsidRDefault="00FE0907" w:rsidP="00FE0907">
      <w:pPr>
        <w:pStyle w:val="TextoNormal"/>
      </w:pPr>
      <w:r>
        <w:t xml:space="preserve">En la primera instancia, segun las respectivas alegaciones y peticiones formuladas en el acto del juicio por los conductores implicados en los dos accidentes y por sus respectivas compañías aseguradoras, se formularon tres acusaciones, dirigidas las dos primeras contra </w:t>
      </w:r>
      <w:r>
        <w:lastRenderedPageBreak/>
        <w:t>los conductores segundo y tercero del primer accidente, y la otra contra el conductor de la furgoneta, sin que en ningún momento, ni por ninguna de las partes intervinientes, se acusara o cuestionara, de algún modo, la responsabilidad del demandante de amparo.</w:t>
      </w:r>
    </w:p>
    <w:p w:rsidR="00FE0907" w:rsidRDefault="00FE0907" w:rsidP="00FE0907">
      <w:pPr>
        <w:pStyle w:val="TextoNormal"/>
      </w:pPr>
      <w:r>
        <w:t>La Sentencia de primera instancia absolvió al segundo de los conductores -don Santiago del Rio Huerta- y condenó al tercer conductor -don Alejandro Agustín Calleja Lucas- y al de la furgoneta -don Francisco-Javier Casanueva Villaro-.  Contra esta sentencia, aparte deuna apelación interpuesta con fines de obtener una mayor indemnización, se promovió apelación por el condenado, don Francisco Javier Casanueva, que se limitó, en el orden penal, a pedir su absolución, sin que ninguna otra parte, incluído el otro condenado, don Alejandro Agustín Calleja o el Ministerio Fiscal, formulara petición que no fuera la confirmación de la sentencia apelada.</w:t>
      </w:r>
    </w:p>
    <w:p w:rsidR="00FE0907" w:rsidRDefault="00FE0907" w:rsidP="00FE0907">
      <w:pPr>
        <w:pStyle w:val="TextoNormal"/>
      </w:pPr>
      <w:r>
        <w:t>Por consiguiente, en ninguna de las dos instancias, no sólo no existió acusación contra el demandante, sino que ni siquiera, de los términos del debate procesal, cabe extraer o apreciar que existiera elemento incriminatorio de clase alguna dirigido contra el mismo, que permitiera al Juez de segunda instancia condenarle, ya que la apelación, se configuró totalmente al margen de toda controversia expresa o implícita sobre la posible culpabilidad del aquí actor, de suerte que no era razonable prever que pudiera resultar condenado, produciéndose, por lo tanto, su condena con clara vulneración del principio acusatorio que rige el proceso penal.</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virtud de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por don Máximo Fernández González y, en su consecuencia,</w:t>
      </w:r>
    </w:p>
    <w:p w:rsidR="00FE0907" w:rsidRDefault="00FE0907" w:rsidP="00FE0907">
      <w:pPr>
        <w:pStyle w:val="TextoNormal"/>
      </w:pPr>
      <w:r>
        <w:t>1º anular la Sentencia del Juzgado de Instrucción de Reinosa de 5 de Abril de 1989, dictada en el recurso de apelación 72/88, en cuanto condena a dicho solicitante de amparo,</w:t>
      </w:r>
    </w:p>
    <w:p w:rsidR="00FE0907" w:rsidRDefault="00FE0907" w:rsidP="00FE0907">
      <w:pPr>
        <w:pStyle w:val="TextoNormal"/>
      </w:pPr>
      <w:r>
        <w:t>2º reconocer su derecho a no ser condenado sin previa acusación y</w:t>
      </w:r>
    </w:p>
    <w:p w:rsidR="00FE0907" w:rsidRDefault="00FE0907" w:rsidP="00FE0907">
      <w:pPr>
        <w:pStyle w:val="TextoNormal"/>
      </w:pPr>
      <w:r>
        <w:t>3º restablecerlo en la integridad de su derecho mediante la anulación más arriba acordada.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veintisiete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5" w:name="SENTENCIA_1992_12"/>
      <w:r>
        <w:lastRenderedPageBreak/>
        <w:t>SENTENCIA 12/1992, de 27 de enero de 1992</w:t>
      </w:r>
    </w:p>
    <w:bookmarkEnd w:id="15"/>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38, de 13 de febrero de 1992)</w:t>
      </w:r>
    </w:p>
    <w:p w:rsidR="00FE0907" w:rsidRDefault="00FE0907" w:rsidP="00FE0907">
      <w:pPr>
        <w:pStyle w:val="TtuloBOE"/>
      </w:pPr>
    </w:p>
    <w:p w:rsidR="00FE0907" w:rsidRDefault="00FE0907" w:rsidP="00FE0907">
      <w:pPr>
        <w:pStyle w:val="SntesisDescriptiva"/>
      </w:pPr>
      <w:r>
        <w:t>ECLI:ES:TC:1992:12</w:t>
      </w:r>
    </w:p>
    <w:p w:rsidR="00FE0907" w:rsidRDefault="00FE0907" w:rsidP="00FE0907">
      <w:pPr>
        <w:pStyle w:val="SntesisDescriptiva"/>
      </w:pPr>
    </w:p>
    <w:p w:rsidR="00FE0907" w:rsidRDefault="00FE0907" w:rsidP="00FE0907">
      <w:pPr>
        <w:pStyle w:val="SntesisDescriptiva"/>
      </w:pPr>
      <w:r>
        <w:t>Recurso de amparo 965/1989. Contra Sentencia del Juzgado de Primera Instancia de Laredo, sobre retracto, y la resolutoria en apelación de la Audiencia Provincial de Burgos.</w:t>
      </w:r>
    </w:p>
    <w:p w:rsidR="00FE0907" w:rsidRDefault="00FE0907" w:rsidP="00FE0907">
      <w:pPr>
        <w:pStyle w:val="SntesisDescriptiva"/>
      </w:pPr>
    </w:p>
    <w:p w:rsidR="00FE0907" w:rsidRDefault="00FE0907" w:rsidP="00FE0907">
      <w:pPr>
        <w:pStyle w:val="SntesisAnaltica"/>
      </w:pPr>
      <w:r>
        <w:t>Vulneración del derecho a la tutela judicial efectiva: interpretación rigurosa y desproporcionada del requisito de la consignación previa para recurrir</w:t>
      </w:r>
    </w:p>
    <w:p w:rsidR="00FE0907" w:rsidRDefault="00FE0907" w:rsidP="00FE0907">
      <w:pPr>
        <w:pStyle w:val="SntesisAnaltica"/>
      </w:pPr>
    </w:p>
    <w:p w:rsidR="00FE0907" w:rsidRDefault="00FE0907" w:rsidP="00FE0907">
      <w:pPr>
        <w:pStyle w:val="Extracto"/>
      </w:pPr>
      <w:r>
        <w:t>1.</w:t>
      </w:r>
      <w:r>
        <w:tab/>
        <w:t>Se reitera doctrina anterior en torno al contenido y regulación del derecho a los recursos, recordando que los Jueces y Tribunales deben ponderar la entidad real de la irregularidad advertida en relación con la gravedad de la sanción de cierre del proceso y, además, conceder a la parte, en la medida de lo posible, la posibilidad de subsanar la irregularidad cometida [F.J. 2].</w:t>
      </w:r>
    </w:p>
    <w:p w:rsidR="00FE0907" w:rsidRDefault="00FE0907" w:rsidP="00FE0907">
      <w:pPr>
        <w:pStyle w:val="Extracto"/>
      </w:pPr>
    </w:p>
    <w:p w:rsidR="00FE0907" w:rsidRDefault="00FE0907" w:rsidP="00FE0907">
      <w:pPr>
        <w:pStyle w:val="Extracto"/>
      </w:pPr>
      <w:r>
        <w:t>2.</w:t>
      </w:r>
      <w:r>
        <w:tab/>
        <w:t>Es manifiesto que la finalidad a que responde la exigencia de consignación del art. 1.618.2 de la L.E.C. justifica dicho requisito y debe, en consecuencia, considerarse limitación constitucional legítima del derecho a la tutela judicial [F.J. 4].</w:t>
      </w:r>
    </w:p>
    <w:p w:rsidR="00FE0907" w:rsidRDefault="00FE0907" w:rsidP="00FE0907">
      <w:pPr>
        <w:pStyle w:val="Extracto"/>
      </w:pPr>
    </w:p>
    <w:p w:rsidR="00FE0907" w:rsidRDefault="00FE0907" w:rsidP="00FE0907">
      <w:pPr>
        <w:pStyle w:val="Extracto"/>
      </w:pPr>
      <w:r>
        <w:t>3.</w:t>
      </w:r>
      <w:r>
        <w:tab/>
        <w:t>Por lo que se refiere a la consignación en cheque bancario del precio conocido en el retracto de comuneros, se recuerda lo dicho en la STC 62/1987, afirmando que la finalidad carece en este supuesto de la urgencia que conlleva la consignación de las rentas arrendaticias, por ser más lejano el momento de hacer efectivo el desembolso de las cantidades consignadas o afianzadas de consignación [F.J. 5].</w:t>
      </w:r>
    </w:p>
    <w:p w:rsidR="00FE0907" w:rsidRDefault="00FE0907" w:rsidP="00FE0907">
      <w:pPr>
        <w:pStyle w:val="Extracto"/>
      </w:pPr>
    </w:p>
    <w:p w:rsidR="00FE0907" w:rsidRDefault="00FE0907" w:rsidP="00FE0907">
      <w:pPr>
        <w:pStyle w:val="Extracto"/>
      </w:pPr>
      <w:r>
        <w:t>4.</w:t>
      </w:r>
      <w:r>
        <w:tab/>
        <w:t>Se vulnera el derecho de defensa al incurrirse en la incongruencia que supone resolver de oficio, sin previa audiencia, y de manera sorpresiva, una cuestión no suscitada por las partes, impidiendo con ello el derecho de éstas a ser oídas antes de procederse a su resolución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965/89, promovido por doña Sabina Mallaviabarrena Ortiz, representada por el Procurador de los Tribunales don Enrique Hernández Tabernilla y asistida de Letrado, contra la Sentencia del Juzgado de Primera Instancia de Laredo, sobre retracto y la de la Sección Segunda de la Audiencia Provincial de Burgos resolutoria de la apelación. Han intervenido el Ministerio Fiscal y don Manuel López Abedul y doña Alicia Magadan Cano, representados por la Procuradora de los Tribunales doña Isabel Soberón García de Enterría y asistidos de Letrado. Ha sido Ponente el Magistrado don Eugenio Díaz Eimil,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Doña Sabina Mallaviabarrena Ortiz, mediante escrito presentado por el Procurador don Enrique Hernández Tabernilla el 24 de mayo de 1989, presentó en nombre propio y en el de doña Fidela Rozas Mallaviabarrena y don Severiano Rozas Mallaviabarrena, demanda de amparo, que fundamenta en los siguientes hechos: </w:t>
      </w:r>
    </w:p>
    <w:p w:rsidR="00FE0907" w:rsidRDefault="00FE0907" w:rsidP="00FE0907">
      <w:pPr>
        <w:pStyle w:val="TextoNormal"/>
      </w:pPr>
      <w:r>
        <w:t xml:space="preserve">a) La solicitante de amparo presentó el 19 de febrero de 1986 -último día del plazo de nueve establecido por el art. 1.524 del Código Civil-, ante el Juzgado de Primera Instancia de Laredo, demanda de retracto de comuneros, contra el arrendatario adquirente de determinadas fincas, efectuando en la misma fecha consignación por importe de 2.550.000 pesetas mediante cheque confirmado por entidad bancaria. El órgano judicial admitió la demanda y ordenó el ingreso de la cantidad consignada en la cuenta correspondiente al día siguiente, 20 de mayo, en el que fue "cobrado y hecho efectivo por el Juzgado". </w:t>
      </w:r>
    </w:p>
    <w:p w:rsidR="00FE0907" w:rsidRDefault="00FE0907" w:rsidP="00FE0907">
      <w:pPr>
        <w:pStyle w:val="TextoNormal"/>
      </w:pPr>
      <w:r>
        <w:t xml:space="preserve">b) La demanda de retracto fue estimada inicialmente por Sentencia de dicho Juzgado de 10 de septiembre de 1987. </w:t>
      </w:r>
    </w:p>
    <w:p w:rsidR="00FE0907" w:rsidRDefault="00FE0907" w:rsidP="00FE0907">
      <w:pPr>
        <w:pStyle w:val="TextoNormal"/>
      </w:pPr>
      <w:r>
        <w:t>Interpuesto por la parte demandada recurso de apelación, a la que se adhirió la solicitante de amparo, la Audiencia Provincial de Burgos estimó la apelación y desestimó la adhesión por Sentencia de 4 de mayo de 1989, revocando la Sentencia apelada y declarando no haber lugar a la demanda de retracto legal de comuneros. La Sala consideró, en aplicación del art. 1.170 del Código Civil, que la entrega del cheque no pudo equipararse a la consignación del precio, pues era precisa moneda líquida o efectiva para que produjera los efectos liberatorios del pago, por lo que si bien la demanda fue presentada dentro de plazo, no se efectuó dentro del mismo la consignación del precio y los gastos, por lo que procedía declarar extemporáneamente ejercitada la acción de retracto.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En la demanda de amparo se entiende producida la vulneración del derecho a la tutela judicial efectiva, e infringido el art. 24.1 C.E., por haber interpretado la Audiencia Provincial el requisito de la consignación del precio "de una forma rigurosa y excesivamente formalista", impidiendo "una Sentencia sobre el fondo de la cuestión planteada y ya resuelta favorablemente en la anterior instancia". Y se entiende asimismo haberse producido indefensión, e infringido el art. 24.1 C.E., pues, "admitida por el Juzgado de Primera Instancia y no recurrida por ninguna de las partes" la consignación del precio, ésta es "inatacable, salvo los casos de nulidad de pleno Derecho que no se dan en el presente caso ni tampoco lo declaró el Tribunal", el cual sin embargo habría resuelto "mediante Sentencia, y sin posibilidad de recurso por razón de la cuantía, la desestimación de la demanda", "sin </w:t>
      </w:r>
      <w:r>
        <w:lastRenderedPageBreak/>
        <w:t xml:space="preserve">audiencia alguna de las partes e infringiendo el principio de rogación", por lo que " se impide el acceso a la jurisdicción". </w:t>
      </w:r>
    </w:p>
    <w:p w:rsidR="00FE0907" w:rsidRDefault="00FE0907" w:rsidP="00FE0907">
      <w:pPr>
        <w:pStyle w:val="TextoNormal"/>
      </w:pPr>
      <w:r>
        <w:t xml:space="preserve">Se cita doctrina del Tribunal Constitucional, principalmente la STC 62/1989, sobre consignación mediante cheque por el arrendatario a fin de admisión de un recurso. </w:t>
      </w:r>
    </w:p>
    <w:p w:rsidR="00FE0907" w:rsidRDefault="00FE0907" w:rsidP="00FE0907">
      <w:pPr>
        <w:pStyle w:val="TextoNormal"/>
      </w:pPr>
      <w:r>
        <w:t>Se solicita que se reconozca el derecho de la demandante a la tutela judicial efectiva sin indefensión, "lo que implica el derecho a resolver sobre el fondo de la cuestión por haber cumplido con el requisito formal de la consignación del precio de las fincas retraídas mediante la presentación, dentro del plazo legal, de talón bancario conformado admitido por el Juzgado competente y sin oposición de la parte demandada", y en consecuencia se declare la nulidad de la Sentencia de la Audiencia Provincial, retrotrayendo las actuaciones al momento inmediatamente anterior del de ser dictada dicha Sentencia.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día 12 de enero de 1990, la Procuradora doña Isabel Soberón García de Enterría, en nombre y representación de don Manuel López Abedul y doña Alicia Magadán Cano, presentó escrito solicitando se le tenga por comparecida en tiempo y forma y que, en virtud de las alegaciones que formula, se desestime el amparo por incumplimiento del requisito previsto en el art. 44.1c) de la LOTC y, en su defecto, por no haberse vulnerado derecho fundamental alguno. En el cuerpo de dicho escrito se expusieron las siguientes alegaciones: </w:t>
      </w:r>
    </w:p>
    <w:p w:rsidR="00FE0907" w:rsidRDefault="00FE0907" w:rsidP="00FE0907">
      <w:pPr>
        <w:pStyle w:val="TextoNormal"/>
      </w:pPr>
      <w:r>
        <w:t xml:space="preserve">a) inadmisibilidad del recurso de amparo por no haberse invocado en la vía judicial previa el derecho fundamental invocado, limitándose en el acto de la vista de la apelación a referirse a la cuestión de la consignación sin hacer mención alguna del art. 24.1 de la C.E. </w:t>
      </w:r>
    </w:p>
    <w:p w:rsidR="00FE0907" w:rsidRDefault="00FE0907" w:rsidP="00FE0907">
      <w:pPr>
        <w:pStyle w:val="TextoNormal"/>
      </w:pPr>
      <w:r>
        <w:t xml:space="preserve">b) la consignación no es un requisito meramente formal, puesto que afecta a la cuestión de fondo, siendo un requisito esencial para el ejercicio de retracto arrendaticio (sic), que es apreciable de oficio por el Juez. </w:t>
      </w:r>
    </w:p>
    <w:p w:rsidR="00FE0907" w:rsidRDefault="00FE0907" w:rsidP="00FE0907">
      <w:pPr>
        <w:pStyle w:val="TextoNormal"/>
      </w:pPr>
      <w:r>
        <w:t xml:space="preserve">c) insiste en el carácter esencial del requisito, reiterando que la apreciación de la falta de consignación no afecta al principio de justicia rogada y </w:t>
      </w:r>
    </w:p>
    <w:p w:rsidR="00FE0907" w:rsidRDefault="00FE0907" w:rsidP="00FE0907">
      <w:pPr>
        <w:pStyle w:val="TextoNormal"/>
      </w:pPr>
      <w:r>
        <w:t>d) la resolución judicial no vulnera el derecho de defensa, ni el de tutela judicial, ya que, en otro caso, habría que entenderlos vulnerados siempre que fuese contraria a los propios intereses.</w:t>
      </w:r>
    </w:p>
    <w:p w:rsidR="00FE0907" w:rsidRDefault="00FE0907" w:rsidP="00FE0907">
      <w:pPr>
        <w:pStyle w:val="TextoNormal"/>
      </w:pPr>
    </w:p>
    <w:p w:rsidR="00FE0907" w:rsidRDefault="00FE0907" w:rsidP="00FE0907">
      <w:pPr>
        <w:pStyle w:val="TextoNormal"/>
      </w:pPr>
      <w:r w:rsidRPr="00FE0907">
        <w:rPr>
          <w:rStyle w:val="NumeroAFNegritaCaracter"/>
        </w:rPr>
        <w:t>4</w:t>
      </w:r>
      <w:r>
        <w:t>. El 16 de octubre se dictó providencia admitiendo a trámite el recurso y, una vez recibidas las actuaciones judiciales, se acordó por providencia de 19 de febrero de 1990 tener por personados y parte en el procedimiento a don Manuel López Abedul y doña Alicia Magadán Cano, representados por la Procuradora doña Isabel Soberón García de Enterría, y dar vista de dichas actuaciones a las partes personadas y al Ministerio Fiscal por plazo común de veinte días, al objeto de que presenten las alegaciones que estimen pertinentes.</w:t>
      </w:r>
    </w:p>
    <w:p w:rsidR="00FE0907" w:rsidRDefault="00FE0907" w:rsidP="00FE0907">
      <w:pPr>
        <w:pStyle w:val="TextoNormal"/>
      </w:pPr>
    </w:p>
    <w:p w:rsidR="00FE0907" w:rsidRDefault="00FE0907" w:rsidP="00FE0907">
      <w:pPr>
        <w:pStyle w:val="TextoNormal"/>
      </w:pPr>
      <w:r w:rsidRPr="00FE0907">
        <w:rPr>
          <w:rStyle w:val="NumeroAFNegritaCaracter"/>
        </w:rPr>
        <w:t>5</w:t>
      </w:r>
      <w:r>
        <w:t>. La demandante se remitió a los hechos y fundamentos de su demanda, invocando de nuevo el derecho a la tutela judicial reconocido en el art. 24.1 de la Constitución, añadiendo que la finalidad de la exigencia legal de la consignación no se vio alterada, ni menoscabada, puesto que se cumplió diligentemente poniendo un talón conformado a disposición del Juzgado, que pudo comprobarlo y hacerlo efectivo al día siguiente; que el Juez lo aceptó sin reparo alguno, dando curso a la demanda y que, aun en el supuesto de entenderse que existió una irregularidad formal,la sanción de pérdida de la acción es desproporcio</w:t>
      </w:r>
      <w:r>
        <w:lastRenderedPageBreak/>
        <w:t>nada y rigurosa. Suplicó que se dicte Sentencia de conformidad con el petitum de la demanda.</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Los demandados reprodujeron íntegramente las alegaciones formuladas en el escrito de apelación, añadiendo que, si no se hubiese estimado la defectuosa consignación, se tendría que haber desestimado la pretensión como consecuencia de una correcta interpretación de los arts. 94 de la Ley de Arrendamientos Rústicos y 1.522 del Código Civil, según los cuales el retracto arrendaticio es preferente al de los comuneros, reconociéndolo así incluso la Sentencia de primera instancia, aunque estime la demanda por entender, erróneamente, que los demandados carecen de la condición de profesionales de la agricultura,siendo que se dedican preferentemente a actividades agrícolas con perfecto encuadramiento del art. 15 de la Ley de Arrendamientos Rústicos. </w:t>
      </w:r>
    </w:p>
    <w:p w:rsidR="00FE0907" w:rsidRDefault="00FE0907" w:rsidP="00FE0907">
      <w:pPr>
        <w:pStyle w:val="TextoNormal"/>
      </w:pPr>
      <w:r>
        <w:t>Suplicaron que se desestime el recurso de acuerdo con lo pedido en el anterior escrito, declarando que no se ha vulnerado ningún derecho fundamental susceptible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El Fiscal interesa Sentencia desestimatoria del amparo con fundamento en las siguientes alegaciones: a) la cuestión que suscita este recurso de amparo se circunscribe a determinar si la interpretación que hace el órgano judicial del art. 1.618 de la L.E.C, en relación con los arts. 1.518 y 1.524 del Código Civil, en cuanto a la exigencia de reembolso del precio para poder ejercitar el derecho a retraer, mediante la consignación, vulnera el derecho fundamental a la tutela judicial efectiva. O, más concretamente, determinar si ese derecho fundamental se vulnera por la resolución judicial que afirma no haberse cumplido con el presupuesto procesal de consignar el precio y gastos de la venta con la entrega por el importe de éstos de un cheque o talón bancario conformado; b) el derecho de retracto, como una manifestación de los derechos de adquisición preferente, sea voluntario o legal, constituye un derecho potestativo o de formación y modificación jurídica, requiere, como requisito previo o simultáneo a su ejercicio, el reembolso del precio de la venta, los gastos del contrato y cualquier otro pago legítimo, según previene el art. 1.518 del Código Civil. Por lo tanto, el reembolso es requisito necesario, en todo caso, para ejercitar el derecho de retracto, y deberá hacerse, tratándose como en este caso de un supuesto de retracto legal, dentro del plazo que establece el art. 1.524. La declaración de voluntad de retraer por quien se cree asistido de ese derecho potestativo sin hacer el reembolso simultáneo en el plazo marcado, carece de eficacia jurídica, al menos para que se entienda válidamente ejercitado el derecho de retracto. Pero el reembolso del precio y gastos o, en su caso, la consignación, no solo tiene carácter sustantivo, sino también procesal. El art. 1.618, 2º de la L.E.C configura la consignación como requisito previo o presupuesto procesal necesario para que pueda darse curso a la demanda de retracto. Ese mismo carácter tiene la exigencia de que dicha demanda se interponga dentro de nueve días contados desde el otorgamiento de la escritura de venta, plazo que, a efectos de su cómputo, deberá tenerse en cuenta lo dispuesto en el art. 1.524 del Código Civil;c) la Audiencia revocó la Sentencia del Juzgado por entender que los demandantes ejercitaron la pretensión del retracto extemporáneamente, fundándose en que si bien la demanda se presentó dentro del plazo legal de caducidad de nueve días, no se cumplieron en cambio las disposiciones del Código Civil en orden a la consignación del precio y gastos, porque de acuerdo con la jurisprudencia, la entrega de un cheque o talón bancario no puede equipararse a la consignación del precio, ya que ha de hacerse en dinero, puesto que los documentos bancarios solo producen los efectos del pago cuando han sido realizados por cuanto que sólo representan el derecho a obtener dinero, pero no lo son por sí mismos;d) ciertamente, es doctrina conso</w:t>
      </w:r>
      <w:r>
        <w:lastRenderedPageBreak/>
        <w:t xml:space="preserve">lidada de ese Tribunal contenida en numerosas resoluciones de innecesaria cita, que los requisitos formales no son valores autónomos que tengan sustantividad propia, sino que solo sirven en la medida en que son instrumentos para conseguir una finalidad propia; los trámites formales por ello no deben ser exigencias cuyo incumplimiento presente siempre el mismo valor obstativo que operen con independencia del grado de inobservancia del requisito, su trascendencia práctica o las circunstancias concurrentes en el caso. Aunque las formas o requisitos procesales cumplan un papel de capital importancia para la ordenación del procedimiento, no toda irregularidad formal puede convertirse en un obstáculo insalvable para la prosecución del proceso. Repudiase, por tanto, los formalismos calificados de enervantes y contrarios al espíritu y finalidad de la norma. La misma doctrina establece que la interpretación de esos requisitos formales ha de hacerse de forma restrictiva y en el sentido más favorable a la satisfacción del derecho, porque de otro modo el derecho fundamental se vería restringido y anulado, reconociendo además el principio de subsanación de dichos defectos formales, como resulta de los arts. 11 y 243 de la LOPJ. </w:t>
      </w:r>
    </w:p>
    <w:p w:rsidR="00FE0907" w:rsidRDefault="00FE0907" w:rsidP="00FE0907">
      <w:pPr>
        <w:pStyle w:val="TextoNormal"/>
      </w:pPr>
      <w:r>
        <w:t xml:space="preserve">Por ello, en relación al requisito de consignación de depósitos para recurrir, ese Tribunal ha declarado que ha de ser interpretado ponderando las circunstancias concretas del caso para evitar una mecánica aplicación del mismo que lo convierta en un obstáculo formalista y desproporcionado. Y en las numerosas ocasiones en que también se ha pronunciado sobre la exigencia del art. 148.2 de la LAU, en cuanto a la necesidad de consignar las rentas vencidas para interponer recurso, lo ha hecho en sentido contrario a una interpretación formalísta y rigurosa del precepto por entender que debe prevalecer una interpretación teleológica o finalista de la norma que tenga presente el sentido de las formas en el proceso y no convierta su incumplimiento involuntario en un obstáculo insalvable, declarando además la falta como subsanable y reconocida la validez de la consignación de las rentas vencidas hecha por medio de cheque bancario en STC 62/1989; d) haciendo aplicación de la anterior doctrina, debe considerarse que la exigencia de consignar el precio de venta y los gastos en el retracto no tiene solo naturaleza procesal, sino también sustantiva. Es, en efecto, un presupuesto necesario para la admisión de la demanda, o "para que pueda darse curso a la demanda", según expresa el art. 1.618 de la L.E.C, pero es además la consignación, como sustantiva de la obligación de reembolso, un elemento esencial del derecho de retracto, a fin de que el derecho subjetivo que entraña pueda hacerse valer bien"erga omnes", frente a todos, si está configurado como derecho real, o bien contra persona determinada (el dueño o adquirente de la cosa), si se configuró como derecho personal o de crédito y sólo cumpliendo esta obligación el retrayente adquiere el derecho a subrogarse en el lugar del adquirente, como dice el art. 1.521 de dicho Código, o mejor, a colocarse en la posición del comprador. </w:t>
      </w:r>
    </w:p>
    <w:p w:rsidR="00FE0907" w:rsidRDefault="00FE0907" w:rsidP="00FE0907">
      <w:pPr>
        <w:pStyle w:val="TextoNormal"/>
      </w:pPr>
      <w:r>
        <w:t xml:space="preserve">Incorporado, pues, el deber de reembolsar o consignar a la formación del derecho de retracto, a su contenido sustantivo, es claro que no pueden aplicarse al cumplimiento de ese presupuesto la doctrina sobre los requisitos formales de los actos procesales, ni las normas relativas a la subsanación de los defectos de aquellos actos. Tampoco admite esa exigencia una interpretación extensiva que puede conducir a lesionar los intereses legítimos de una de las partes que intervienen en la relación jurídica de retracto, como es el adquiriente de la cosa y frente al que se ejercita la pretensión de retracto. Es más, lo admisible es que el retracto legal como un límite del derecho de propiedad referido al poder de enajenar o disponer libremente de la cosa, deba interpretarse restrictivamente, así como los elementos constitutivos que lo conforman. </w:t>
      </w:r>
    </w:p>
    <w:p w:rsidR="00FE0907" w:rsidRDefault="00FE0907" w:rsidP="00FE0907">
      <w:pPr>
        <w:pStyle w:val="TextoNormal"/>
      </w:pPr>
      <w:r>
        <w:t>A este criterio responde la Sentencia impugnada cuando interpreta incumplido el deber de consignar para ejercitar el derecho de retracto con la entrega de un cheque por el impor</w:t>
      </w:r>
      <w:r>
        <w:lastRenderedPageBreak/>
        <w:t xml:space="preserve">te del precio de venta y los gastos. Para ello se apoya en la interpretación del párrafo segundo del art. 1.170 del Código Civil y en la jurisprudencia de la Sala Primera del Tribunal Supremo. Esta, en efecto, ha declarado que la entrega de un cheque o una letra de cambio, y caso idéntico el talón bancario, no puede equipararse a la consignación del precio, ya que para surtir efectos liberatorios de la obligación de reembolso que impone el art. 1.518 del Código Civil, ha de hacerse en dinero, pues los documentos bancarios solo producen los efectos del pago cuando hubieren sido realizados (STS 24 de febrero de 1973 y las que en ella se citan). Es así porque el cheque no es, en sí mismo, dinero, ya que con arreglo al art. 1.170 del Código Civil, no es medio de pago con pleno poder liberatorio, como es la moneda y concretamente los billetes del Banco emisor, en virtud de lo dispuesto en la Ley de 9 de noviembre de 1939. </w:t>
      </w:r>
    </w:p>
    <w:p w:rsidR="00FE0907" w:rsidRDefault="00FE0907" w:rsidP="00FE0907">
      <w:pPr>
        <w:pStyle w:val="TextoNormal"/>
      </w:pPr>
      <w:r>
        <w:t>El llamado dinero bancario, constituido por diversas clases de documentos en los que se contienen órdenes de pago respecto del dinero que previamente ha sido depositado o se ha obtenido el derecho a disponer de él, mediante apertura de cuenta corriente, no es identificable con el precio de venta, que, salvo cuando las partes hayan convenido que se abone en signos representativos del dinero, debe abonarse en la moneda de curso legal con poder liberatorio, atribuido hoy a los billetes del Banco emisor. El cheque, aunque sea conformado, es un documento mercantil que incorpora un crédito que precisa ser realizado. Y el reembolso o, en su caso, la consignación referida al ejercicio del derecho de retracto, supone una prestación que consiste en la entrega de una suma de dinero importe del precio de la cosa objeto de retracto y de los gastos, prestación en la que el dinero está "in obligatione" y también "in solutione" como tal cosa fungible; y e)aún admitiendo que el reembolso o consignación mediante entrega de cheque conformado tuviera eficacia jurídica, la extemporaneidad del ejercicio de la acción de retracto se infiere de los datos relativos a la fecha de presentación de la demanda y al ingreso del cheque en la cuenta bancaria para obtener su pago. La demanda y el cheque se presentaron en el Juzgado el 19 de febrero, último día del plazo del art. 1524 del Código Civil. El cheque se ingresó en la cuenta provisional de consignaciones en el Banco Cantábrico, sucursal de Laredo, el siguiente día 20 de febrero. Es decir, el reembolso o la consignación en la hipótesis de que el cheque se realizara el día de su ingreso en cuenta se efectuó cuando ya había caducado la acción de retracto. De ahí que la Sentencia impugnada considere extemporánea la acción de retracto, toda vez que el reembolso o la consignación dentro del plazo legal es presupuesto de la acción de retracto. Y la determinación de las condiciones para el válido y eficaz ejercicio de las acciones corresponde a los órganos judiciales a través de una resolución fundada en derecho, como acontece en este caso. Alégase también por los recurrentes que si la demanda de retracto fue admitida sin ningún reproche por el Juez y sin impugnar esa admisión por la parte contraria, la resolución de la Audiencia que declara su extemporaneidad infringe el principio de rogación y crea a los recurrentes una situación de indefensión. Alegación que carece de fundamento, porque los requisitos o presupuestos procesales que establece el legislador según la naturaleza o finalidad de los procesos, pertenecen al orden público procesal, no pueden por tanto dejarse a la disponibilidad o arbitrio de las partes y son revisables de oficio por el órgano judicial, sin que ello suponga vulneración del art. 24.1 de la Constitución, salvo en los casos en que sean producto de un innecesario formalismo o carezcan de justificación, circunstancias estas que no se dan en este caso, por cuanto que con ellos trata de ordenarse un proceso como el de retracto en el que convergen intereses enfrentados y contrapuestos de las partes desde su inicio, todos ellos dignos de tutela jurídica.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Por providencia de fecha 19 de diciembre de 1990 se señaló para deliberación y votación de esta Sentencia el día 27 de enero de 1992.</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Sentencia aquí recurrida, dictada el 4 de mayo de 1989 por la Sección Segunda de la Audiencia Provincial de Burgos, en segunda instancia, revoca la apelada y declara no haber lugar a la demanda de retracto de comuneros, por estimar, de oficio, que la consignación del precio mediante cheque bancario conformado constituye defectuoso cumplimiento de dicho requisito que determina la extemporaneidad de la demanda, puesto que su admisión requiere que la consignación se realice en moneda liquida o efectiva, dentro del plazo establecido por la Ley.</w:t>
      </w:r>
    </w:p>
    <w:p w:rsidR="00FE0907" w:rsidRDefault="00FE0907" w:rsidP="00FE0907">
      <w:pPr>
        <w:pStyle w:val="TextoNormal"/>
      </w:pPr>
      <w:r>
        <w:t>Alega la demandante de amparo que esa decisión vulnera los derechos a la tutela judicial y a la defensa, garantizados por el art. 24.1 de la Constitución, por venir fundada en una interpretación rigurosa y excesivamente formalísta del requisito de la consignación que le impide acceder a la jurisdicción y defender en ellas su derecho al retracto.</w:t>
      </w:r>
    </w:p>
    <w:p w:rsidR="00FE0907" w:rsidRDefault="00FE0907" w:rsidP="00FE0907">
      <w:pPr>
        <w:pStyle w:val="TextoNormal"/>
      </w:pPr>
    </w:p>
    <w:p w:rsidR="00FE0907" w:rsidRDefault="00FE0907" w:rsidP="00FE0907">
      <w:pPr>
        <w:pStyle w:val="TextoNormal"/>
      </w:pPr>
      <w:r w:rsidRPr="00FE0907">
        <w:rPr>
          <w:rStyle w:val="NumeroAFNegritaCaracter"/>
        </w:rPr>
        <w:t>2</w:t>
      </w:r>
      <w:r>
        <w:t>. En numerosas ocasiones se han resuelto por este Tribunal cuestiones semejantes a la planteada en el presente recurso de amparo, dando lugar a una doctrina de clara aplicación al mismo, entre cuyas expresiones cabe mencionar las SSTC 3/1983, 59/1984, 162/1986 y las más recientes 46/1989, 59/1989 y 62/1989 y 121/1990.</w:t>
      </w:r>
    </w:p>
    <w:p w:rsidR="00FE0907" w:rsidRDefault="00FE0907" w:rsidP="00FE0907">
      <w:pPr>
        <w:pStyle w:val="TextoNormal"/>
      </w:pPr>
      <w:r>
        <w:t>En esencia, dicha doctrina,partiendo, por un lado, de la naturaleza de creación legal que tiene el derecho a la tutela judicial, en virtud de la cual corresponde al legislador organizar los procesos judiciales, estableciendo las condiciones y presupuestos formales que considere más adecuado a las características del proceso de que se trate, siempre que respondan a finalidades justificativas de su exigencia y, de otro lado, de que las decisiones judiciales que cierran el acceso al proceso o alguna de sus fases satisfacen el citado derecho fundamental, si vienen fundadas en la aplicación de una causa prevista en una norma legal,ha establecido que los presupuestos formales no son obstáculos destinados a dificultar el pronunciamiento sobre el fondo de las cuestiones planteadas, sino instrumentos encaminados a garantizar el acierto de la resolución judicial y, en razón a ello, los órganos judiciales están obligados a interpretar las normas legales que establecen requisitos de admisibilidad procesal en el sentido más favorable a la efectividad del derecho a la tutela judicial, evitando imponer formalísmos contrarios al espíritu y finalidad de la norma y convertir cualquier irregularidad formal en un obstáculo insalvable para la prosecución del proceso, al margen de la finalidad que justifica la existencia del requisito.  Deben, por lo tanto, los Jueces y Tribunales ponderar la entidad real de la irregularidad advertida en relación con la gravedad de la sanción de cierre del proceso y, además, conceder a la parte, en la medida de lo posible, la posibilidad de subsanar la irregularidad cometida.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doctrina expuesta nos conduce a establecer que, en los recursos de amparo promovidos por vulneración del derecho a la tutela judicial frente a decisiones judiciales de inadmisibilidad de demandas o recursos, debemos, en primer término, determinar si el requisito procesal incumplido o defectuosamente observado responde a una finalidad justificada y, en segundo lugar, una vez ello decidido en sentido positivo, examinar si su aplicación judicial ha ponderado debidamente las circunstancias concurrentes, especialmente </w:t>
      </w:r>
      <w:r>
        <w:lastRenderedPageBreak/>
        <w:t>el efecto que la conducta de la parte ha tenido en relación con la finalidad del requisito, y el grado de buena fe y diligencia que haya observado, teniendo siempre presente que lo decisivo no es la forma concreta en que se ha cumplido el mismo, sino la satisfacción de la finalidad que motiva la exigencia legal, puesto que la concordancia práctica entre el cumplimiento de la forma procesal, que protege el derecho del demandante o recurrente a acceder a la jurisdicción con el derecho de la parte contraria a que se observen los requisitos y garantías procesales obliga a revisar interpretaciones excesivamente rigurosas que lesionan el derecho garantizado por el art. 24.1 de la Constitución.</w:t>
      </w:r>
    </w:p>
    <w:p w:rsidR="00FE0907" w:rsidRDefault="00FE0907" w:rsidP="00FE0907">
      <w:pPr>
        <w:pStyle w:val="TextoNormal"/>
      </w:pPr>
      <w:r>
        <w:t>Debemos también recordar que las consignaciones procesalmente obligatorias deben aplicarse con la flexibilidad suficiente para evitar que el presupuesto formal sea exigido de manera excesivamente rigurosa y desproporcionada, dedicando especial atención a la dificultad que, en el caso, pueda existir para consignar en metálico y admitiendo, si lo demandase la mayor efectividad del derecho fundamental, la posibilidad de ofrecer medios alternativos de garantía.</w:t>
      </w:r>
    </w:p>
    <w:p w:rsidR="00FE0907" w:rsidRDefault="00FE0907" w:rsidP="00FE0907">
      <w:pPr>
        <w:pStyle w:val="TextoNormal"/>
      </w:pPr>
    </w:p>
    <w:p w:rsidR="00FE0907" w:rsidRDefault="00FE0907" w:rsidP="00FE0907">
      <w:pPr>
        <w:pStyle w:val="TextoNormal"/>
      </w:pPr>
      <w:r w:rsidRPr="00FE0907">
        <w:rPr>
          <w:rStyle w:val="NumeroAFNegritaCaracter"/>
        </w:rPr>
        <w:t>4</w:t>
      </w:r>
      <w:r>
        <w:t>. El art. 1.618.2º de la Ley de Enjuiciamiento Civil condiciona el curso de las demandas de retracto, entre otros, al requisito de que se consigne el precio si es conocido, o si no lo fuere, que se dé fianza de consignarlo luego que lo sea, cuya finalidad estriba en garantizar la seriedad de la demanda y asegurar al demandado que, si recae Sentencia estimatoria, será reembolsado, en el momento del otorgamiento de la escritura correspondiente, de las cantidades que señala el art. 1.518 del Código Civil. Es manifiesto que esta finalidad justifica la exigencia de la norma procesal y debe, en consecuencia,considerarse limitación constitucional legítima del derecho a la tutela judicial.</w:t>
      </w:r>
    </w:p>
    <w:p w:rsidR="00FE0907" w:rsidRDefault="00FE0907" w:rsidP="00FE0907">
      <w:pPr>
        <w:pStyle w:val="TextoNormal"/>
      </w:pPr>
    </w:p>
    <w:p w:rsidR="00FE0907" w:rsidRDefault="00FE0907" w:rsidP="00FE0907">
      <w:pPr>
        <w:pStyle w:val="TextoNormal"/>
      </w:pPr>
      <w:r w:rsidRPr="00FE0907">
        <w:rPr>
          <w:rStyle w:val="NumeroAFNegritaCaracter"/>
        </w:rPr>
        <w:t>5</w:t>
      </w:r>
      <w:r>
        <w:t>. En lo que se refiere a la aplicación que de esa norma ha hecho el órgano judicial de apelación procede advertir que, en este punto, el caso contemplado en este recurso es esencialmente idéntico al resuelto por la STC 62/1989, puesto que la diferencia de normas aplicadas -arts. 1.618.2 de la Ley de Enjuiciamiento Civil y 148.2 de la Ley de Arrendamientos Urbanos- y de procedimiento -arrendaticio y de retracto de comuneros- deben estimarse irrelevantes, si se considera, primero, que tanto en aquel supuesto como en éste se trata de resolver la misma cuestión -si la consignación hecha en cheque bancario es un vicio procesal que justifica, desde la perspectiva del derecho a la tutela judicial, la pérdida del derecho a la apertura del proceso de retracto legal, en este caso, o de la fase de apelación en el juicio de arrendamiento urbano, en el resuelto por la citada sentencia- y, en segundo lugar, que la finalidad perseguida y el grado de diligencia y buena fe de la parte obligada al cumplimiento del requisito son también sustancialmente iguales o de casi total similitud, con la circunstancia especial, favorable a una más intensa flexibilidad en el caso presente, de que mientras en la consignación de las rentas arrendaticias prima la urgencia de hacer efectivo el derecho a percibirlas de quien tiene a su favor una sentencia y la obligación de entregarlas por quien sigue disfrutando del inmueble arrendado, en la consignación del precio conocido en el retracto, la finalidad carece de esa urgencia por ser más lejano el momento de hacer efectivo el desembolso de las cantidades consignadas o afianzadas de consignación.</w:t>
      </w:r>
    </w:p>
    <w:p w:rsidR="00FE0907" w:rsidRDefault="00FE0907" w:rsidP="00FE0907">
      <w:pPr>
        <w:pStyle w:val="TextoNormal"/>
      </w:pPr>
      <w:r>
        <w:t xml:space="preserve">No cabe duda que las anteriores consideraciones nos autorizan a otorgar el amparo mediante remisión a la referida Sentencia con asunción íntegra de su fundamentación jurídica; a pesar de ello, sin perjuicio de que se tenga por hecha esa remisión procederemos a entrar en el examen singularizado de las concretas circunstancias concurrentes en este caso </w:t>
      </w:r>
      <w:r>
        <w:lastRenderedPageBreak/>
        <w:t>con el objeto de dar completa y detallada respuesta a todas las alegaciones que conforman el debate procesal.</w:t>
      </w:r>
    </w:p>
    <w:p w:rsidR="00FE0907" w:rsidRDefault="00FE0907" w:rsidP="00FE0907">
      <w:pPr>
        <w:pStyle w:val="TextoNormal"/>
      </w:pPr>
    </w:p>
    <w:p w:rsidR="00FE0907" w:rsidRDefault="00FE0907" w:rsidP="00FE0907">
      <w:pPr>
        <w:pStyle w:val="TextoNormal"/>
      </w:pPr>
      <w:r w:rsidRPr="00FE0907">
        <w:rPr>
          <w:rStyle w:val="NumeroAFNegritaCaracter"/>
        </w:rPr>
        <w:t>6</w:t>
      </w:r>
      <w:r>
        <w:t>. A los efectos expresados, las circunstancias relevantes a ponderar son las siguientes:</w:t>
      </w:r>
    </w:p>
    <w:p w:rsidR="00FE0907" w:rsidRDefault="00FE0907" w:rsidP="00FE0907">
      <w:pPr>
        <w:pStyle w:val="TextoNormal"/>
      </w:pPr>
      <w:r>
        <w:t>a)la solicitante de amparo presentó en el Juzgado de Primera Instancia de Laredo, demanda de retracto de comuneros el día 19 de febrero de 1986 en relación con venta de la mitad proindiviso de unas fincas rústicas, efectuada por medio de escritura de 18 de noviembre de 1985 por el precio escriturado de dos millones trescientas cincuenta mil pesetas -2.350.000-; con la demanda se acompañó cheque conformado por el Banco Exterior de España librado al Juez de Primera Instancia de Laredo, por importe de dos millones quinientas cincuenta mil pesetas -2.550.000-, ofreciendo el afianzamiento que acuerde el Juzgado para el caso de que considere que el reembolso total del precio de venta desembolsado más los gastos realizados con ocasión de la venta no sean cubiertos con la cantidad consignada; dicho cheque fue ingresado por el Secretario judicial al día siguiente en la Cuenta Provisional de Consignaciones del Juzgado.</w:t>
      </w:r>
    </w:p>
    <w:p w:rsidR="00FE0907" w:rsidRDefault="00FE0907" w:rsidP="00FE0907">
      <w:pPr>
        <w:pStyle w:val="TextoNormal"/>
      </w:pPr>
      <w:r>
        <w:t>b) el Juez dio curso a la demanda sin hacer objeción alguna a la forma en que fue realizada la consignación, sin que tampoco los demandados en su contestación, ni en ningún otro escrito presentado o actuación realizada en todo el curso del procedimiento hasta recaer la Sentencia definitiva de apelación suscitaran cuestión sobre la validez y eficacia de la consignación, limitándose a sostener en su contestación, como única alegación de orden procesal, que la demanda había sido presentada el día 20 de febrero, y no el 19, incurriendo, por ello, en caducidad de la acción de retracto, al ser ejercitada al día siguiente de haber transcurrido el plazo establecido en el art. 1524 del Código Civil.</w:t>
      </w:r>
    </w:p>
    <w:p w:rsidR="00FE0907" w:rsidRDefault="00FE0907" w:rsidP="00FE0907">
      <w:pPr>
        <w:pStyle w:val="TextoNormal"/>
      </w:pPr>
      <w:r>
        <w:t>c) la Sentencia dictada en primera instancia, no contenía razonamiento de clase alguna sobre la regularidad de la consignación, limitándose en el aspecto procesal a declarar probada la presentación de la demanda el día 19 de febrero y a rechazar la alegación de caducidad.</w:t>
      </w:r>
    </w:p>
    <w:p w:rsidR="00FE0907" w:rsidRDefault="00FE0907" w:rsidP="00FE0907">
      <w:pPr>
        <w:pStyle w:val="TextoNormal"/>
      </w:pPr>
      <w:r>
        <w:t>d)la Sección Segunda de la Audiencia Provincial de Burgos, ante la que se apeló la Sentencia, sin que se hubiera planteado cuestión al respecto, después de reconocer que la demanda y el cheque que se adjuntaba a ella fueron presentados dentro del plazo legal, entró a examinar de oficio -sin conceder previa audiencia a las partes, ni ponderar su posibilidad de subsanación- la forma en que se efectuó la consignación, llegando a la conclusión de que no se había cumplido debidamente la previsión legal, por carecer el cheque de los efectos de la consignación en dinero, lo cual le llevó a declarar extemporánea la acción ejercitada y, en consecuencia, a no haber lugar a la demanda de retracto.</w:t>
      </w:r>
    </w:p>
    <w:p w:rsidR="00FE0907" w:rsidRDefault="00FE0907" w:rsidP="00FE0907">
      <w:pPr>
        <w:pStyle w:val="TextoNormal"/>
      </w:pPr>
      <w:r>
        <w:t>Dichas circunstancias ponen de manifiesto, de manera diáfana, que la consignación efectuada por cheque conformado cumplió su finalidad legal en condiciones esencialmente iguales o semejantes a como la hubiese cumplido la entrega en metálico, que también tendría que ser ingresada por el Secretario en la Caja Provisional de Consignaciones para asegurar, en su día, si así procediere, el reembolso previsto en el art. 1.518 del Código Civil y además cumplió esa finalidad en condiciones de mayor seguridad y facilidad, siguiendo usos más adecuados al tráfico dinerario de los tiempos actuales, en el que la entrega de cantidades en moneda, al menos cuando alcanzan cierta importancia, es más incomodo, inseguro e inusual.</w:t>
      </w:r>
    </w:p>
    <w:p w:rsidR="00FE0907" w:rsidRDefault="00FE0907" w:rsidP="00FE0907">
      <w:pPr>
        <w:pStyle w:val="TextoNormal"/>
      </w:pPr>
      <w:r>
        <w:t>Por otro lado, no existe dato alguno, sino todo lo contrario, de que la forma de la consignación fuera debida a mala fe, negligencia o propósito de incumplir o dilatar la garantía en atención a la cual viene exigida por el legislador.</w:t>
      </w:r>
    </w:p>
    <w:p w:rsidR="00FE0907" w:rsidRDefault="00FE0907" w:rsidP="00FE0907">
      <w:pPr>
        <w:pStyle w:val="TextoNormal"/>
      </w:pPr>
      <w:r>
        <w:lastRenderedPageBreak/>
        <w:t>En consecuencia con todo ello, procede considerar que la interpretación dada por el órgano judicial de segunda instancia al art. 1.618.2 de la Ley de Enjuiciamiento Civil fue excesivamente rigurosa y desproporcionada máxime si tenemos en cuenta que dicho artículo habla de consignación en sentido legal, sin imponer expresamente la consignación en metálico, ni excluir de algún otro modo forma alternativa de garantía y que la consignación que dicho precepto legal impone no tiene por objeto realizar un pago con efectos liberatorios de una obligación anteriormente contraída y sancionada por una resolución judicial, como ocurre en el supuesto contemplado en el art. 148.2 de la Ley de Arrendamientos Urbanos, puesto que es garantía de un reembolso futuro de realización incierta, cuyos efectos liberatorios no son exigibles en el momento de constituirse sino cuando deba realizarse el reembolso que garantiza.</w:t>
      </w:r>
    </w:p>
    <w:p w:rsidR="00FE0907" w:rsidRDefault="00FE0907" w:rsidP="00FE0907">
      <w:pPr>
        <w:pStyle w:val="TextoNormal"/>
      </w:pPr>
      <w:r>
        <w:t>En contra de lo razonado, no puede concederse valor trascendente a la supuesta falta de fundamento de la pretensión de fondo, ejercitada en la vía judicial, alegada por los demandados, que corresponde, en exclusiva, resolver a la jurisdicción, ni la posible doble naturaleza procesal y sustantiva de la consignación que defiende al Ministerio Fiscal, pues el propio reconocimiento que éste hace de esa condición de requisito procesal priva de relevancia alguna su posi ble eficacia sustantiva, que no compete determinar a este Tribunal Constitucional.</w:t>
      </w:r>
    </w:p>
    <w:p w:rsidR="00FE0907" w:rsidRDefault="00FE0907" w:rsidP="00FE0907">
      <w:pPr>
        <w:pStyle w:val="TextoNormal"/>
      </w:pPr>
      <w:r>
        <w:t>Sólo nos resta añadir que la potestad judicial de apreciar de oficio el cumplimiento de los presupuestos procesales, aparte de que no dispensa de conceder previamente audiencia a las partes, no confiere conformidad constitucional a las interpretaciones viciadas de excesivo formalismo, incompatible con el derecho a la tutela judicial, ya que ello es independiente de que la aplicación de la norma legal lo haya sido de oficio o en congruencia con petición de parte.</w:t>
      </w:r>
    </w:p>
    <w:p w:rsidR="00FE0907" w:rsidRDefault="00FE0907" w:rsidP="00FE0907">
      <w:pPr>
        <w:pStyle w:val="TextoNormal"/>
      </w:pPr>
      <w:r>
        <w:t>Por ello, además de vulneración del derecho a la tutela judicial, por interpretación excesivamente formalísta del requisito procesal de la consignación, podría apreciarse una vulneración del derecho de defensa al incurrirse en la incongruencia que supone resolver de oficio, sin previa audiencia, y de manera sorpresiva, una cuestión no suscitada por las partes, impidiendo con ello el derecho de éstas a ser oídos antes de procederse a su resolución.</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y, en su virtud:</w:t>
      </w:r>
    </w:p>
    <w:p w:rsidR="00FE0907" w:rsidRDefault="00FE0907" w:rsidP="00FE0907">
      <w:pPr>
        <w:pStyle w:val="TextoNormal"/>
      </w:pPr>
      <w:r>
        <w:t>1º Anular la Sentencia dictada el 4 de mayo de 1989 por la Sala Segunda de la Audiencia Provincial de Burgos en el rollo de apelación nº 655 de 1987.</w:t>
      </w:r>
    </w:p>
    <w:p w:rsidR="00FE0907" w:rsidRDefault="00FE0907" w:rsidP="00FE0907">
      <w:pPr>
        <w:pStyle w:val="TextoNormal"/>
      </w:pPr>
      <w:r>
        <w:t>2º Reconocer a la demandante el derecho fundamental a la tutela judicial efectiva.</w:t>
      </w:r>
    </w:p>
    <w:p w:rsidR="00FE0907" w:rsidRDefault="00FE0907" w:rsidP="00FE0907">
      <w:pPr>
        <w:pStyle w:val="TextoNormal"/>
      </w:pPr>
      <w:r>
        <w:t>3º Restablecer en la integridad de su derecho a la referida demandante, a cuyo efecto se retrotraen las actuaciones judiciales al momento inmediatamente anterior al de dictarse Sentencia de apelación, declarando su derecho a que no se le inadmita la demanda de retracto por haber consignado el precio por medio de cheque bancario.</w:t>
      </w:r>
    </w:p>
    <w:p w:rsidR="00FE0907" w:rsidRDefault="00FE0907" w:rsidP="00FE0907">
      <w:pPr>
        <w:pStyle w:val="TextoNormal"/>
      </w:pPr>
    </w:p>
    <w:p w:rsidR="00FE0907" w:rsidRDefault="00FE0907" w:rsidP="00FE0907">
      <w:pPr>
        <w:pStyle w:val="TextoNormal"/>
      </w:pPr>
      <w:r>
        <w:lastRenderedPageBreak/>
        <w:t>Publíquese esta Sentencia en el "Boletín Oficial del Estado".</w:t>
      </w:r>
    </w:p>
    <w:p w:rsidR="00FE0907" w:rsidRDefault="00FE0907" w:rsidP="00FE0907">
      <w:pPr>
        <w:pStyle w:val="TextoNormal"/>
      </w:pPr>
      <w:r>
        <w:t>Dada en Madrid, a veintisiete de enero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6" w:name="SENTENCIA_1992_13"/>
      <w:r>
        <w:lastRenderedPageBreak/>
        <w:t>SENTENCIA 13/1992, de 6 de febrero de 1992</w:t>
      </w:r>
    </w:p>
    <w:bookmarkEnd w:id="16"/>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ECLI:ES:TC:1992:13</w:t>
      </w:r>
    </w:p>
    <w:p w:rsidR="00FE0907" w:rsidRDefault="00FE0907" w:rsidP="00FE0907">
      <w:pPr>
        <w:pStyle w:val="SntesisDescriptiva"/>
      </w:pPr>
    </w:p>
    <w:p w:rsidR="00FE0907" w:rsidRDefault="00FE0907" w:rsidP="00FE0907">
      <w:pPr>
        <w:pStyle w:val="SntesisDescriptiva"/>
      </w:pPr>
      <w:r>
        <w:t>Recurso de inconstitucionalidad 542/1988 573/1989 (acumulados). Promovidos por el Consejo Ejecutivo de la Generalidad de Cataluña, en relación con determinados preceptos y partidas presupuestarias de las Leyes 33/1987, de 23 de diciembre, y 37/1988, de 28 de diciembre, de Presupuestos Generales del Estado para 1988 y 1989, respectivamente</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Si en un Estado compuesto la acción estatal, en general, debe desplegarse teniendo en cuenta las peculiaridades de un sistema de autonomías territoriales (STC 146/1986), esta exigencia es asimismo evidente cuando se trata del ejercicio de la actividad financiera del Estado -ordenación y gestión de los ingresos y gastos públicos- que, naturalmente, habrá de desarrollarse dentro del orden competencial articulado en la Constitución. Ello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[F.J. 2].</w:t>
      </w:r>
    </w:p>
    <w:p w:rsidR="00FE0907" w:rsidRDefault="00FE0907" w:rsidP="00FE0907">
      <w:pPr>
        <w:pStyle w:val="Extracto"/>
      </w:pPr>
    </w:p>
    <w:p w:rsidR="00FE0907" w:rsidRDefault="00FE0907" w:rsidP="00FE0907">
      <w:pPr>
        <w:pStyle w:val="Extracto"/>
      </w:pPr>
      <w:r>
        <w:t>2.</w:t>
      </w:r>
      <w:r>
        <w:tab/>
        <w:t>Se reitera y resume la doctrina constitucional en torno a la potestad de gasto del Estado y su incidencia en las competencias asumidas por las Comunidades Autónomas (SSTC 39/1982, 144/1985, 179/1985, 95/1986, 96/1986, 146/1986, 88/1987, 152/1988, 201/1988, 14/1989, 64/1989, 189/1989, 190/1989 y 96/1990) [F.J. 4].</w:t>
      </w:r>
    </w:p>
    <w:p w:rsidR="00FE0907" w:rsidRDefault="00FE0907" w:rsidP="00FE0907">
      <w:pPr>
        <w:pStyle w:val="Extracto"/>
      </w:pPr>
    </w:p>
    <w:p w:rsidR="00FE0907" w:rsidRDefault="00FE0907" w:rsidP="00FE0907">
      <w:pPr>
        <w:pStyle w:val="Extracto"/>
      </w:pPr>
      <w:r>
        <w:t>3.</w:t>
      </w:r>
      <w:r>
        <w:tab/>
        <w:t>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 (STC 63/1986) [F.J. 5].</w:t>
      </w:r>
    </w:p>
    <w:p w:rsidR="00FE0907" w:rsidRDefault="00FE0907" w:rsidP="00FE0907">
      <w:pPr>
        <w:pStyle w:val="Extracto"/>
      </w:pPr>
    </w:p>
    <w:p w:rsidR="00FE0907" w:rsidRDefault="00FE0907" w:rsidP="00FE0907">
      <w:pPr>
        <w:pStyle w:val="Extracto"/>
      </w:pPr>
      <w:r>
        <w:t>4.</w:t>
      </w:r>
      <w:r>
        <w:tab/>
        <w:t>Como se reiteró en la STC 146/1986, las correspondientes partidas de las Leyes de Presupuestos Generales del Estado no desempeñan otra función que la mera dotación económica para la actividad estatal en la materia, que no predeterminan ni crean, sino que aplican en la medida en que haya sido reconocida a aquél la respectiva competencia y, por tanto, remiten a las normas que lo hayan hecho, que serán las verdaderamente habilitantes [F.J. 5].</w:t>
      </w:r>
    </w:p>
    <w:p w:rsidR="00FE0907" w:rsidRDefault="00FE0907" w:rsidP="00FE0907">
      <w:pPr>
        <w:pStyle w:val="Extracto"/>
      </w:pPr>
    </w:p>
    <w:p w:rsidR="00FE0907" w:rsidRDefault="00FE0907" w:rsidP="00FE0907">
      <w:pPr>
        <w:pStyle w:val="Extracto"/>
      </w:pPr>
      <w:r>
        <w:t>5.</w:t>
      </w:r>
      <w:r>
        <w:tab/>
        <w:t>Nada ha de oponerse, en principio, a que las Comunidades Autónomas impugnen las Leyes de Presupuestos Generales del Estado, en cuanto expresión característica del poder de gastar («spending power») del Estado, autorizando créditos para subvenciones sobre materias o sectores económicos en los que pueda verse afectado el orden constitucional de distribución de competencias o la misma autonomía política y financiera de las Comunidades Autónomas [F.J. 5].</w:t>
      </w:r>
    </w:p>
    <w:p w:rsidR="00FE0907" w:rsidRDefault="00FE0907" w:rsidP="00FE0907">
      <w:pPr>
        <w:pStyle w:val="Extracto"/>
      </w:pPr>
    </w:p>
    <w:p w:rsidR="00FE0907" w:rsidRDefault="00FE0907" w:rsidP="00FE0907">
      <w:pPr>
        <w:pStyle w:val="Extracto"/>
      </w:pPr>
      <w:r>
        <w:t>6.</w:t>
      </w:r>
      <w:r>
        <w:tab/>
        <w:t>El Estado, mediante el ejercicio del poder legislativo presupuestario, no dispone de un poder general para subvenciones (gasto público) entendido como poder libre o desvinculado del poder competencial. El poder de gasto o subvencional es siempre un poder instrumental que se ejerce «dentro», y no «al margen», del orden de competencias y de los límites que la Constitución establece y entre ellos el del respeto a la autonomía política y financiera de las Comunidades Autónomas que reconocen y garantizan los arts. 2, 137 y 156 C.E. [F.J. 6].</w:t>
      </w:r>
    </w:p>
    <w:p w:rsidR="00FE0907" w:rsidRDefault="00FE0907" w:rsidP="00FE0907">
      <w:pPr>
        <w:pStyle w:val="Extracto"/>
      </w:pPr>
    </w:p>
    <w:p w:rsidR="00FE0907" w:rsidRDefault="00FE0907" w:rsidP="00FE0907">
      <w:pPr>
        <w:pStyle w:val="Extracto"/>
      </w:pPr>
      <w:r>
        <w:t>7.</w:t>
      </w:r>
      <w:r>
        <w:tab/>
        <w:t>Se recuerda (STC 201/1988) que la «autonomía financiera de las Comunidades Autónomas, reconocida en los arts. 156.1 de la Constitución y 1.1 de la L.O.F.C. A., exige la plena disposición de medios financieros para poder ejercer, sin condicionamientos indebidos y en toda su extensión, las competencias propias, en especial las que se configuran como exclusivas» [F.J. 6].</w:t>
      </w:r>
    </w:p>
    <w:p w:rsidR="00FE0907" w:rsidRDefault="00FE0907" w:rsidP="00FE0907">
      <w:pPr>
        <w:pStyle w:val="Extracto"/>
      </w:pPr>
    </w:p>
    <w:p w:rsidR="00FE0907" w:rsidRDefault="00FE0907" w:rsidP="00FE0907">
      <w:pPr>
        <w:pStyle w:val="Extracto"/>
      </w:pPr>
      <w:r>
        <w:t>8.</w:t>
      </w:r>
      <w:r>
        <w:tab/>
        <w:t>La autonomía financiera de las Comunidades viene definida en el bloque de la constitucionalidad más por relación a la vertiente del gasto público -y si acaso a la de las transferencias de ingresos procedentes de la Hacienda estatal y que constituyen un derecho de crédito frente a ésta a favor de las Haciendas autonómicas- que por relación a la existencia y desarrollo de un sistema tributario propio con virtualidad y potencia recaudatoria suficientes para cubrir las necesidades financieras de la Hacienda autonómica. Se configura así un sistema de financiación apoyado en mecanismos financieros de transferencias desde el Estado [F.J. 7].</w:t>
      </w:r>
    </w:p>
    <w:p w:rsidR="00FE0907" w:rsidRDefault="00FE0907" w:rsidP="00FE0907">
      <w:pPr>
        <w:pStyle w:val="Extracto"/>
      </w:pPr>
    </w:p>
    <w:p w:rsidR="00FE0907" w:rsidRDefault="00FE0907" w:rsidP="00FE0907">
      <w:pPr>
        <w:pStyle w:val="Extracto"/>
      </w:pPr>
      <w:r>
        <w:t>9.</w:t>
      </w:r>
      <w:r>
        <w:tab/>
        <w:t>Las Comunidades Autónomas gozarán de autonomía financiera (de gasto) en la medida en que puedan elegir y realizar sus propios objetivos políticos, administrativos, sociales o económicos con independencia de cuáles hayan sido las fuentes de los ingresos que nutren sus presupuestos. De otro modo, si por el origen de los fondos se pudiera condicionar el destino que se haya de dar a los mismos, se privaría a las Comunidades Autónomas de una potestad decisoria fundamental, sin la que no cabe hablar de autonomía [F.J. 7].</w:t>
      </w:r>
    </w:p>
    <w:p w:rsidR="00FE0907" w:rsidRDefault="00FE0907" w:rsidP="00FE0907">
      <w:pPr>
        <w:pStyle w:val="Extracto"/>
      </w:pPr>
    </w:p>
    <w:p w:rsidR="00FE0907" w:rsidRDefault="00FE0907" w:rsidP="00FE0907">
      <w:pPr>
        <w:pStyle w:val="Extracto"/>
      </w:pPr>
      <w:r>
        <w:t>10.</w:t>
      </w:r>
      <w:r>
        <w:tab/>
        <w:t>En el sistema español de distribución territorial del poder, el Estado puede asignar sus recursos a cualquier finalidad lícita, y la definición de esta finalidad en la Ley de Presupuestos condiciona necesariamente la libertad de acción de aquellas instancias que hayan de utilizar esos recursos. Cuando tal materia o sector corresponden en uno u otro grado a las Comunidades Autónomas, las medidas que hayan de adoptarse para conseguir la finalidad a la que se destinan los recursos deberán respetar el orden constitucional y estatutario de las competencias, sin imponer a la autonomía política de las Comunidades Autónomas otros condicio</w:t>
      </w:r>
      <w:r>
        <w:lastRenderedPageBreak/>
        <w:t>namientos que aquellos que resultan de la definición del fin o del uso que el Estado pueda hacer de otras competencias propias, genéricas o específicas [F.J. 7].</w:t>
      </w:r>
    </w:p>
    <w:p w:rsidR="00FE0907" w:rsidRDefault="00FE0907" w:rsidP="00FE0907">
      <w:pPr>
        <w:pStyle w:val="Extracto"/>
      </w:pPr>
    </w:p>
    <w:p w:rsidR="00FE0907" w:rsidRDefault="00FE0907" w:rsidP="00FE0907">
      <w:pPr>
        <w:pStyle w:val="Extracto"/>
      </w:pPr>
      <w:r>
        <w:t>11.</w:t>
      </w:r>
      <w:r>
        <w:tab/>
        <w:t>En un sistema respetuoso con el orden constitucional de distribución de competencias y con la autonomía política y financiera de las Comunidades Autónomas que la Constitución reconoce y garantiza, las transferencias financieras para subvenciones destinadas a acciones de fomento que el Estado disponga con cargo a sus propios recursos en materias cuya competencia haya sido asumida de manera exclusiva por las Comunidades Autónomas y en las que el Estado no invoque título competencial alguno, deben atribuirse directa e incondicionalmente a las Comunidades Autónomas nutriendo, como un recurso financiero más, la Hacienda autonómica. Mediante la utilización de los Convenios no puede el Estado convertir en compartida una competencia que sea en realidad exclusiva de las Comunidades Autónomas. De esta manera se favorece la capacidad de gasto de las Comunidades Autónomas en el desarrollo de las políticas públicas dentro de su ámbito competencial y se respeta, al propio tiempo, su plena autonomía en la definición concreta de tales políticas en perfecta congruencia con el modelo de Estado de las Autonomías [F.J. 7].</w:t>
      </w:r>
    </w:p>
    <w:p w:rsidR="00FE0907" w:rsidRDefault="00FE0907" w:rsidP="00FE0907">
      <w:pPr>
        <w:pStyle w:val="Extracto"/>
      </w:pPr>
    </w:p>
    <w:p w:rsidR="00FE0907" w:rsidRDefault="00FE0907" w:rsidP="00FE0907">
      <w:pPr>
        <w:pStyle w:val="Extracto"/>
      </w:pPr>
      <w:r>
        <w:t>12.</w:t>
      </w:r>
      <w:r>
        <w:tab/>
        <w:t>La concurrencia competencial del Estado y las Comunidades Autónomas en la acción administrativa subvencional, o de fomento, con clara incidencia en la actividad financiera, debe articularse, como reiteradamente ha puesto de relieve este Tribunal, mediante técnicas de cooperación y colaboración consustanciales a la estructura compuesta del Estado de las Autonomías como pueden ser, entre otras, los Convenios de colaboración ajustados al orden constitucional de competencias, técnicas que deberían ser acordadas en este y otros sectores entre los órganos centrales del Estado y las Comunidades Autónomas, buscando, entre otros, dentro del respectivo e indisponible marco competencial, métodos flexibles y adecuados de convergencia que disminuyan la conflictividad entre aquellos poderes, todos los cuales deben guiarse siempre por una común lealtad constitucional [F.J. 7].</w:t>
      </w:r>
    </w:p>
    <w:p w:rsidR="00FE0907" w:rsidRDefault="00FE0907" w:rsidP="00FE0907">
      <w:pPr>
        <w:pStyle w:val="Extracto"/>
      </w:pPr>
    </w:p>
    <w:p w:rsidR="00FE0907" w:rsidRDefault="00FE0907" w:rsidP="00FE0907">
      <w:pPr>
        <w:pStyle w:val="Extracto"/>
      </w:pPr>
      <w:r>
        <w:t>13.</w:t>
      </w:r>
      <w:r>
        <w:tab/>
        <w:t>Lo que importa es que los fondos destinados a subvenciones que deban gestionar las Comunidades Autónomas se «territorialicen», es decir, se transfieran efectivamente a éstas de modo que puedan disponer prontamente de los mismos, sin más condicionamientos que los que deriven del ejercicio de las competencias estatales sobre la materia. A tal efecto,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De esta forma se evitaría toda confusión inicial acerca de a cuál Administración se atribuye la gestión de las subvenciones, resultando, así, la estructura de los Presupuestos Generales del Estado plenamente congruente con las exigencias del Estado de las Autonomías [F.J. 9].</w:t>
      </w:r>
    </w:p>
    <w:p w:rsidR="00FE0907" w:rsidRDefault="00FE0907" w:rsidP="00FE0907">
      <w:pPr>
        <w:pStyle w:val="Extracto"/>
      </w:pPr>
    </w:p>
    <w:p w:rsidR="00FE0907" w:rsidRDefault="00FE0907" w:rsidP="00FE0907">
      <w:pPr>
        <w:pStyle w:val="Extracto"/>
      </w:pPr>
      <w:r>
        <w:lastRenderedPageBreak/>
        <w:t>14.</w:t>
      </w:r>
      <w:r>
        <w:tab/>
        <w:t>La mera previsión de que los fondos presupuestarios para subvenciones hayan de transferirse y distribuirse entre las Comunidades Autónomas a través de Convenios ajustados a los principios constitucionales no puede considerarse en sí misma incursa en inconstitucionalidad [F.J. 10].</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 Regueral,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los recursos de inconstitucionalidad acumulados 542/88 y 573/89, promovidos por el Consejo Ejecutivo de la Generalidad de Cataluña, representado por los Abogados don Ramón Mª Llevadot i Roig y don Josep Mª Bosch i Bessa, contra determinados preceptos y partidas presupuestarias de las Leyes 33/1987, de 23 de diciembre, y 37/1988, de 28 de diciembre, de Presupuestos Generales del Estado para 1988 y 1989, respectivamente. Ha sido parte el Gobierno de la Nación, representado por el Abogado del Estado y Ponente, el Magistrado don Alvaro Rodríguez Bereijo,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El 23 de marzo de 1988 tuvo entrada en este Tribunal un escrito por el que don Ramón Mª Llevadot i Roig, Abogado de la Generalidad de Cataluña, en su representación y defensa, interpuso recurso de inconstitucionalidad contra los siguientes preceptos y partidas presupuestarias de la Ley 33/1987, de 23 de diciembre, de Presupuestos Generales del Estado para 1988: art. 55; Disposición adicional decimosegunda y Disposición final primera, en su último inciso ("... y a las leyes promulgadas con posterioridad al 4 de enero de 1977"); Servicio 26.08, Programa 413.D, Concepto económico 227.07, 227.08 y 227.09, Capítulo II, art. 22; Servicio 26.09, Programa 412.G, Capítulo IV, art. 42, a la Seguridad Social mediante Convenio, art. 45, a las Comunidades Autónomas mediante Convenio; Servicio 26.10, Programa 313.G. Capítulo IV, art. 42, a la Seguridad Social mediante Convenio; Servicio 26.09, Programa 412.G, Capítulo IV, art. 48, a familias e instituciones no lucrativas, Capítulo VII, art. 78, a familias e instituciones no lucrativas; Servicio 26.09, Programa 413.A, Capítulo IV, art, 42, a la Seguridad Social -INSALUD-; Servicio 26.11, Programa 412.F, art. 42, a la Seguridad Social -INSALUD-; Programa 542.H, Capítulo IV, art. 42 a la Seguridad Social; Servicio 12, Dirección General de Acción Social, Programa 313.A, Concepto 422, Programa 313.B, Concepto 422, Concepto 451 y Concepto </w:t>
      </w:r>
      <w:r>
        <w:lastRenderedPageBreak/>
        <w:t>486; Sección 19, Servicio 01, Ministerio, Subsecretaría y Secretaría General, Programa 313.B, Concepto 721; Servicio 39, Concepto 452, INSERSO "a la Generalidad de Cataluña" sólo en cuanto a su cuantía.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recurso se fundamenta en las alegaciones que a continuación se sintetizan: </w:t>
      </w:r>
    </w:p>
    <w:p w:rsidR="00FE0907" w:rsidRDefault="00FE0907" w:rsidP="00FE0907">
      <w:pPr>
        <w:pStyle w:val="TextoNormal"/>
      </w:pPr>
      <w:r>
        <w:t xml:space="preserve">A) Se inicia la demanda con una "Consideración general" con el fin de delimitar el objeto y alcance del recurso planteado. Recurso -advierte el Gobierno Autonómico recurrente- que "está en buena parte orientado a conseguir la tutela efectiva del principio de autonomía financiera de las CC.AA. y, más concretamente, de una manifestación específica de dicha autonomía consistente en la territorialización de determinadas partidas del Presupuesto del Estado para el año 1988 y la remoción de ciertos obstáculos que lo impiden ..., todo ello -se dice- en ejecución del Acuerdo del Consejo Ejecutivo de la Generalidad y del mandato del Parlamento de Cataluña ..., a cuyo tenor: "de conformidad con la jurisprudencia del Tribunal Constitucional, el modelo de Estado Autonómico exige el reparto territorial de las subvenciones estatales. Por lo tanto, por lo que hace a Cataluña, corresponde a la Administración de la Generalidad, en materias de su competencia, hacer esta distribución con plena libertad de decisión, para hacer efectivo el principio de autonomía en el gasto, inherente a toda autonomía política". </w:t>
      </w:r>
    </w:p>
    <w:p w:rsidR="00FE0907" w:rsidRDefault="00FE0907" w:rsidP="00FE0907">
      <w:pPr>
        <w:pStyle w:val="TextoNormal"/>
      </w:pPr>
      <w:r>
        <w:t xml:space="preserve">Con tal propósito se impetra el auxilio de este Tribunal, "a fin de hacer real y efectivo el principio de autonomía financiera (especialmente en cuanto a la gestión de las subvenciones)"; advirtiéndose que "el llamado sistema de financiación definitivo de las CC.AA. (dimanante del Acuerdo del Consejo de Política Fiscal y Financiera de 7 de noviembre de 1986, por el que se establecen los criterios de financiación para el período 1987-1991), en lo que concierne a la gestión de las subvenciones hizo una previsión verdaderamente reducida de las que habían de formar parte del bloque de financiación incondicionada en tanto que se incluían en el bloque de la financiación condicionada todos aquellos recursos a través de los que se realizan los objetivos generales de política económica y social del Estado cuya gestión y ejecución corresponden a las CC.AA". </w:t>
      </w:r>
    </w:p>
    <w:p w:rsidR="00FE0907" w:rsidRDefault="00FE0907" w:rsidP="00FE0907">
      <w:pPr>
        <w:pStyle w:val="TextoNormal"/>
      </w:pPr>
      <w:r>
        <w:t xml:space="preserve">Estima la Comunidad actora que cuanto mayor es el porcentaje de recursos que se adscriben por el Estado a la financiación condicionada, menor es la autonomía real de la C.A, entendida como autonomía "política", "porque en tales casos puede suceder que los recursos o "no lleguen" ... o "lleguen tarde" ... o lleguen "sólo en parte" ... o, en fin, lleguen "condicionados" a través de Convenios cuya subscripción comporta, las más de las veces, una cesión, no conforme a la Constitución, de competencias rigurosamente exclusivas que se convierten en compartidas por el simple hecho de subvencionar el Estado el "Programa" o el "Convenio-Programa" y con el agravante de condicionar la aportación estatal a que la C.A. aporte una cantidad similar con lo que la invasión de la autonomía financiera de la C.A. se produce por partida doble". </w:t>
      </w:r>
    </w:p>
    <w:p w:rsidR="00FE0907" w:rsidRDefault="00FE0907" w:rsidP="00FE0907">
      <w:pPr>
        <w:pStyle w:val="TextoNormal"/>
      </w:pPr>
      <w:r>
        <w:t xml:space="preserve">El recurso se orienta, pues, a defender la autonomía financiera de la Generalidad de Cataluña en el "gasto" y, más concretamente, de la que se considera "una manifestación específica de dicha autonomía consistente en la territorialización de determinadas partidas del Presupuesto del Estado ...". </w:t>
      </w:r>
    </w:p>
    <w:p w:rsidR="00FE0907" w:rsidRDefault="00FE0907" w:rsidP="00FE0907">
      <w:pPr>
        <w:pStyle w:val="TextoNormal"/>
      </w:pPr>
      <w:r>
        <w:t>Por ello, tras aludir a la doctrina contenida, entre otras, en las SSTC 95/1986 y 146/1986, se precisa que en el presente recurso lo que se cuestiona es la centralización, que se estima indebida, de ciertas partidas presupuestarias que atendiendo a la materia a la que están destinadas (Sanidad y Seguridad Social y Asistencia Social) son de la competencia exclusiva de la Generalidad (arts. 17.1, 2, 4 y 5 y 9.25 del E.A.C.), de manera que la asignación presupuestaria no debió hacerse a favor de determinados órganos o departa</w:t>
      </w:r>
      <w:r>
        <w:lastRenderedPageBreak/>
        <w:t xml:space="preserve">mentos de la Administración estatal, sino de forma territorialmente descentralizada a favor de las CC.AA. y, entre ellas, a la Generalidad de Cataluña. </w:t>
      </w:r>
    </w:p>
    <w:p w:rsidR="00FE0907" w:rsidRDefault="00FE0907" w:rsidP="00FE0907">
      <w:pPr>
        <w:pStyle w:val="TextoNormal"/>
      </w:pPr>
      <w:r>
        <w:t xml:space="preserve">Asimismo, se impugnan determinadas asignaciones presupuestarias que se efectúan a favor de las CC.AA. "mediante Convenio", "expresión -se dice- que debe suprimirse..., dado que dicho añadido interfiere en el libre ejercicio de competencias exclusivas de la Generalidad y atenta igualmente contra el principio de autonomía financiera de mi representada". </w:t>
      </w:r>
    </w:p>
    <w:p w:rsidR="00FE0907" w:rsidRDefault="00FE0907" w:rsidP="00FE0907">
      <w:pPr>
        <w:pStyle w:val="TextoNormal"/>
      </w:pPr>
      <w:r>
        <w:t xml:space="preserve">Se impugnan, por último, determinados preceptos concretos de la Ley de Presupuestos. </w:t>
      </w:r>
    </w:p>
    <w:p w:rsidR="00FE0907" w:rsidRDefault="00FE0907" w:rsidP="00FE0907">
      <w:pPr>
        <w:pStyle w:val="TextoNormal"/>
      </w:pPr>
      <w:r>
        <w:t xml:space="preserve">B) El planteamiento impugnatorio se concreta, en primer término, en un conjunto de partidas presupuestarias que, a juicio de la Generalidad de Cataluña, son inconstitucionales. </w:t>
      </w:r>
    </w:p>
    <w:p w:rsidR="00FE0907" w:rsidRDefault="00FE0907" w:rsidP="00FE0907">
      <w:pPr>
        <w:pStyle w:val="TextoNormal"/>
      </w:pPr>
      <w:r>
        <w:t xml:space="preserve">a) En relación a las partidas presupuestarias referidas a la "Salud Pública" (Ministerio de Sanidad y Consumo, Servicio 26.08, Programa 413.D, Concepto económico 227.07, 227.08 y 227.09, Capítulo II, art. 22, para toda clase de gastos que origine, de una parte, el Programa de control y erradicación de zoonosis: hidatidosis; y de otra el Plan Nacional de Sanidad Ambiental: Red nacional de vigilancia y prevención de la contaminación atmosférica), se afirma que dada la competencia de la Generalidad sobre "sanidad interior" (art. 17 E.A.C.), las expresadas partidas deberían territorializarse con arreglo a criterios objetivos y destinarse a las CC.AA. total o parcialmente. </w:t>
      </w:r>
    </w:p>
    <w:p w:rsidR="00FE0907" w:rsidRDefault="00FE0907" w:rsidP="00FE0907">
      <w:pPr>
        <w:pStyle w:val="TextoNormal"/>
      </w:pPr>
      <w:r>
        <w:t xml:space="preserve">b) Determinadas transferencias del Ministerio de Sanidad y Consumo correspondientes a Programas sanitarios se condicionan a la celebración de Convenios (Servicio 26.09, Programa 412.G, Capítulo IV, arts. 42 y 45; Servicio 26.10, Programa 313.G, Capítulo IV, art. 42); Convenios que permiten el establecimiento de condiciones por parte del Estado que inciden indebidamente en el desarrollo de la competencia de ejecución de la C.A. De ahí que deba suprimirse la obligatoriedad de celebrar Convenios con el Ministerio de Sanidad y Consumo. </w:t>
      </w:r>
    </w:p>
    <w:p w:rsidR="00FE0907" w:rsidRDefault="00FE0907" w:rsidP="00FE0907">
      <w:pPr>
        <w:pStyle w:val="TextoNormal"/>
      </w:pPr>
      <w:r>
        <w:t xml:space="preserve">En particular, la partida referida en el Programa 412.G, Capítulo IV, art. 42 (a la Seguridad Social, mediante Convenios) es inadecuada ya que la -según la Comunidad Autónoma recurrente- "correcta inteligencia" de la doctrina contenida en la STC 95/1986, "hubiese exigido que el Presupuesto consignara los créditos correspondientes a cada una de las Entidades gestoras de la Asistencia Sanitaria de la Seguridad Social y no exclusivamente al INSALUD"; ya que la intermediación de éste "introduce incertidumbre presupuestaria a las CC.AA. que han de gestionar los expresados Programas, y complica extremadamente la gestión en perjuicio del ciudadano ...". </w:t>
      </w:r>
    </w:p>
    <w:p w:rsidR="00FE0907" w:rsidRDefault="00FE0907" w:rsidP="00FE0907">
      <w:pPr>
        <w:pStyle w:val="TextoNormal"/>
      </w:pPr>
      <w:r>
        <w:t xml:space="preserve">c) En el mismo presupuesto del Ministerio de Sanidad y Consumo figuran transferencias a familias e instituciones no lucrativas, tanto corrientes, correspondientes a diversos Programas sanitarios (trasplante de órganos, Sida, donación de sangre, etc), como de capital (para la construcción, acondicionamiento y equipamiento de Hospitales) (Servicio 26.09, Programa 412.G, Capítulo IV, arts. 48 y 78), que no deberían distribuirse sino a través de las CC.AA., previa su territorialización según criterios objetivos: "al no hacerse así -se dice- se producirán necesariamente duplicidad de actuaciones e interferencias en las competencias sanitarias de las CC.AA. que las tengan atribuidas infringiendo, además, el art. 103 C.E.". </w:t>
      </w:r>
    </w:p>
    <w:p w:rsidR="00FE0907" w:rsidRDefault="00FE0907" w:rsidP="00FE0907">
      <w:pPr>
        <w:pStyle w:val="TextoNormal"/>
      </w:pPr>
      <w:r>
        <w:t xml:space="preserve">Frente a ello no cabe apelar a la competencia de "coordinación general" de la Sanidad, pues ésta no puede dar soporte a ninguna previsión presupuestaria encauzada al otorgamiento de ayudas directas a los administrados, sino únicamente a la distribución de los fondos que se entreguen a las Administraciones autonómicas coordinadas. </w:t>
      </w:r>
    </w:p>
    <w:p w:rsidR="00FE0907" w:rsidRDefault="00FE0907" w:rsidP="00FE0907">
      <w:pPr>
        <w:pStyle w:val="TextoNormal"/>
      </w:pPr>
      <w:r>
        <w:lastRenderedPageBreak/>
        <w:t xml:space="preserve">d) Las partidas que recogen transferencias al INSALUD (Servicio 26.09, Programa 413.A, Capítulo IV, art. 42; y Servicio 26.11, Programa 412.F, art. 42; y Programa 542.H, Capítulo IV, art. 42, procede que sean transferidas directamente a la Generalidad de Cataluña, por cuanto ya se le transfirieron los Servicios del mismo radicados en su territorio: "al no hacerlo el precepto menoscaba las competencias de mi representada y, consecuentemente, es inconstitucional". </w:t>
      </w:r>
    </w:p>
    <w:p w:rsidR="00FE0907" w:rsidRDefault="00FE0907" w:rsidP="00FE0907">
      <w:pPr>
        <w:pStyle w:val="TextoNormal"/>
      </w:pPr>
      <w:r>
        <w:t xml:space="preserve">e) Las partidas del Presupuesto del Ministerio de Trabajo y Seguridad Social destinadas a la aplicación de las prestaciones socioeconómicas de la Ley de Integración de Minusválidos (Servicio 19.12, Programa 313.A, Concepto 422; y Programa 313.B, Concepto 422), deberían, igualmente, haberse distribuido y asignado directamente a las CC.AA. con competencia en la materia -tal como sucede con Cataluña (art. 9.25 E.A.C.)-, sin introducir la mediación innecesaria del INSERSO para realizar la gestión de dichas prestaciones. Esta mediación dificulta la eficacia de la gestión e interfiere una competencia exclusiva de la C.A., máxime al no ser las prestaciones de la referida Ley de Integración de Minusválidos prestaciones de la Seguridad Social. </w:t>
      </w:r>
    </w:p>
    <w:p w:rsidR="00FE0907" w:rsidRDefault="00FE0907" w:rsidP="00FE0907">
      <w:pPr>
        <w:pStyle w:val="TextoNormal"/>
      </w:pPr>
      <w:r>
        <w:t xml:space="preserve">Y respecto de los Conceptos 451 y 486 del Programa 313.B, la imposición obligatoria de Convenios-Programa limita y cercena la competencia de la C.A. catalana en materia de asistencia social. Sobre este particular -asignación de fondos presupuestarios a las CC.AA. por vía de Convenio, en materias, además, de la exclusiva competencia autonómica-, nada habría que objetar si el Convenio fuera voluntario. Sin embargo, la obligatoriedad del mismo comporta una doble infracción del orden competencial: por un lado, convierte en compartidas lo que son competencias exclusivas (art. 9.25 E.A.C.) y, por otro, incide en la autonomía financiera, ya que para poder disponer de la dotación prevista en los Presupuestos Generales del Estado se impone una aportación económica de las CC.AA. infringiéndose así el art. 156 C.E. </w:t>
      </w:r>
    </w:p>
    <w:p w:rsidR="00FE0907" w:rsidRDefault="00FE0907" w:rsidP="00FE0907">
      <w:pPr>
        <w:pStyle w:val="TextoNormal"/>
      </w:pPr>
      <w:r>
        <w:t xml:space="preserve">Por lo demás, la introducción de estos Convenios en nuestro sistema -técnica tomada del federalismo cooperativo alemán- carece en la actualidad del suficiente soporte constitucional y, por lo tanto, no son admisibles si se imponen forzosamente. </w:t>
      </w:r>
    </w:p>
    <w:p w:rsidR="00FE0907" w:rsidRDefault="00FE0907" w:rsidP="00FE0907">
      <w:pPr>
        <w:pStyle w:val="TextoNormal"/>
      </w:pPr>
      <w:r>
        <w:t xml:space="preserve">f) La partida prevista en la Sección 19, Ministerio de Trabajo y Seguridad Social, Servicio 01 Ministerio, Subsecretaría y Secretaría General, Programa 313.B, Concepto 721, subvenciones al INSERSO para financiar su plan de inversiones de equipamiento de ámbito estatal (construcción de centros asistenciales de carácter estatal gestionados por el INSERSO), cuya "ubicación y características -se dice- son decididas por los Servicios centrales del INSERSO sin la menor participación de las CC.AA.". </w:t>
      </w:r>
    </w:p>
    <w:p w:rsidR="00FE0907" w:rsidRDefault="00FE0907" w:rsidP="00FE0907">
      <w:pPr>
        <w:pStyle w:val="TextoNormal"/>
      </w:pPr>
      <w:r>
        <w:t xml:space="preserve">Entiende la C.A. recurrente que "la gestión centralizada representa una acción políticamente contraria al Estado de las Autonomías ...; desde la perspectiva de la oportunidad técnica y social tampoco parece acertada la voluntad de financiar grandes centros gestionados por el INSERSO ...; por otro lado, es muy difícil la coordinación técnica de los servicios prestados en estos centros ... [cuya] rentabilidad social ... es demostradamente baja, y social y humanamente inadecuada". </w:t>
      </w:r>
    </w:p>
    <w:p w:rsidR="00FE0907" w:rsidRDefault="00FE0907" w:rsidP="00FE0907">
      <w:pPr>
        <w:pStyle w:val="TextoNormal"/>
      </w:pPr>
      <w:r>
        <w:t xml:space="preserve">En suma, esta partida "debió ser objeto de una territorialización entre el INSERSO y las CC.AA. que [como Cataluña] tengan asumida y ejerzan íntegramente dicha competencia ... Al no haberse hecho así, el Concepto (721) que se discute deviene inconstitucional por cuanto cercena o disminuye las cantidades que, para tales fines, debió asignarse directamente -en la proporción que corresponda- a mi representada". </w:t>
      </w:r>
    </w:p>
    <w:p w:rsidR="00FE0907" w:rsidRDefault="00FE0907" w:rsidP="00FE0907">
      <w:pPr>
        <w:pStyle w:val="TextoNormal"/>
      </w:pPr>
      <w:r>
        <w:t xml:space="preserve">g) Especial atención merece la partida "Servicio 39, Concepto 452 INSERSO "A la Generalidad de Cataluña 5.795.145.000 pts". </w:t>
      </w:r>
    </w:p>
    <w:p w:rsidR="00FE0907" w:rsidRDefault="00FE0907" w:rsidP="00FE0907">
      <w:pPr>
        <w:pStyle w:val="TextoNormal"/>
      </w:pPr>
      <w:r>
        <w:lastRenderedPageBreak/>
        <w:t xml:space="preserve">Tras exponer muy detalladamente el mecanismo dispuesto para distribuir el presupuesto del INSERSO entre las CC.AA. a las que les han sido transferidos servicios y funciones del referido Organismo, debiéndose tener en cuenta que, a diferencia de las demás CC.AA. -con excepción de la C.A.P.V-, la transferencia a Cataluña ha sido total, afirma la representación de la Generalidad que el sistema de asignación de fondos supone el cercenamiento de las disponibilidades presupuestarias de Cataluña, al deducirse de la base de cómputo un conjunto de partidas y conceptos que no deberían deducirse. Además, determinadas prestaciones, a pesar de ser gestionadas por la Generalidad, a través del Institut Catalá de Serveis Socials, son pagadas por la Tesorería de la Seguridad Social, lo cual, cuando menos -se dice- es "irregular ya que si la Generalidad gestiona la subvención, lógicamente también debería pagarla... El mecanismo utilizado es, pues, inconstitucional, ya que el "pago" es también una función "ejecutiva" que en materia de Asistencia Social corresponde a la Generalidad". </w:t>
      </w:r>
    </w:p>
    <w:p w:rsidR="00FE0907" w:rsidRDefault="00FE0907" w:rsidP="00FE0907">
      <w:pPr>
        <w:pStyle w:val="TextoNormal"/>
      </w:pPr>
      <w:r>
        <w:t xml:space="preserve">"Lo más grave -se concluye- es que el INSERSO se reserva la gestión de prácticamente la mitad de un Presupuesto que, en buena medida, debería descentralizarse, y ello a un coste injustificadamente alto ..., manteniendo una estructura administrativa posiblemente desproporcionada en relación con la gestión autonómica de los servicios sociales y, lo que es peor, desarrollando unas políticas de construcción y financiación de grandes Centros de asistencia de carácter estatal y centralizado que, lógicamente, restan posibilidades a todas las CC.AA. para desarrollar su propia política de asistencia social, ya que es patente que las CC.AA. no intervienen en la decisión de crear o no esos grandes Centros estatales". </w:t>
      </w:r>
    </w:p>
    <w:p w:rsidR="00FE0907" w:rsidRDefault="00FE0907" w:rsidP="00FE0907">
      <w:pPr>
        <w:pStyle w:val="TextoNormal"/>
      </w:pPr>
      <w:r>
        <w:t xml:space="preserve">C) También son objeto de impugnación diversos preceptos del articulado de la Ley de Presupuestos Generales del Estado para 1988. </w:t>
      </w:r>
    </w:p>
    <w:p w:rsidR="00FE0907" w:rsidRDefault="00FE0907" w:rsidP="00FE0907">
      <w:pPr>
        <w:pStyle w:val="TextoNormal"/>
      </w:pPr>
      <w:r>
        <w:t xml:space="preserve">a) El art. 55 se refiere a unas pensiones que tienen carácter asistencial y que deben enmarcarse, por tanto, en la competencia de la Generalidad sobre "asistencia social", al margen de la Seguridad Social, de la MUNPAL, MUFACE y otras, contempladas también, en el art. 52 en la misma Ley. Teniendo en cuenta que la Generalidad de Cataluña tiene competencia exclusiva en materia de "asistencia social" y que en el Real Decreto de transferencias 1.949/1980 ya se previó que la Generalidad se haría cargo de la concesión y gestión de las Ayudas del Fondo Nacional de Asistencia Social en cuanto a los beneficiarios residentes en Cataluña y a los Centros que se subvencionen con cargo al citado Fondo y, por tanto, se le tranferirán las dotaciones presupuestarias correspondientes, es palmario que la Generalidad tiene atribuida la competencia exclusiva en la materia, sin que al Estado le quede ninguna facultad normativa o ejecutiva: "al Estado -se dice- le queda la habilitación de los créditos correspondientes en virtud del Decreto de Traspasos, créditos que no constituyen para el Estado ningún título legitimador de atribución de competencias". </w:t>
      </w:r>
    </w:p>
    <w:p w:rsidR="00FE0907" w:rsidRDefault="00FE0907" w:rsidP="00FE0907">
      <w:pPr>
        <w:pStyle w:val="TextoNormal"/>
      </w:pPr>
      <w:r>
        <w:t xml:space="preserve">En suma, el art. 55 impugnado es inconstitucional, pues "al no incluir ninguna cláusula de respeto a las competencias autonómicas, afecta y vulnera las competencias de Cataluña al fijar una cuantía de las prestaciones mensuales y el límite de edad de los beneficiarios". </w:t>
      </w:r>
    </w:p>
    <w:p w:rsidR="00FE0907" w:rsidRDefault="00FE0907" w:rsidP="00FE0907">
      <w:pPr>
        <w:pStyle w:val="TextoNormal"/>
      </w:pPr>
      <w:r>
        <w:t xml:space="preserve">b) La Disposición adicional decimosegunda, dando nueva redacción a la Ley 6/1977, de 4 de enero, sobre Fomento de la Minería, incide en una cuestión que es propia de la competencia de Cataluña (arts. 10.5 y 12.1.2 E.A.C.), por cuanto se trata de otorgar subvenciones concretas a determinadas empresas industriales sometidas a la legislación de minas. Dado que el núcleo del precepto es otorgar subvenciones por parte del Ministerio de Industria, y que tal otorgamiento es un típico acto ejecutivo, de carácter singular y sin ninguna connotación normativa, debe concluirse que la impugnada Disposición adicional decimosegunda es inconstitucional. </w:t>
      </w:r>
    </w:p>
    <w:p w:rsidR="00FE0907" w:rsidRDefault="00FE0907" w:rsidP="00FE0907">
      <w:pPr>
        <w:pStyle w:val="TextoNormal"/>
      </w:pPr>
      <w:r>
        <w:lastRenderedPageBreak/>
        <w:t xml:space="preserve">c) Finalmente, la Disposición final primera, en su último inciso (" ... y a las leyes promulgadas con posterioridad al 4 de enero de 1977") no se ajusta a los requisitos establecidos en el art. 82 C.E., por cuanto la delegación ejecutiva al Gobierno para elaborar Textos Refundidos, regularizando, aclarando o armonizando los textos legales que han de ser refundidos, debe ser otorgada "para una materia concreta" con determinación del "ámbito normativo a que se refiere el contenido de la delegación". Pues bien, el juego de la impugnada Disposición final primera con la Disposición final tercera de la Ley 21/1986, de 23 de diciembre, de Presupuestos Generales del Estado, supone la autorización al Gobierno para adaptar el nuevo Texto Refundido (Ley General Presupuestaria de 4 de enero de 1977 y disposiciones legales vigentes de carácter permanente en materia de gestión presupuestaria contenidas en las Leyes anuales de Presupuestos desde 1977 hasta 1987) "a la Constitución y a las leyes promulgadas con posterioridad al 4 de enero de 1977", lo que se traduce en la atribución al Organo delegado -el Gobierno- de un cierto grado de innovación impropio de la técnica de la delegación legislativa, máxime al señalarse que la adaptación se hará respecto de la Constitución. Y es que si esta adaptación a la Constitución significase que se autoriza al Gobierno para innovar libremente el ordenamiento, se estaría configurando un tipo de delegación legislativa que excedería de lo permitido por la Norma constitucional. </w:t>
      </w:r>
    </w:p>
    <w:p w:rsidR="00FE0907" w:rsidRDefault="00FE0907" w:rsidP="00FE0907">
      <w:pPr>
        <w:pStyle w:val="TextoNormal"/>
      </w:pPr>
      <w:r>
        <w:t xml:space="preserve">De otra parte, la Disposición final primera prevé también la adaptación del Texto Refundido respecto a las "leyes promulgadas con posterioridad al 4 de enero de 1977", por lo que difícilmente puede encontrar ajuste esta remisión con el requisito del art. 82.5 C.E., que exige que la delegación se refiera a un "ámbito normativo" determinado y para una materia concreta. </w:t>
      </w:r>
    </w:p>
    <w:p w:rsidR="00FE0907" w:rsidRDefault="00FE0907" w:rsidP="00FE0907">
      <w:pPr>
        <w:pStyle w:val="TextoNormal"/>
      </w:pPr>
      <w:r>
        <w:t>D) Concluye sus alegaciones la representación de la Generalidad de Cataluña suplicando de este Tribunal que dicte Sentencia declarando la inconstitucionalidad del artículo y Disposiciones adicional y final, impugnados, así como de las partidas, artículos, Conceptos y Programas que también lo son, declarando respecto de estas últimas, según proceda, que las mismas "han de ser objeto de la correspondiente territorialización y distribución entre las distintas CC.AA. con competencia en la materia -y entre ellas, la C.A. Catalana- de conformidad con criterios objetivos y con las competencias asumidas en sus Estatutos y Reales Decretos de Transferencias; que tal territorialización o distribución debe efectuarse directamente sin la intervención de otros Organismos centrales y sin necesidad de "Convenios"; y, finalmente, en cuanto al Servicio 39, Concepto 452, declarando que la territorialización efectuada en lo que concierne a Cataluña es inadecuada por insuficiente, al haber deducido de la base global que debió se objeto de reparto una serie de partidas cuya deducción es improcedente como también lo es el porcentaje aplicado".</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la Sección Primera de este Tribunal, de 6 de abril de 1988, se acordó la admisión a trámite del recurso de inconstitucionalidad, dar traslado de la demanda y documentos presentados a los Organos que establece el art. 34 de la LOTC, a los efectos allí previstos, y publicar la incoación del recurso en el "Boletín Oficial del Estado" para general conocimiento.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Mediante escritos que tuvieron entrada en este Tribunal los días 14 y 25 de abril de 1988, el Congreso de los Diputados y el Senado, respectivamente, comunicaron, el primero que, aun cuando no se personaría en el procedimiento ni formularía alegaciones, ponía a disposición del Tribunal las actuaciones de la Cámara que pudiera precisar, y el segundo, </w:t>
      </w:r>
      <w:r>
        <w:lastRenderedPageBreak/>
        <w:t>que se tuviera por personada a la Cámara y por ofrecida su colaboración a los efectos del art. 88.1 LOTC.</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Tras haberse denegado por Auto del Pleno de este Tribunal de 21 de junio de 1988 la acumulación solicitada por el Abogado del Estado del recurso de inconstitucionalidad registrado con el núm. 556/88 al presente recurso de inconstitucionalidad, solicitada prórroga por el Abogado del Estado para evacuar el traslado de alegaciones y concedida por providencia de 18 de julio siguiente, con fecha 27 de julio tuvo entrada el escrito en el que la representación del Gobierno de la Nación formuló las siguientes alegaciones. </w:t>
      </w:r>
    </w:p>
    <w:p w:rsidR="00FE0907" w:rsidRDefault="00FE0907" w:rsidP="00FE0907">
      <w:pPr>
        <w:pStyle w:val="TextoNormal"/>
      </w:pPr>
      <w:r>
        <w:t xml:space="preserve">A) Con carácter general, una vez señalado que no hay propiamente una orientación general unitaria del recurso, se afirma que el tema fundamental en él planteado, más que a la autonomía de gasto de la C.A. -que sólo puede referirse en realidad a sus fondos propios- se refiere a la capacidad de gasto del Estado, ya que en nada afecta a la autonomía de gasto comunitario la posibilidad de que el Estado disponga de sus propios fondos, salvo interferencias o contradicciones concretas que en el recurso no se denuncian. </w:t>
      </w:r>
    </w:p>
    <w:p w:rsidR="00FE0907" w:rsidRDefault="00FE0907" w:rsidP="00FE0907">
      <w:pPr>
        <w:pStyle w:val="TextoNormal"/>
      </w:pPr>
      <w:r>
        <w:t xml:space="preserve">A este respecto, la tesis general del recurso se trata de sustentar en la doctrina de la STC 95/1986, pero lo cierto es que en el recurso se hace una interpretación excesiva de lo afirmado por el Tribunal Constitucional y, además, aun cuando nada hay que objetar a la doctrina de que no existe una potestad estatal autónoma de gasto público que actúe fuera del orden competencial, no pueden olvidarse las importantes matizaciones -incluso en el caso de competencias aparentemente exclusivas de las CC.AA.- que se han formulado en la STC 146/1986, que se refiere, además, a materia análoga a una de las discutidas en el presente recurso (asistencia social). </w:t>
      </w:r>
    </w:p>
    <w:p w:rsidR="00FE0907" w:rsidRDefault="00FE0907" w:rsidP="00FE0907">
      <w:pPr>
        <w:pStyle w:val="TextoNormal"/>
      </w:pPr>
      <w:r>
        <w:t xml:space="preserve">De la STC 146/1986 cabe concluir, en efecto, que, de una parte, son contradictorios los conceptos de incompetencia estatal y obligada territorialización de los fondos y, de otra, que es necesario proceder a un examen concreto de los fondos previstos a fin de precisar si existe o no interferencia o contradicción con la política de la C.A. en la correspondiente materia. Además, en la misma Sentencia se admite, en ciertos casos, la reserva de la gestión por el propio Estado, sin perjuicio de que, en última instancia, haya que examinar concretamente la disciplina normativa específica de las ayudas o fondos de que se trate para determinar sus características, posible necesaria territorialización y grado adecuado de la misma. Disciplina normativa que, por lo que atañe a la pretendida territorialización, evidentemente no cabe exigir a la propia Ley de Presupuestos, a pesar de lo cual expresamente se ha previsto la posibilidad de esa territorialización (art. 123 de la Ley impugnada). </w:t>
      </w:r>
    </w:p>
    <w:p w:rsidR="00FE0907" w:rsidRDefault="00FE0907" w:rsidP="00FE0907">
      <w:pPr>
        <w:pStyle w:val="TextoNormal"/>
      </w:pPr>
      <w:r>
        <w:t xml:space="preserve">Por todo ello, a juicio del Abogado del Estado, no cabe en el presente recurso de inconstitucionalidad examinar en abstracto la adecuación de las partidas presupuestarias impugnadas al orden competencial por el solo hecho de no haberse previsto expresamente la territorialización de las mismas, la cual siempre será posible de acuerdo con lo dispuesto en el referido art. 123 de la propia Ley de Presupuestos Generales del Estado impugnada. </w:t>
      </w:r>
    </w:p>
    <w:p w:rsidR="00FE0907" w:rsidRDefault="00FE0907" w:rsidP="00FE0907">
      <w:pPr>
        <w:pStyle w:val="TextoNormal"/>
      </w:pPr>
      <w:r>
        <w:t xml:space="preserve">Por lo demás, en relación a las partidas impugnadas invocando a tal efecto genéricamente la competencia autonómica en materia de sanidad, cabe añadir que parece desconocerse la existencia de competencias estatales básicas en esa misma materia y que, cuando se alude a las dificultades técnicas derivadas de que el destinatario de las subvenciones sea el INSALUD, no se trata propiamente de un motivo de inconstitucionalidad, ni en realidad se presenta como tal. </w:t>
      </w:r>
    </w:p>
    <w:p w:rsidR="00FE0907" w:rsidRDefault="00FE0907" w:rsidP="00FE0907">
      <w:pPr>
        <w:pStyle w:val="TextoNormal"/>
      </w:pPr>
      <w:r>
        <w:lastRenderedPageBreak/>
        <w:t xml:space="preserve">B) En cuanto a la impugnación de aquellos conceptos que conciernen casi exclusivamente al INSERSO, hay que tener en cuenta lo siguiente: Primero, que la mediación del referido organismo no puede ser nunca un motivo de inconstitucionalidad. Segundo, que las partidas de los Programas 313.A y 313.B no están totalmente transferidas a Cataluña, ya que, de acuerdo con el Real Decreto 383/1984, de 1 de febrero (art. 43), el derecho lo reconoce la C.A., pero la tramitación del pago la continúa realizando el INSERSO. Y tercero, que la crítica que se formula al sistema de Convenios es totalmente abstracta, y por ello no puede prosperar la pretendida inconstitucionalidad. Sin conocer la normativa específica del concepto presupuestario que regule la ayuda o subvención, no puede, en efecto, impugnarse su instrumentación a través de Convenios, sin olvidar que el sistema de Convenios es perfectamente compatible con la doctrina del Tribunal Constitucional, siempre que no haya una ilegítima renuncia a las propias competencias. </w:t>
      </w:r>
    </w:p>
    <w:p w:rsidR="00FE0907" w:rsidRDefault="00FE0907" w:rsidP="00FE0907">
      <w:pPr>
        <w:pStyle w:val="TextoNormal"/>
      </w:pPr>
      <w:r>
        <w:t xml:space="preserve">C) La impugnación en particular del Servicio 39, Concepto 452, INSERSO, se basa esencialmente en que la cuantía que Cataluña recibe es insuficiente, pero lo cierto es que el porcentaje utilizado para su determinación es el previsto en el art. 118 de la misma Ley de Presupuestos que, sin embargo, no ha sido objeto del recurso de inconstitucionalidad planteado. </w:t>
      </w:r>
    </w:p>
    <w:p w:rsidR="00FE0907" w:rsidRDefault="00FE0907" w:rsidP="00FE0907">
      <w:pPr>
        <w:pStyle w:val="TextoNormal"/>
      </w:pPr>
      <w:r>
        <w:t xml:space="preserve">De otra parte, no puede desconocerse que el sistema de financiación de la C.A. del País Vasco es completamente distinto al del resto de las CC.AA. ya que percibe los totales del coste y luego devuelve al Estado un cupo global. Cataluña, sin embargo, no devuelve nada, por lo que es lógico que en la base global a repartir se deduzcan previamente los gastos que sigue sufragando el Estado (pensiones centralizadas, Servicios Centrales, etc.) y que no son, sin duda, partidas regionalizables. </w:t>
      </w:r>
    </w:p>
    <w:p w:rsidR="00FE0907" w:rsidRDefault="00FE0907" w:rsidP="00FE0907">
      <w:pPr>
        <w:pStyle w:val="TextoNormal"/>
      </w:pPr>
      <w:r>
        <w:t xml:space="preserve">D) Las razones aducidas para la impugnación del art. 55 son inconsistentes por cuanto parten del olvido de que, para determinar la real extensión de la competencia asumida por Cataluña en materia de "asistencia social", hay que estar a la naturaleza de las cosas y a los límites institucionales que la misma imponga, de manera que Cataluña no ha podido asumir aquellas facultades que por exceder naturalmente del ámbito estricto de la autonomía son de competencia genuinamente estatal y en cuanto tal indeclinables o irrenunciables, siendo éste el caso de las facultades normativas en la materia de pensiones asistenciales previstas en el Real Decreto 2.620/1981, de 24 de julio. Dejar la función normativa que se impugna a cargo de cada C.A. supondría, pues, eliminar o eludir la garantía de una pensión asistencial mínima e idéntica para todos (art. 149.1.1ª, en relación con los arts. 41, 49 y 50, todos de la C.E.), al quedar al arbitrio de cada C.A. la determinación de tal aspecto básico. </w:t>
      </w:r>
    </w:p>
    <w:p w:rsidR="00FE0907" w:rsidRDefault="00FE0907" w:rsidP="00FE0907">
      <w:pPr>
        <w:pStyle w:val="TextoNormal"/>
      </w:pPr>
      <w:r>
        <w:t xml:space="preserve">E) Respecto de la Disposición adicional primera que modifica el art. 20.1 de la Ley 6/1977, sobre Fomento de la Minería, hay que recordar que el Estado dispone de competencias en esta materia de subvenciones al amparo del art. 149.1.13 y 25 C.E,. debiendo estarse a la normativa específica, sin que sea impugnable la mera previsión abstracta como aquí sucede. </w:t>
      </w:r>
    </w:p>
    <w:p w:rsidR="00FE0907" w:rsidRDefault="00FE0907" w:rsidP="00FE0907">
      <w:pPr>
        <w:pStyle w:val="TextoNormal"/>
      </w:pPr>
      <w:r>
        <w:t xml:space="preserve">F) Por último, la impugnación del último inciso de la Disposición final primera está enunciada en términos casi hipotético-interpretativos. Se persigue con la misma que el TC realice una interpretación, pero, en cualquier caso, es evidente que existe un ámbito claro para la refundición que queda referido a los contenidos de la propia Ley General Presupuestaria de 4 de enero de 1977, alejándose así cualquier duda de indeterminación inconstitucional o habilitación en blanco al Gobierno. </w:t>
      </w:r>
    </w:p>
    <w:p w:rsidR="00FE0907" w:rsidRDefault="00FE0907" w:rsidP="00FE0907">
      <w:pPr>
        <w:pStyle w:val="TextoNormal"/>
      </w:pPr>
      <w:r>
        <w:lastRenderedPageBreak/>
        <w:t>G) Concluye el Abogado del Estado sus alegaciones suplicando sea dictada Sentencia por la que se declare que los preceptos impugnados se ajustan plenamente a la Constitución.</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29 de marzo de 1989 quedó registrado en este Tribunal un escrito por el que don José Mª Bosch i Bessa, Abogado de la Generalidad de Cataluña, en su representación y defensa, interpuso recurso de inconstitucionalidad contra el art. 45 de la Ley 37/1988, de 28 de diciembre, de Presupuestos Generales del Estado para 1989, así como contra las siguientes partidas presupuestarias contenidas en la misma Ley: de la Sección 13 (Ministerio de Justicia) Servicio 04, Programa 313.C, el Concepto 482, Servicio 04, Programa 144, el Concepto 480; de la Sección 16 (Ministerio del Interior) Servicio 04, los Conceptos 461, 482, 761, 782; de la Sección 17 (Ministerio de Obras Públicas y Urbanismos) Servicio 09, Programa 443.D, los Conceptos 470 y 771; de la Sección 18 (Ministerio de Educación y Ciencia) Servicio 01, el Concepto 481, Servicio 10, los Conceptos 450, 451 y 780, Servicio 12, los Conceptos 451, 482, 488; del Organismo 10.1, Programa 457, el Concepto 489, Servicio 06, los Conceptos 441, 442 y 486, Servicio 10, los Conceptos 440 y 482, Servicio 12, los Conceptos 460 y 461, Servicio 01, el Concepto 482, Servicio 05, el Concepto 482, Servicio 09, el Concepto 470, Servicio 10, el Concepto 480, Servicio 11, los Conceptos 480, 484 y 485, Servicio 12, el Concepto 481; de la Sección 19 (Ministerio de Trabajo y Seguridad Social) Servicio 08, los Conceptos 421, 422 y 473, Servicio 10, los Conceptos 471, 475, 481 y 484, Servicio 11, Programa 313.A, el Concepto 425; de la Sección 20 (Ministerio de Industria y Energía), Programa 542.E, Subprograma 542.E.1, Servicio 01, el Concepto 773, Subprograma 542.E.2, Servicio 11, el Concepto 771, Subprograma 542.E.3, Servicio 05, el Concepto 772, Subprograma 542.E.4, Servicio 06, los Conceptos 773 y 781, Subprograma 542.E.5, Servicio 06, el Concepto 771, Programa 722.C, Servicio 10, los Conceptos 771, 781, 782 y 783, Programa 724.B, Servicio 09, el Concepto 781, Programas 731.F, Servicio 05, Subprograma 731.F.2, el Concepto 77, Programa 741.F, Subprograma 741.F.2, Servicio 06, Concepto 772; de la Sección 21 (Ministerio de Agricultura, Pesca y Alimentación), Servicio 07, Programa 712.D, los Conceptos 771 y 773, Servicio 08, Programa 712.C, el Concepto 471, Servicio 03, Programa 542.F, el Concepto 780, Servicio 106, Programa 542.F, el Concepto 780, Servicio 106, Programa 542.F, los Conceptos 485, 486, 488 y 489, Servicio 106, Programa 712.A y D, los Conceptos 480, 481, 482, 483, 484, 487 y 772, Servicio 109, Programa 712.D, el Concepto 771, Servicio 203, Programa 533.A, los Conceptos 770, 780, Servicio 04, Programa 712.C, el Concepto 776, Servicio 109, Programa 712.D, los Conceptos 776 y 777, Servicio 04, Programa 712.B, los Conceptos 781 y 772, Servicio 04, Programa 712.D, los Conceptos 773 y 774, Servicio 09, Programa 712.A, el Concepto 772, Servicio 104, Programa 712.C, el Concepto 771, Servicio 04, Programa 712, el Concepto 778, Servicio 04, Programa 712.C, los Conceptos 770, 771, 775, 776 y 472, Servicio 09, Programa 712.E, el Concepto 771, Servicio 106, Programa 712.A, los Conceptos 782, 783, 784 y 785, Servicio 108, Programa 712.A, el Concepto 482, Servicio 205, Programa 712.E, el Concepto 470, Servicio 04, Programa 712.D, el Concepto 773; de la Sección 23 (Ministerio de Transportes, Turismo y Comunicaciones) Servicio 05, Programa 513.C, el Concepto 771; de la Sección 24 (Ministerio de Cultura) Servicio 04, el Concepto 761, Servicio 08, los Conceptos 471, 472, 473, 770 y 780, Servicio 108, el Concepto 471, Servicio 207, el Concepto 751; de la Sección 26 (Ministerio de Sanidad y Consumo) Servicio 09, los Conceptos 421, 422, 423, 424, 425, 426, 427, 428, 429, Programa 412.G, los Conceptos 484, 485, 486, 487, 488, 489, 781, 226.04, 226.07 y 227.07, Servicio 10, los Conceptos 421 y 422, Programa 313.G, el </w:t>
      </w:r>
      <w:r>
        <w:lastRenderedPageBreak/>
        <w:t>Concepto 481, Servicio 11, los Conceptos 421, 422, 423, 424, 425 y 427, Servicio 01, Programa 411.A, los Conceptos 483, 226.04 y 226.07, Servicio 02, Programa 411, los Conceptos 480 y 481 y los referentes al Programa 126.F, Servicio 07, Programa 413.B, los Conceptos 442 y 483, Servicio 09, Programa 413.A, los Conceptos 442 y 483, y sólo en cuanto detallan y limitan excesivamente las finalidades de los mismos, del Servicio 09, Programa 412.G, el Concepto 751, Servicio 10, Programa 313.G, los Conceptos 453, 454.01, 454.02, 455 y 456; de la Sección 27 (Ministerio de Asuntos Sociales), Programa 313.L, Servicio 03, los Conceptos 451, 457 y 486, Programa 313.L. Servicio 01, los Conceptos 481, 486, 721 y 781, del Organismo 208 (Instituto de la Juventud) los Conceptos 481, 781 y 226.09; del Presupuesto de la Seguridad Social (INSERSO), Función 3, Grupo 35, el Concepto 450.2</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recurso se fundamenta en las alegaciones que a continuación se sintetizan : </w:t>
      </w:r>
    </w:p>
    <w:p w:rsidR="00FE0907" w:rsidRDefault="00FE0907" w:rsidP="00FE0907">
      <w:pPr>
        <w:pStyle w:val="TextoNormal"/>
      </w:pPr>
      <w:r>
        <w:t xml:space="preserve">A) Con el carácter de consideraciones generales comienza afirmándose que la Ley de Presupuestos Generales del Estado para 1989, en cuanto engloba la previsión global de ingresos y, sobre todo, de gastos, incide de forma directa en el ejercicio de la autonomía de aquellas nacionalidades y regiones que no gozan de concierto económico y que, por lo tanto, dependen de las pertinentes transferencias de recursos. Es preciso, pues, comprobar la suficiencia y equidad de las participaciones de las CC.AA. -y, en concreto, de la Generalidad de Cataluña- en las diferentes partidas presupuestarias, debiéndose tener bien presente que la consignación centralizada de las partidas presupuestarias que se refieran a materias en las que la Generalidad ostenta competencias, supone el incumplimiento de las previsiones del propio sistema de financiación autonómica y condiciona el ejercicio de tales competencias. </w:t>
      </w:r>
    </w:p>
    <w:p w:rsidR="00FE0907" w:rsidRDefault="00FE0907" w:rsidP="00FE0907">
      <w:pPr>
        <w:pStyle w:val="TextoNormal"/>
      </w:pPr>
      <w:r>
        <w:t xml:space="preserve">La neutralidad del Presupuesto, en este sentido, desde el punto de vista competencial, no es ni siquiera aparente, porque al consignarse el crédito en favor de un órgano estatal se le está haciendo ya atribución de la responsabilidad sobre el uso y gestión del mismo. Y aun cuando, de acuerdo con los criterios que regulan la ejecución y liquidación del Presupuesto del Estado (art. 74 Texto Refundido de la Ley General Presupuestaria), no queda excluida de raíz la posibilidad de una cierta intervención de la Generalidad de Cataluña en la gestión de esos créditos presupuestarios, resulta, sin embargo, innegable que ello no permite una auténtica gestión autonómica tal y como le correspondería de acuerdo con las competencias que ha asumido. Y es que, al consignarse unas determinadas partidas destinadas a subvención o fomento en favor de Organos estatales se está predeterminando que la gestión de ellas corresponde a los mismos o que, al menos, la posible gestión por las CC.AA. se hará bajo su control directo, lo cual sólo es justificable en aquellos supuestos en los que las CC.AA. carezcan de competencias sobre la materia a la que se destinen las partidas en cuestión, pero no en los demás casos. </w:t>
      </w:r>
    </w:p>
    <w:p w:rsidR="00FE0907" w:rsidRDefault="00FE0907" w:rsidP="00FE0907">
      <w:pPr>
        <w:pStyle w:val="TextoNormal"/>
      </w:pPr>
      <w:r>
        <w:t xml:space="preserve">Tras señalar "la necesidad abstracta de que los mecanismos de asignación presupuestaria no atenten contra el orden competencial", se denuncia que "las partidas destinadas a actividades de subvención o de fomento, objeto del presente recurso, no respetan el reparto competencial ya que no permiten el mero ejercicio de las competencias de ejecución en régimen de autonomía [que corresponden a] la Generalidad de Cataluña, que rechaza convertirse en "mera caja pagadora del Estado". </w:t>
      </w:r>
    </w:p>
    <w:p w:rsidR="00FE0907" w:rsidRDefault="00FE0907" w:rsidP="00FE0907">
      <w:pPr>
        <w:pStyle w:val="TextoNormal"/>
      </w:pPr>
      <w:r>
        <w:t xml:space="preserve">Se basa, por otro lado, el presente recurso en que "la consignación centralizada de ciertos créditos presupuestarios con destino a las finalidades [de subvención o de fomento], no respeta el sistema de financiación autonómico vigente, que no es otro -de momento- que el </w:t>
      </w:r>
      <w:r>
        <w:lastRenderedPageBreak/>
        <w:t xml:space="preserve">establecido en el Acuerdo del Consejo de Política Fiscal y Financiera (1/1986, de 7 de noviembre)". </w:t>
      </w:r>
    </w:p>
    <w:p w:rsidR="00FE0907" w:rsidRDefault="00FE0907" w:rsidP="00FE0907">
      <w:pPr>
        <w:pStyle w:val="TextoNormal"/>
      </w:pPr>
      <w:r>
        <w:t xml:space="preserve">Pese a considerar que este sistema de financiación "reduce a su mínima expresión la autonomía financiera de las CC.AA.", la Generalidad de Cataluña no pretende en este recurso "contestar la constitucionalidad del sistema vigente de financiación", sino, dentro de los márgenes del mismo, "defender sus competencias frente a la creciente expansión de las intervenciones de la Administración del Estado", y "evitar que los Presupuestos Generales del Estado para 1989 se conviertan en un instrumento para la invasión de sus competencias", puesto que "es en el tema de la gestión de las subvenciones donde se produce de forma más evidente la desconsideración de las competencias autonómicas". </w:t>
      </w:r>
    </w:p>
    <w:p w:rsidR="00FE0907" w:rsidRDefault="00FE0907" w:rsidP="00FE0907">
      <w:pPr>
        <w:pStyle w:val="TextoNormal"/>
      </w:pPr>
      <w:r>
        <w:t xml:space="preserve">El Acuerdo del Consejo de Política Fiscal y Financiera de las CC.AA. de 7 de noviembre de 1986, que adoptó el sistema de financiación autonómico para el período 1987/1991, estructura el volumen de recursos traspasados a las CC.AA. en dos grandes bloques, el de financiación incondicionada y el de financiación condicionada, señalando respecto de este último, y en relación a las subvenciones corrientes y de capital -cuya finalidad sea realizar determinados objetivos generales de la política económica y social del Estado y en las que la gestión y ejecución corresponden a las CC.AA.- que "...correspondiendo la gestión y ejecución de estas subvenciones a las Comunidades Autónomas, deben establecerse los mecanismos necesarios para aplicar la gestión de las mismas, incluyendo su territorialización en los Presupuestos Generales del Estado, si ello fuera posible y en su defecto procediendo a su territorialización durante el ejercicio con la mayor antelación posible". Se trata, en suma -como declara el propio Acuerdo- de "hacer compatible el ejercicio de las competencias del Estado en materia de política económica y social y las competencias de las Comunidades en lo que respecta a la gestión y ejecución de dichas políticas". </w:t>
      </w:r>
    </w:p>
    <w:p w:rsidR="00FE0907" w:rsidRDefault="00FE0907" w:rsidP="00FE0907">
      <w:pPr>
        <w:pStyle w:val="TextoNormal"/>
      </w:pPr>
      <w:r>
        <w:t xml:space="preserve">Entiende la C.A. recurrente que "la correcta aplicación de estas previsiones del Acuerdo 1/1986, de 7 de noviembre, del Consejo de Política Fiscal y Financiera, implica que las partidas en que se persiguen objetivos generales de política económica y en que al menos la ejecución corresponde a las CC.AA., deben ser configuradas bajo la forma de transferencias a estas últimas y consignarse en los Capítulos 4.5 (transferencias corrientes) y 7.5 (transferencias de capital)", al considerar que "las subvenciones condicionadas se configuran en el Acuerdo como un elemento más de los que integran la financiación de las CC.AA.". Se concluye, por ello, que "las partidas presupuestarias que no estén configuradas con este carácter de transferencia del Estado a las CC.AA. con competencia al menos para la gestión, no respetan el orden competencial que dispone que estos recursos se integren en sus propios Presupuestos y se gestionen de acuerdo con el principio de autonomía financiera". </w:t>
      </w:r>
    </w:p>
    <w:p w:rsidR="00FE0907" w:rsidRDefault="00FE0907" w:rsidP="00FE0907">
      <w:pPr>
        <w:pStyle w:val="TextoNormal"/>
      </w:pPr>
      <w:r>
        <w:t xml:space="preserve">Según la C.A. recurrente, "confirma lo anterior el art. 153 del Texto Refundido de la Ley General Presupuestaria, el cual también considera estas subvenciones gestionadas como un elemento de la financiación autonómica". </w:t>
      </w:r>
    </w:p>
    <w:p w:rsidR="00FE0907" w:rsidRDefault="00FE0907" w:rsidP="00FE0907">
      <w:pPr>
        <w:pStyle w:val="TextoNormal"/>
      </w:pPr>
      <w:r>
        <w:t xml:space="preserve">Tras formular "las condiciones mínimas que deberían reunir las subvenciones para respetar tanto el principio competencial como el de la autonomía financiera", concluye la Generalidad de Cataluña que "la regla general en el caso de las partidas destinadas al fomento en materias de competencia autonómica debería consistir en la territorialización en los propios Presupuestos. Solamente en el caso de existir alguna dificultad de tipo técnico, dicha territorialización podría posponerse a un momento posterior a la propia Ley de Presupuestos Generales del Estado pero, en cualquier caso, al incidir las partidas en competencias de las CC.AA. deberían consignarse los créditos presupuestarios en los Conceptos 4.5 y 7.5 "para Comunidades Autónomas" y en ningún caso como partidas centralizadas a </w:t>
      </w:r>
      <w:r>
        <w:lastRenderedPageBreak/>
        <w:t xml:space="preserve">cargo de órganos del Estado". De este modo se evitaría la gestión centralizada, y con ello la invasión competencial. </w:t>
      </w:r>
    </w:p>
    <w:p w:rsidR="00FE0907" w:rsidRDefault="00FE0907" w:rsidP="00FE0907">
      <w:pPr>
        <w:pStyle w:val="TextoNormal"/>
      </w:pPr>
      <w:r>
        <w:t xml:space="preserve">De otra parte, en aquellos supuestos en los que la titularidad de la competencia estatal no alcanza a las competencias de gestión, que corresponden a las CC.AA., la fórmula que debe observarse no es la gestión de las subvenciones por órganos centralizados, sino la cooperación que permita evitar esa centralización. Cooperación que no puede traducirse en una aplicación desfigurada de los "Convenios" a través de los cuales se instrumentan estas partidas, tal como ya se razonó en el recurso de inconstitucionalidad planteado contra la Ley de Presupuestos Generales del Estado para 1988 respecto de las materias referentes a "asistencia social". </w:t>
      </w:r>
    </w:p>
    <w:p w:rsidR="00FE0907" w:rsidRDefault="00FE0907" w:rsidP="00FE0907">
      <w:pPr>
        <w:pStyle w:val="TextoNormal"/>
      </w:pPr>
      <w:r>
        <w:t xml:space="preserve">Entiende, en fin, la C.A. recurrente que "las consignaciones centralizadas supondrán también un incumplimiento del sistema vigente de financiación autonómica tal y como éste ha sido diseñado en el citado Acuerdo del Consejo de Política Fiscal y Financiera"; por lo que, al interponer este recurso, "no solo defiende sus competencias invadidas sino que exige el cumplimiento de los compromisos surgidos en los referidos Acuerdos institucionales de acuerdo con los principios de lealtad y de buena fe". </w:t>
      </w:r>
    </w:p>
    <w:p w:rsidR="00FE0907" w:rsidRDefault="00FE0907" w:rsidP="00FE0907">
      <w:pPr>
        <w:pStyle w:val="TextoNormal"/>
      </w:pPr>
      <w:r>
        <w:t xml:space="preserve">B) También con carácter introductorio, la representación de la Generalidad de Cataluña procede a un detallado análisis de la doctrina de este TC a propósito de las subvenciones y de la potestad estatal de gasto en relación al sistema de distribución de competencias, destacando la poca operatividad que hasta el momento ha tenido esa doctrina dada la práctica seguida por la Administración estatal. </w:t>
      </w:r>
    </w:p>
    <w:p w:rsidR="00FE0907" w:rsidRDefault="00FE0907" w:rsidP="00FE0907">
      <w:pPr>
        <w:pStyle w:val="TextoNormal"/>
      </w:pPr>
      <w:r>
        <w:t xml:space="preserve">Además, en algunas ocasiones, las consecuencias prácticas de esa doctrina se han visto reducidas por el hecho de haberse impugnado la normativa estatal sobre algunas subvenciones concretas y no haber impugnado su consignación en forma de partidas presupuestarias centralizadas en la correspondiente Ley de Presupuestos Generales del Estado. Así sucedió en el supuesto que dio lugar a la STC 95/1986, no prosperando en este punto la reclamación de la Generalidad, ya que, como precisó la referida Sentencia, su pronunciamiento se hacía "cualquiera que fuese el juicio que tal centralización pudiera merecer"; centralización que fue "efectuada en su momento" y "que aquí no es objeto de discusión". Por todo ello, una de las pretensiones principales de este recurso consiste en obviar ese inconveniente que limita las consecuencias prácticas de la doctrina del TC sobre las subvenciones, lo que explica que se proceda a impugnar un gran número de partidas presupuestarias, siendo, ahora si, esa centralización objeto de debate, siguiendo a tal efecto la pauta de la propia STC 95/1986 y otras más, cuando afirmó que "dando un paso más se podría llegar a cuestionar si tiene sentido y es eficaz un sistema de subvenciones centralizadas a un sector económico como el agrícola, que ha sido descentralizado y atribuido a la exclusiva competencia de las Comunidades Autónomas...". </w:t>
      </w:r>
    </w:p>
    <w:p w:rsidR="00FE0907" w:rsidRDefault="00FE0907" w:rsidP="00FE0907">
      <w:pPr>
        <w:pStyle w:val="TextoNormal"/>
      </w:pPr>
      <w:r>
        <w:t xml:space="preserve">C) Sobre la base de estas consideraciones previas, la impugnación de las diversas partidas presupuestarias cuya constitucionalidad se cuestiona, se justifica en los razonamientos siguientes, sintéticamente expuestos ahora: </w:t>
      </w:r>
    </w:p>
    <w:p w:rsidR="00FE0907" w:rsidRDefault="00FE0907" w:rsidP="00FE0907">
      <w:pPr>
        <w:pStyle w:val="TextoNormal"/>
      </w:pPr>
      <w:r>
        <w:t>a) En relación a las partidas presupuestarias incluidas en las Secciones 19 (Ministerio de Trabajo y Seguridad Social) y 27 (Asuntos Sociales) que se impugnan, referentes a la materia de "asistencia social", que es competencia exclusiva de la C.A. de Cataluña (art. 9.25), se reiteran idénticos motivos a los ya expuestos con ocasión de recurso de inconstitucionalidad planteado contra las correlativas partidas de la Ley de Presupuestos Generales del Estado para 1988 (en adelante, R.I. 542/88). En consecuencia, se insiste en que la mediación del INSERSO no sólo resulta innecesaria, sino que tampoco se ajusta al orden competencial resultante del bloque de la constitucionalidad, y que los "Convenios-</w:t>
      </w:r>
      <w:r>
        <w:lastRenderedPageBreak/>
        <w:t xml:space="preserve">Programa" limitan y cercenan la competencia exclusiva de que goza la C.A. catalana en la señalada materia de "asistencia social", y atentan contra los principios de autonomía y suficiencia financieras de las CC.AA.: "la única solución constitucionalmente correcta será, pues, la territorialización de esta partida en la propia Ley de Presupuestos Generales del Estado, atendiendo a criterios de población asistida". </w:t>
      </w:r>
    </w:p>
    <w:p w:rsidR="00FE0907" w:rsidRDefault="00FE0907" w:rsidP="00FE0907">
      <w:pPr>
        <w:pStyle w:val="TextoNormal"/>
      </w:pPr>
      <w:r>
        <w:t xml:space="preserve">En particular, dentro de la Sección 27, Servicio 01, Programa 313.L, el Concepto 481 se fundamenta en el Real Decreto 825/1988, de 15 de julio, por el que se regulan los fines de interés social de la asignación tributaria del Impuesto sobre la Renta de las Personas Físicas, el cual ha sido objeto, no obstante, de recurso contencioso-administrativo por la Generalidad de Cataluña, por excluir a organismos y entidades que teniendo igual cometido y prestando idéntica función no pueden acceder a estos recursos por no tener "ámbito estatal". Y en cuanto a los Conceptos 486 y 781, que no vienen amparados por norma específica, es claro que cualquiera que sea el "artificio" utilizado para justificar la gestión centralizada, las competencias exclusivas de Cataluña en "asistencia social" deberán ser respetadas. </w:t>
      </w:r>
    </w:p>
    <w:p w:rsidR="00FE0907" w:rsidRDefault="00FE0907" w:rsidP="00FE0907">
      <w:pPr>
        <w:pStyle w:val="TextoNormal"/>
      </w:pPr>
      <w:r>
        <w:t xml:space="preserve">b) Las partidas previstas en el "Presupuesto de la Seguridad Social. INSERSO, Función 3, Servicios Sociales, Grupo 35 "Transferencias a CC.AA. por los servicios sociales asumidos". Concepto 450.2, Cataluña. Importe 7.538.519.000 pesetas" se impugnan, asimismo, por idénticas razones a las que motivaron la impugnación de las correlativas partidas de la Ley de Presupuestos para 1988. </w:t>
      </w:r>
    </w:p>
    <w:p w:rsidR="00FE0907" w:rsidRDefault="00FE0907" w:rsidP="00FE0907">
      <w:pPr>
        <w:pStyle w:val="TextoNormal"/>
      </w:pPr>
      <w:r>
        <w:t xml:space="preserve">c) Las partidas presupuestarias del Servicio 16 (Ministerio del Interior), Servicio 004, D.G. Protección Civil, que se impugnan, dada la competencia de la Generalidad de Cataluña en la materia de protección civil (arts. 9.1, 12.1.2 y 13 de su Estatuto) deben territorializarse, asignando a la Generalidad la parte proporcional de las mismas de acuerdo con sus características y particularidades, ya que "mantener centralizadas las referidas partidas, a disposición de los Organos centrales del Estado, no sólo limita los recursos de las CC.AA. competentes, sino que puede dar lugar a futuras invasiones competenciales y a inútiles duplicidades en las actuaciones de las diferentes Administraciones". </w:t>
      </w:r>
    </w:p>
    <w:p w:rsidR="00FE0907" w:rsidRDefault="00FE0907" w:rsidP="00FE0907">
      <w:pPr>
        <w:pStyle w:val="TextoNormal"/>
      </w:pPr>
      <w:r>
        <w:t xml:space="preserve">d) De la Sección 17 (Ministerio de Obras Públicas y Urbanismo) se impugnan una serie de partidas relativas a la protección y mejora del medio ambiente, por cuanto, dada la competencia del Estado en la materia (ceñida al establecimiento de la legislación básica), son plenamente proyectables las consideraciones generales ya expuestas. Ello supone la necesidad de territorializar, en materia de medio ambiente, los correspondientes recursos presupuestarios, sin que el hecho de que la política medio-ambiental armonizada en todo el territorio del Estado responda a las directrices de la Comunidad Económica Europea pueda servir de excusa para mantener esa centralización a través de la Dirección General del Medio Ambiente. </w:t>
      </w:r>
    </w:p>
    <w:p w:rsidR="00FE0907" w:rsidRDefault="00FE0907" w:rsidP="00FE0907">
      <w:pPr>
        <w:pStyle w:val="TextoNormal"/>
      </w:pPr>
      <w:r>
        <w:t xml:space="preserve">e) También han de ser, cuando menos, territorializadas las partidas de la Sección 19 (Ministerio de Trabajo) relativas a cooperativas y sociedades anónimas laborales, ya que Cataluña dispone de competencia ejecutiva de la legislación del Estado en materia de trabajo y de competencia exclusiva en materia de cooperativas. </w:t>
      </w:r>
    </w:p>
    <w:p w:rsidR="00FE0907" w:rsidRDefault="00FE0907" w:rsidP="00FE0907">
      <w:pPr>
        <w:pStyle w:val="TextoNormal"/>
      </w:pPr>
      <w:r>
        <w:t xml:space="preserve">De otra parte, en relación a las partidas de la misma Sección relativas a jubilaciones de trabajadores, dada la competencia de Cataluña en la materia (art. 11.2 E.A.C.), nada impide que se proceda a la gestión descentralizada de las mismas. Cataluña, sin embargo, no dispone de participación en esos fondos, a pesar de que otras CC.AA., con idénticas competencias en materia laboral, si participan con un porcentaje de acuerdo con lo dispuesto en la Orden de 26 de marzo de 1988. </w:t>
      </w:r>
    </w:p>
    <w:p w:rsidR="00FE0907" w:rsidRDefault="00FE0907" w:rsidP="00FE0907">
      <w:pPr>
        <w:pStyle w:val="TextoNormal"/>
      </w:pPr>
      <w:r>
        <w:lastRenderedPageBreak/>
        <w:t xml:space="preserve">f) Del Presupuesto del Ministerio de Transportes, Turismo y Comunicaciones (Sección 23) se impugna la partida relativa a "ayudas para subvencionar el tipo de interés en los créditos para la renovación del parque de vehículos destinados al servicio público de transporte por carretera en las condiciones que se determinen reglamentariamente", ya que, dada la competencia de la Generalidad de Cataluña en materia de transporte (art. 9.15 E.A.C.), y no especificándose en el Concepto presupuestario impugnado, ni tampoco en la Memoria del correspondiente Programa, que tales subvenciones están destinadas al transporte por carretera de competencia estatal, es obligada la territorialización de las ayudas. Gestión descentralizada de los recursos que podría realizarse con arreglo a diversos criterios (número de autorizaciones de transporte residenciadas en Cataluña en relación con el conjunto del Estado, o número de empresas de transporte radicadas en Cataluña en relación con el global estatal, antigüedad del parque de vehículos): "la territorialización del concepto presupuestario sería la solución constitucionalmente correcta y aseguraría una gestión eficaz del gasto público. Al no hacerlo la partida presupuestaria impugnada, procede declarar su inconstitucionalidad". </w:t>
      </w:r>
    </w:p>
    <w:p w:rsidR="00FE0907" w:rsidRDefault="00FE0907" w:rsidP="00FE0907">
      <w:pPr>
        <w:pStyle w:val="TextoNormal"/>
      </w:pPr>
      <w:r>
        <w:t xml:space="preserve">g) Se impugnan, también, las partidas presupuestarias comprendidas en la Sección 26 (Ministerio de Sanidad y Consumo) que se refieren a la materia "Sanidad" (salud pública, protección y promoción de la salud, etc.), por cuanto quedan enmarcadas en el título competencial previsto en el art. 17.1 del E.A.C. </w:t>
      </w:r>
    </w:p>
    <w:p w:rsidR="00FE0907" w:rsidRDefault="00FE0907" w:rsidP="00FE0907">
      <w:pPr>
        <w:pStyle w:val="TextoNormal"/>
      </w:pPr>
      <w:r>
        <w:t xml:space="preserve">En concreto, en los Conceptos 421 a 429 del Servicio 09 (Dirección General de Planificación Sanitaria), 421 y 422 del Servicio 10 (Delegación del Gobierno para el plan nacional sobre drogas) y 421 a 425 y 427 del Servicio 11 (Secretaría General de Asistencia Sanitaria), se efectúan transferencias al INSALUD con el propósito de que su gestión se lleve a cabo directamente por esta Entidad en la parte destinada a Servicios centralizados, o para que sean posteriormente transferidas para su gestión por las CC.AA. de acuerdo con los Servicios transferidos. Esto supone que la intermediación del INSALUD provoca incertidumbre presupuestaria a las CC.AA., que han de gestionar los Programas sanitarios con el desconocimiento del importe real que van a recibir y la espera de la insegura llegada de los fondos estatales. Además complica extremadamente la gestión en perjuicio de los ciudadanos, contraviniendo el art. 103 C.E. y, en definitiva, resulta innecesaria y desajustada al orden competencial establecido. </w:t>
      </w:r>
    </w:p>
    <w:p w:rsidR="00FE0907" w:rsidRDefault="00FE0907" w:rsidP="00FE0907">
      <w:pPr>
        <w:pStyle w:val="TextoNormal"/>
      </w:pPr>
      <w:r>
        <w:t xml:space="preserve">Junto a lo expuesto, la Generalidad de Cataluña estima que debe recibir directamente del Ministerio de Sanidad para su gestión la parte que objetivamente le corresponda en las partidas destinadas a financiar aquellas actividades que se dirigen a la protección y promoción de la salud ("detección de anticuerpos del SIDA"; "prevención de minusvalías"; "atención al embarazo"; etc.), dadas las competencias que ostenta (art. 17. 1 E.A.C.) y la propia transferencia de los Servicios (Real Decreto 2.210/1979). Las partidas presupuestarias, en estos casos, definidas en sus "características esenciales", deberían, pues, consignarse en los Presupuestos de forma territorializada, según criterios de población protegida o afectada. </w:t>
      </w:r>
    </w:p>
    <w:p w:rsidR="00FE0907" w:rsidRDefault="00FE0907" w:rsidP="00FE0907">
      <w:pPr>
        <w:pStyle w:val="TextoNormal"/>
      </w:pPr>
      <w:r>
        <w:t xml:space="preserve">De otra parte, en buen número de estas partidas, las transferencias a las CC.AA. se condicionan a la previa formalización de Convenios, lo que vicia de entrada todo el sistema y colisiona con la regla de que, una vez fijadas por el Estado las características esenciales definitorias -la finalidad a la que deben dirigirse y el importe-, las transferencias, ni antes ni después de verse materializadas, pueden quedar supeditadas a condiciones impuestas directa o indirectamente, pero unilateralmente, por la vía del Convenio, ya que con ello se produce la transgresión del orden competencial. </w:t>
      </w:r>
    </w:p>
    <w:p w:rsidR="00FE0907" w:rsidRDefault="00FE0907" w:rsidP="00FE0907">
      <w:pPr>
        <w:pStyle w:val="TextoNormal"/>
      </w:pPr>
      <w:r>
        <w:lastRenderedPageBreak/>
        <w:t xml:space="preserve">Idéntica exigencia de territorialización, con arreglo a criterios organizativos deberían haberse observado en las partidas del mismo Presupuesto del Ministerio de Sanidad contenidas en el Servicio 09, Programa 412.G, Conceptos 484 a 489 y 781; en el Servicio 02, Programa 411, Conceptos 480 y 481; en el Servicio 07, Programa 413.B; en el Servicio 09, Programa 413.A, Conceptos 442 y 483; y en el Servicio 10, Programa 313.G, Concepto 481. Todas estas partidas, destinadas a subvencionar directamente a instituciones y/o familias sin ánimo de lucro, deberían, en efecto, territorializarse definitivamente y transferirse a las CC.AA., debiendo éstas decidir el destino concreto de los fondos respetando la finalidad general establecida (es decir, la materia que se debe financiar), sin intervención estatal en la gestión de los mismos. Esta intervención estatal transgrede las competencias de ejecución en materia de sanidad interior de la Generalidad, sin que pueda, por lo demás, justificarse, como sucede en alguna partida (la 26.10.481 referida al Plan Nacional sobre Drogas) en la existencia justamente de un Plan Nacional o en las competencias estatales de coordinación general sanitaria, razón por la cual, la Orden ministerial de 30 de diciembre de 1988, convocando ayudas económicas destinadas a Entidades sin finalidad de lucro de ámbito estatal, que desarrollan Programas supracomunitarios de acuerdo con las prioridades para 1989 contenidas en el Plan Nacional sobre Drogas, vulnera las competencias de la Generalidad de Cataluña (arts. 17 y 44 E.A.C.) </w:t>
      </w:r>
    </w:p>
    <w:p w:rsidR="00FE0907" w:rsidRDefault="00FE0907" w:rsidP="00FE0907">
      <w:pPr>
        <w:pStyle w:val="TextoNormal"/>
      </w:pPr>
      <w:r>
        <w:t xml:space="preserve">En otros supuestos, tal como sucede con las partidas previstas en el Servicio 09, Programa 412.G, Concepto 751 y en el Servicio 10, Programa 313.G, Conceptos 453, 454.01 y 02, 455 y 456, el Estado también se extralimita en sus competencias al destinar las partidas de transferencia a las CC.AA. a finalidades tan concretas que condicionan la planificación que por las mismas pueda llevarse a cabo en su ámbito de competencias. El Estado no puede entrar, en efecto, a detallar las partidas a nivel de Subconcepto ni introducir limitaciones o finalidades específicas a nivel de Concepto, ya que el carácter condicionado de la financiación no puede ir más allá de la finalidad básica de su destino. </w:t>
      </w:r>
    </w:p>
    <w:p w:rsidR="00FE0907" w:rsidRDefault="00FE0907" w:rsidP="00FE0907">
      <w:pPr>
        <w:pStyle w:val="TextoNormal"/>
      </w:pPr>
      <w:r>
        <w:t xml:space="preserve">Finalmente, las restantes partidas contenidas en el Servicio 01, Programa 411.A, Conceptos 226.04 y 226.07; y en el Servicio 09, Programa 412.G, Conceptos 226.04 y 07 y 227.07, se refieren a la materia de salud pública y promoción de la salud en la que la Generalidad ostenta competencias de desarrollo normativo y ejecución, habiéndole sido traspasados los Servicios correspondientes (Real Decreto 2.210/1979). Y los que se refieren a la prevención de enfermedades infectocontagiosas y drogadicción en las instituciones penitenciarias también deben ser gestionadas por la Generalidad, por ser la titular de los Servicios transferidos tanto en materia sanitaria como penitenciaria. </w:t>
      </w:r>
    </w:p>
    <w:p w:rsidR="00FE0907" w:rsidRDefault="00FE0907" w:rsidP="00FE0907">
      <w:pPr>
        <w:pStyle w:val="TextoNormal"/>
      </w:pPr>
      <w:r>
        <w:t xml:space="preserve">h) En cuanto a las partidas presupuestarias de la Sección 20 (Presupuesto del Ministerio de Industria y Energía) que se impugnan, dadas las competencias asumidas por la Generalidad de Cataluña en la materia de industria (arts. 12.1.2 y 3, 9.18 y 10.1.5 E.A.C.), debe corresponder a ésta la regulación de las condiciones de acceso y la gestión de las ayudas, procediéndose, pues, a su territorialización y cesando la gestión de las correspondientes partidas por los órganos estatales. Así sucede con las partidas relativas a programación de la innovación industrial y de la tecnología, al desarrollo de proyectos tecnológicos, al Plan Eléctrico e Informático Nacional, al desarrollo tecnológico para el uso eficiente de la energía, a inversiones sobre conservación de la energía, a la investigación y desarrollo tecnológico de la minería, al fomento de la investigación y desarrollo en la industria farmacéutica, a la promoción de la calidad industrial, al apoyo a la pequeña y mediana empresa industrial, al desarrollo energético y a la explotación minera. </w:t>
      </w:r>
    </w:p>
    <w:p w:rsidR="00FE0907" w:rsidRDefault="00FE0907" w:rsidP="00FE0907">
      <w:pPr>
        <w:pStyle w:val="TextoNormal"/>
      </w:pPr>
      <w:r>
        <w:t xml:space="preserve">i) En relación a las partidas de la Sección 21, correspondiente al Presupuesto del Ministerio de Agricultura, Pesca y Alimentación, recuerda la representación de la Generalidad </w:t>
      </w:r>
      <w:r>
        <w:lastRenderedPageBreak/>
        <w:t xml:space="preserve">de Cataluña que la mayoría de los conflictos planteados ante este TC en materia de agricultura, ganadería y pesca se han fundamentado en que las disposiciones normativas reguladoras de las diferentes líneas de ayudas con cargo a los Presupuestos Generales del Estado pretenden centralizar las actuaciones y asignar la gestión de las subvenciones -incluso la mera tramitación de expedientes y el pago de las ayudas a los beneficiarios- a órganos de la Administración estatal, sin que resulte en absoluto justificable la necesidad de una gestión centralizada que carece, por otra parte, de toda fundamentación competencial, al incidir en unas materias en las que la Generalidad tiene atribuida competencia exclusiva (arts. 12.1.4; 9.17 y 10.1.7 E.A.C.). No es, en definitiva, legítimo que la Administración central se reserve la competencia para decidir la cuantía, el destino y la tramitación de las ayudas y subvenciones, ni que se mantengan centralizadas las partidas correspondientes en una materia en la que el Estado únicamente conserva un título competencial genérico y horizontal, como es el de la planificación y ordenación general de la economía en lo relativo al sector agrícola. Debiéndose reiterar, además, que la plena tutela de los derechos de la Generalidad no puede alcanzarse sólo a través de la impugnación de la normativa estatal sobre la gestión de las subvenciones, siendo también preciso impugnar la centralización operada por las partidas presupuestarias. </w:t>
      </w:r>
    </w:p>
    <w:p w:rsidR="00FE0907" w:rsidRDefault="00FE0907" w:rsidP="00FE0907">
      <w:pPr>
        <w:pStyle w:val="TextoNormal"/>
      </w:pPr>
      <w:r>
        <w:t xml:space="preserve">Se explica, de este modo, la necesidad de impugnar un amplio conjunto de partidas presupuestarias por cuanto su propia configuración "anticipa una gestión centralizada de las mismas o, al menos, un injustificado y arbitrario condicionamiento de las competencias autonómicas que resulta totalmente inaceptable". </w:t>
      </w:r>
    </w:p>
    <w:p w:rsidR="00FE0907" w:rsidRDefault="00FE0907" w:rsidP="00FE0907">
      <w:pPr>
        <w:pStyle w:val="TextoNormal"/>
      </w:pPr>
      <w:r>
        <w:t xml:space="preserve">Las partidas contenidas en el Servicio 07, Programas 712.D, 771 y 773 y en el Servicio 08, Programa 712.C, Concepto 471, se destinan a ayudas cuya tramitación está regulada por el Real Decreto 219/1987, de 13 de febrero, para el desarrollo y la adaptación de las estructuras del sector pesquero y de la acuicultura. Pues bien, aunque dicho Real Decreto 219/1987 fija idéntico procedimiento de tramitación y otorgamiento de ayudas para la construcción, modernización y renovación de buques pesqueros, desarrollo de la acuicultura y acondicionamiento de la franja costera (arrecifes artificiales), la Ley que se impugna ha respetado la territorialización de las ayudas relativas a acuicultura (Servicio 07, Programa 712.D, Concepto 753); sin embargo, en relación a los expedientes de construcción, modernización y reconversión de la flota pesquera y arrecifes artificiales, el montante que consta en la referida Ley de Presupuestos se asignará directamente a las empresas por el Ministerio de Agricultura, Pesca y Alimentación, lo que colisiona con las competencias de Cataluña (art. 10.1.7 E.A.C.) y con lo dispuesto en el Real Decreto 665/1984 de Traspasos (apartado B-4 del Anexo). Por tanto, debe procederse a la territorialización de esas partidas "a ser posible en la Ley de Presupuestos, o por lo menos determinar su gestión descentralizada tal como se efectúa en relación con los expedientes de ayuda en acuicultura". </w:t>
      </w:r>
    </w:p>
    <w:p w:rsidR="00FE0907" w:rsidRDefault="00FE0907" w:rsidP="00FE0907">
      <w:pPr>
        <w:pStyle w:val="TextoNormal"/>
      </w:pPr>
      <w:r>
        <w:t xml:space="preserve">Asímismo, se impugnan las ayudas y subvenciones (contenidas en el Servicio 03, Programa 542.F, Concepto 780; Servicio 106, Programa 542.F, Conceptos 485, 486, 488 y 489; Servicio 106, Programa 712.A y D, Conceptos 480, 481 a 484, 487 y 772; Servicio 109, Programa 712.D, Concepto 771; Servicio 203, Programa 533.A, Conceptos 770 y 780; y Servicio 04, Programa 712.C, Concepto 776) que están destinadas a la concesión de las ayudas previstas en el Real Decreto 808/1987, de 19 de junio, por el que, en el marco del Reglamento CEE 797/1985, del Consejo, se establece un sistema de ayudas para la mejora de la eficacia de las estructuras agrarias, ya que tales partidas tienen un diseño presupuestario que reserva incorrectamente su gestión al Ministerio de Agricultura, Pesca y Alimentación, directamente o por medio del ICONA y el IRYDA. </w:t>
      </w:r>
    </w:p>
    <w:p w:rsidR="00FE0907" w:rsidRDefault="00FE0907" w:rsidP="00FE0907">
      <w:pPr>
        <w:pStyle w:val="TextoNormal"/>
      </w:pPr>
      <w:r>
        <w:lastRenderedPageBreak/>
        <w:t xml:space="preserve">Dada la competencia de Cataluña en la materia (arts. 9.10, 12.1.4 y 25.2 E.A.C) y los traspasos efectuados por Reales Decretos 1.388/1978, 233/1981, 2.176/1981, 241/1981 y 1.950/1980, la Generalidad ya ha impugnado, mediante la interposición del conflicto positivo de competencias núm. 1.389/87, los arts. 2.1,2,3 y 4; 23; 24.2 y 3, 25, 29 y 41.1 del referido Real Decreto 808/1987, solicitando se declare su competencia, dado que dichas previsiones vulneran las competencias autonómicas, impugnándose ahora las referidas partidas por cuanto reflejan una total centralización de tales fondos, pudiendo disponer de los mismos únicamente la Administración central. No cuestiona la Generalidad de Cataluña que "el Estado pueda destinar parte de sus recursos a financiar las ayudas para la mejora de las estructuras agrarias establecidas en el Reglamento Comunitario CEE 795/1985, mediante su previsión en la Ley de Presupuestos Generales ..., el Estado puede y debe establecer en sus Presupuestos las cantidades globales que correspondan, que deberán ser transferidas a las CC.AA. también con carácter global, de forma que las CC.AA. integren los fondos en las partidas de ingresos de sus propios Presupuestos y determinen, en su caso, las condiciones concretas de otorgamiento de las ayudas y órdenes de pago". </w:t>
      </w:r>
    </w:p>
    <w:p w:rsidR="00FE0907" w:rsidRDefault="00FE0907" w:rsidP="00FE0907">
      <w:pPr>
        <w:pStyle w:val="TextoNormal"/>
      </w:pPr>
      <w:r>
        <w:t xml:space="preserve">Idéntica territorialización y transferencia a las CC.AA. procede en el caso de los fondos presupuestados para la compensación de rentas por limitaciones naturales en zonas de montaña y en otras zonas desfavorecidas (Servicio 109, Programa 712.D, Concepto 776), y para la compensación de rentas por limitación de producción (abandono temporal, jubilación anticipada y ayuda a la renta) (Servicio 109, Programa 712.D y Concepto 777), habiéndose instrumentado estas últimas mediante el Real Decreto 1.435/1988 y la Orden de 5 de diciembre de 1988. Entiende la C.A. recurrente que "la garantía mínima de las competencias de gestión de las CC.AA. exige que la partida en cuestión (Concepto 777) aparezca asignada a "las Comunidades Autónomas" para evitar eventuales condicionamientos o incluso la frecuente tentación del MAPA de llevar a cabo la gestión de forma centralizada". </w:t>
      </w:r>
    </w:p>
    <w:p w:rsidR="00FE0907" w:rsidRDefault="00FE0907" w:rsidP="00FE0907">
      <w:pPr>
        <w:pStyle w:val="TextoNormal"/>
      </w:pPr>
      <w:r>
        <w:t>Tampoco se prevé la territorialización de las dotaciones (contenidas en el Servicio 04, Programa 712.B, Concepto 781) para subvenciones destinadas a la lucha contra agentes nocivos y promoción de agrupaciones de agricultores para los tratamientos integrados en agricultura, correspondiendo, sin embargo, a la Generalidad de Cataluña la competencia exclusiva en materia de agricultura y ganadería (art. 12.14 E.A.C.) y las funciones de lucha y prevención contra agentes nocivos de los vegetales (Real Decreto 1.674/1981), tal como se reconoció en la STC 80/1985. En este caso, no obstante, si bien en la práctica se está respetando de hecho la territorialización -ya que es la Generalidad la que tramita los expedientes, aprueba la concesión de las ayudas y hace efectivo el pago de la subvención, previa transferencia del Ministerio de Agricultura-, lo cierto es que en la Ley de Presupuestos no consta esta dotación como una transferencia a "Comunidades Autónomas", con lo que no se posibilita que las CC.AA. puedan integrar esos fondos en la partida de ingresos de sus propios Presupuestos. E idéntica consideración cabe mantener respecto de las partidas relativas a la defensa sanitaria de los animales y sus productos y a la reestructuración de los sectores productivos vegetales de las producciones ganaderas (Servicio 04, Programa 712.B, Concepto 772 y Programa 712.D, Conceptos 773 y 774), al fomento del asociacionismo agrario (Servicio 04, Programa 712, Concepto 778), a los medios de producción y nuevas técnicas de cultivos herbáceos y fomento de la producción de cultivos leñosos (Servicio 04, Programa 712.C, Conceptos 770, 771, 775 y 776), a la mejora de las estructuras de manipulación, transformación y comercialización mayorista de los productos agrarios y pesqueros (Servicio 09, Programa 712.E, Concepto 771), y a poner en prác</w:t>
      </w:r>
      <w:r>
        <w:lastRenderedPageBreak/>
        <w:t xml:space="preserve">tica la política financiada por el FEOGA (Servicio 106, Programa 712.A, Conceptos 782 a 785). </w:t>
      </w:r>
    </w:p>
    <w:p w:rsidR="00FE0907" w:rsidRDefault="00FE0907" w:rsidP="00FE0907">
      <w:pPr>
        <w:pStyle w:val="TextoNormal"/>
      </w:pPr>
      <w:r>
        <w:t xml:space="preserve">En relación con estas partidas presupuestarias, admite la Generalidad que "en la práctica se está respetando la territorialización", pero pretende que esta "territorialización práctica debe quedar formalmente establecida en la Ley objeto de impugnación"; y ello "para evitar que esta práctica de la Administración del Estado, dependa del arbitrio y buena disposición de los Organismos centrales a quien en la configuración actual del Presupuesto se concede las facultades de gasto y gestión". </w:t>
      </w:r>
    </w:p>
    <w:p w:rsidR="00FE0907" w:rsidRDefault="00FE0907" w:rsidP="00FE0907">
      <w:pPr>
        <w:pStyle w:val="TextoNormal"/>
      </w:pPr>
      <w:r>
        <w:t xml:space="preserve">Las partidas previstas para el fomento de entidades asociativas para el desarrollo de la agroindustria (Servicio 09, Programa 712.A, Concepto 772) también deberían ser territorializadas y transferidos los recursos presupuestarios para tal finalidad a las CC.AA., al igual que en el caso de las dotaciones para el fomento de la utilización de las semillas y plantas de vivero de calidad, pudiéndose optar entre muy diversas soluciones técnicas para garantizar que no se sobrepase la cuantía de los fondos estatales presupuestados. </w:t>
      </w:r>
    </w:p>
    <w:p w:rsidR="00FE0907" w:rsidRDefault="00FE0907" w:rsidP="00FE0907">
      <w:pPr>
        <w:pStyle w:val="TextoNormal"/>
      </w:pPr>
      <w:r>
        <w:t xml:space="preserve">La partida prevista en Servicio 04, Programa 712.C, Concepto 472, está destinada a cubrir las ayudas reguladas en la Orden de 29 de junio de 1988 por las que se instrumenta la concesión de ayudas a la producción de aceite de oliva para la campaña 1987/88, estableciéndose que será el Servicio Nacional de Productos Agrarios el que efectuará el pago de las ayudas, lo que supone desconocer las competencias ejecutivas de las CC.AA. en esta cuestión. </w:t>
      </w:r>
    </w:p>
    <w:p w:rsidR="00FE0907" w:rsidRDefault="00FE0907" w:rsidP="00FE0907">
      <w:pPr>
        <w:pStyle w:val="TextoNormal"/>
      </w:pPr>
      <w:r>
        <w:t xml:space="preserve">La partida Servicio 04, Programa 712.D, Concepto 773, prevé ayudas y subvenciones a la reestructuración y a la concesión de primas por abandono de plantaciones de viñedo; admitiendo la Generalidad que "existe una territorialización de hecho que debiera tener constancia formal en la Ley de Presupuestos para evitar en el futuro cualquier equívoco". </w:t>
      </w:r>
    </w:p>
    <w:p w:rsidR="00FE0907" w:rsidRDefault="00FE0907" w:rsidP="00FE0907">
      <w:pPr>
        <w:pStyle w:val="TextoNormal"/>
      </w:pPr>
      <w:r>
        <w:t xml:space="preserve">Del mismo modo, la partida Servicio 108, Programa 712.A, Concepto 482, que tiene por objeto las subvenciones reguladas por la Orden del Ministerio de Agricultura, Pesca y Alimentación de 23 de octubre de 1987, debe ser territorializada, eliminándose las facultades de mera ejecución administrativa atribuidas al Instituto de Relaciones Agrarias, ya que corresponden a la Generalidad de Cataluña (art. 12.1.4 E.A.C.), "en cualquier caso, la territorialización de los recursos económicos presupuestados es imprescindible para garantizar la efectiva ejecución de todas esas funciones por las Comunidades Autónomas". </w:t>
      </w:r>
    </w:p>
    <w:p w:rsidR="00FE0907" w:rsidRDefault="00FE0907" w:rsidP="00FE0907">
      <w:pPr>
        <w:pStyle w:val="TextoNormal"/>
      </w:pPr>
      <w:r>
        <w:t xml:space="preserve">Las partidas del Servicio 205, Programa 712.E, Concepto 470, hacen referencia a la financiación de las intervenciones para la regularización de los mercados de acuerdo con la normativa de la CEE. Pues bien, la reglamentación estatal para la tramitación de las ayudas procedentes del FEOGA-GARANTIA no es respetuosa con aquellas CC.AA. que tienen atribuidas las competencias en materia de agricultura y ganadería, ya que asigna la facultad de hacer ejecutivo el pago de tales ayudas a un Organismo de carácter estatal (el SENPA), sin que sea de recibo el argumento de que en la aplicación de la normativa comunitaria es necesario asegurar la igualdad en el disfrute de las subvenciones, por cuanto la referida normativa no deja margen de elección más o menos amplia a los Organos que tienen asignada la competencia ejecutiva en la materia. </w:t>
      </w:r>
    </w:p>
    <w:p w:rsidR="00FE0907" w:rsidRDefault="00FE0907" w:rsidP="00FE0907">
      <w:pPr>
        <w:pStyle w:val="TextoNormal"/>
      </w:pPr>
      <w:r>
        <w:t xml:space="preserve">Se explica, de este modo, que la Generalidad haya tenido que plantear diversos conflictos de competencia admitidos a trámite (núms. 1.111/87, 1.113/87, 333/88 y 125/89). </w:t>
      </w:r>
    </w:p>
    <w:p w:rsidR="00FE0907" w:rsidRDefault="00FE0907" w:rsidP="00FE0907">
      <w:pPr>
        <w:pStyle w:val="TextoNormal"/>
      </w:pPr>
      <w:r>
        <w:t xml:space="preserve">En definitiva, no es procedente asignar la partida en cuestión al FORPA para que actúe centralizadamente -como viene haciendo- a través del SENPA o, eventualmente, pueda utilizar las Administraciones de las CC.AA., debiendo, antes bien, asignarse la partida presupuestaria de forma territorializada o, al menos, determinando que sus destinatarios sean las CC.AA. y no el FORPA. </w:t>
      </w:r>
    </w:p>
    <w:p w:rsidR="00FE0907" w:rsidRDefault="00FE0907" w:rsidP="00FE0907">
      <w:pPr>
        <w:pStyle w:val="TextoNormal"/>
      </w:pPr>
      <w:r>
        <w:lastRenderedPageBreak/>
        <w:t xml:space="preserve">j) Diversas son, también, las partidas correspondientes a la Sección 24 (Ministerio de Cultura) objeto de impugnación. </w:t>
      </w:r>
    </w:p>
    <w:p w:rsidR="00FE0907" w:rsidRDefault="00FE0907" w:rsidP="00FE0907">
      <w:pPr>
        <w:pStyle w:val="TextoNormal"/>
      </w:pPr>
      <w:r>
        <w:t xml:space="preserve">Tras una serie de precisiones sobre el alcance del art. 149.2 C.E. y sobre las competencias de la Generalidad previstas en los arts. 9.4,5,6 y 31 y 11.7 del E.A.C. y las transferencias que se efectuaron en virtud del Real Decreto 1.010/1981, se impugnan, en primer término, las partidas del Servicio 004, Concepto 761 ("Sistema Español de Museos"), ya que el Estado no tiene ninguna competencia ejecutiva en relación con los museos catalanes -aún cuando éstos se integren en el "Sistema Español de Museos", regulado en el Real Decreto 620/1987-, por lo que el referido Concepto presupuestario debería ser territorializado. </w:t>
      </w:r>
    </w:p>
    <w:p w:rsidR="00FE0907" w:rsidRDefault="00FE0907" w:rsidP="00FE0907">
      <w:pPr>
        <w:pStyle w:val="TextoNormal"/>
      </w:pPr>
      <w:r>
        <w:t xml:space="preserve">También, y por idéntica razón, se impugnan las diversas partidas relativas a la promoción del libro y de la industria editorial (Servicio 008, Conceptos 471 a 473, 770 y 780), a la promoción de la industria cinematográfica (Sección 108, Concepto 471) -teniendo en cuenta, además, que, en este caso, si bien el Real Decreto 1.010/1981 ya estableció que se transfiere a la Generalidad el porcentaje del fondo de protección a la cinematografía "que se determinará por Convenio...", al cabo de 8 años aún no ha sido posible la firma del Convenio-, y al otorgamiento de subvenciones a entidades públicas para infraestructura cultural (Servicio 207, Concepto 751), teniendo en cuenta aquí la STC 84/1983. </w:t>
      </w:r>
    </w:p>
    <w:p w:rsidR="00FE0907" w:rsidRDefault="00FE0907" w:rsidP="00FE0907">
      <w:pPr>
        <w:pStyle w:val="TextoNormal"/>
      </w:pPr>
      <w:r>
        <w:t xml:space="preserve">k) En materia de educación, y de acuerdo con las competencias que ha asumido la Generalidad de Cataluña (art. 15 E.A.C.), los Reales Decretos 2.809/1980, 2.729/1983 y 355/1985 traspasaron diversos Servicios del Estado, quedando enmarcados los límites competenciales de Cataluña por la Disposición adicional primera, 2 de la Ley Orgánica 8/1985, de 3 de julio, reguladora del derecho a la educación. Quiere decirse, pues, que más allá de estos límites, la Administración estatal no puede atribuirse otras competencias ni subrogarse en las funciones que corresponden a la Administración educativa catalana, razón por la cual, se impugnan una serie de partidas presupuestarias de la Sección 18 (Ministerio de Educación y Ciencia) por el hecho, una vez más, de configurarse centralizadamente, ya que ello supone un atentado a las competencias de Cataluña. Además, las transferencias se condicionan a la formalización de Convenios por las CC.AA. o se transfieren condicionadamente por Orden ministerial (por ejemplo, Orden de 23 de septiembre de 1988, sobre concesión de subvenciones a Conservatorios). </w:t>
      </w:r>
    </w:p>
    <w:p w:rsidR="00FE0907" w:rsidRDefault="00FE0907" w:rsidP="00FE0907">
      <w:pPr>
        <w:pStyle w:val="TextoNormal"/>
      </w:pPr>
      <w:r>
        <w:t xml:space="preserve">En efecto, la territorialización de las partidas previstas en el Servicio 01, Concepto 481, Servicio 10, Conceptos 450 A, 451 A y 780 A; Servicios 11 y 12, Conceptos 451, 480, 482, 482 A y 488, está supeditada a lo que disponga la correspondiente Orden ministerial o a las técnicas que se establezcan en un Convenio suscrito entre el Ministerio y la C.A. Se trata, pues, de una financiación absolutamente condicionada que vulnera las competencias de la C.A. de Cataluña. </w:t>
      </w:r>
    </w:p>
    <w:p w:rsidR="00FE0907" w:rsidRDefault="00FE0907" w:rsidP="00FE0907">
      <w:pPr>
        <w:pStyle w:val="TextoNormal"/>
      </w:pPr>
      <w:r>
        <w:t xml:space="preserve">En cuanto a las partidas de los Servicios 06, 10 y 12 que se impugnan, relativas a transferencias a "Universidades y Corporaciones locales", tales transferencias deberían hacerse a través de la C.A., lo que supone, pues, una influencia del Estado en las competencias de Cataluña. </w:t>
      </w:r>
    </w:p>
    <w:p w:rsidR="00FE0907" w:rsidRDefault="00FE0907" w:rsidP="00FE0907">
      <w:pPr>
        <w:pStyle w:val="TextoNormal"/>
      </w:pPr>
      <w:r>
        <w:t xml:space="preserve">Por último, la C.A. catalana no recibe transferencia alguna con cargo a las partidas de los Servicios 01, Concepto 482; Servicio 05, Concepto 482; Servicio 09, Concepto 470; Servicio 10, Concepto 480; Servicio 11, Conceptos 480, 484 y 485 y Servicio 12, Concepto 481, ya que son fondos que son gastados en su totalidad en el área gestionada directamente por el Ministerio, de manera que la solución correcta aquí sería la de eliminar estos Conceptos como parte de la financiación condicionada y su inclusión en el cálculo de la fórmula financiera que determine la financiación autonómica incondicionada. Incluso se </w:t>
      </w:r>
      <w:r>
        <w:lastRenderedPageBreak/>
        <w:t xml:space="preserve">podría admitir transitoriamente este sistema, siempre que la financiación condicionada viniera configurada de forma territorializada. </w:t>
      </w:r>
    </w:p>
    <w:p w:rsidR="00FE0907" w:rsidRDefault="00FE0907" w:rsidP="00FE0907">
      <w:pPr>
        <w:pStyle w:val="TextoNormal"/>
      </w:pPr>
      <w:r>
        <w:t xml:space="preserve">l) Dentro del Presupuesto del Ministerio de Asuntos Sociales, a pesar de que el Estado no dispone de título competencial en materia de juventud, se prevén, y de manera expansiva, una serie de partidas asignadas al "Instituto de la Juventud", las cuales se gestionan centralizadamente. De manera que muchas entidades juveniles reciben subvenciones por la vía del Estado y por la de la C.A., lo que resulta contrario a la propia configuración autonómica del Estado. Se justifica, de este modo, la necesidad de que el Estado proceda a territorializar estas partidas, ya que la Administración estatal debe limitarse a promover las relaciones juveniles internacionales y las relaciones entre CC.AA. </w:t>
      </w:r>
    </w:p>
    <w:p w:rsidR="00FE0907" w:rsidRDefault="00FE0907" w:rsidP="00FE0907">
      <w:pPr>
        <w:pStyle w:val="TextoNormal"/>
      </w:pPr>
      <w:r>
        <w:t xml:space="preserve">m) Se impugnan, asímismo, los Conceptos presupuestarios referentes a materias penitenciarias de la Sección 13 (Presupuesto del Ministerio de Justicia), concretadas en el Servicio 04, Programa 313.C, Concepto 482 y Programa 144, Concepto 480. Pues bien, estas partidas se orientan a actuaciones dirigidas a dar cumplimiento a la labor asistencial y de ayuda para reclusos y liberados, y para sus familiares, conformando un conjunto de prestaciones que la Generalidad de Cataluña está obligada a asumir de acuerdo con la normativa vigente (art. 11.1 E.A.C., Real Decreto 3.482/1983, de 28 de diciembre, de traspaso de Servicios y arts. 3 y 74 de la Ley Orgánica 1/1979, General Penitenciaria y 138, 174 y 258 del Reglamento Penitenciario). Se trata de recursos presupuestarios que "responden realmente a un coste corriente de funcionamiento de los Servicios traspasados en los términos que establece el Acuerdo de Política Fiscal y Financiera, al tratarse de subvenciones de índole recurrente -en la mayoría de los casos- y con vocación de permanencia ligadas a la misma prestación de los Servicios transferidos"; razón por la cual no deberían seguir formando parte del bloque de financiación condicionada, debiéndose proceder "al menos a una distribución territorial en los propios Presupuestos Generales del Estado, de conformidad con criterios objetivos (únicamente población reclusa), evitando así la inseguridad jurídica que puede ocasionar la actuación discrecional de la Administración central". </w:t>
      </w:r>
    </w:p>
    <w:p w:rsidR="00FE0907" w:rsidRDefault="00FE0907" w:rsidP="00FE0907">
      <w:pPr>
        <w:pStyle w:val="TextoNormal"/>
      </w:pPr>
      <w:r>
        <w:t xml:space="preserve">D) De otra parte, la Generalidad de Cataluña impugna el art. 45 de la Ley de Presupuestos Generales del Estado para 1989 que, en su núcleo, viene a fijar la cuantía mensual de las pensiones asistenciales y el límite de edad de los beneficiarios en el caso de ayudas por ancianidad. </w:t>
      </w:r>
    </w:p>
    <w:p w:rsidR="00FE0907" w:rsidRDefault="00FE0907" w:rsidP="00FE0907">
      <w:pPr>
        <w:pStyle w:val="TextoNormal"/>
      </w:pPr>
      <w:r>
        <w:t xml:space="preserve">A tal efecto, se reiteran los motivos de inconstitucionalidad que ya se expusieron con ocasión de la impugnación del art. 55 de la Ley de Presupuestos Generales del Estado para 1988, dada la identidad de contenido normativo. </w:t>
      </w:r>
    </w:p>
    <w:p w:rsidR="00FE0907" w:rsidRDefault="00FE0907" w:rsidP="00FE0907">
      <w:pPr>
        <w:pStyle w:val="TextoNormal"/>
      </w:pPr>
      <w:r>
        <w:t xml:space="preserve">E) Concluye el escrito de alegaciones con una serie de consideraciones finales insistiendo en que los recursos afectos a las partidas presupuestarias impugnadas o no llegan -porque la Administración estatal, con unos u otros pretextos, entiende que le corresponde a ella hacer su distribución-, o llegan tarde -obstaculizando una gestión eficaz-, o llegan sólo en parte -porque el Estado se reserva ciertas actuaciones autocalificadas como nacionales, o porque la asignación de recursos a la Generalidad no se realiza conforme a criterios objetivos de reparto de los fondos-, o, en fin, llegan condicionados a través de Convenios cuya suscripción comporta generalmente la necesidad de ceder, inconstitucionalmente, unas competencias que son rigurosamente exclusivas, las cuales se convierten en compartidas por el simple hecho de subvencionar el Estado el "Programa" o el "Convenio-Programa", condicionándose, además, la aportación estatal a que la C.A. aporte una cantidad similar, con lo que la invasión de la autonomía financiera se produce por partida doble. </w:t>
      </w:r>
    </w:p>
    <w:p w:rsidR="00FE0907" w:rsidRDefault="00FE0907" w:rsidP="00FE0907">
      <w:pPr>
        <w:pStyle w:val="TextoNormal"/>
      </w:pPr>
      <w:r>
        <w:lastRenderedPageBreak/>
        <w:t xml:space="preserve">Por todo ello, la territorialización que se solicita se dirige a garantizar que los recursos lleguen directamente, con prontitud e integridad y sin mediatización ni condicionamientos salvo en aquello que sea requerido por la Constitución. Pues, además, tales recursos no son una concesión graciosa de los Poderes Centrales. </w:t>
      </w:r>
    </w:p>
    <w:p w:rsidR="00FE0907" w:rsidRDefault="00FE0907" w:rsidP="00FE0907">
      <w:pPr>
        <w:pStyle w:val="TextoNormal"/>
      </w:pPr>
      <w:r>
        <w:t>En consecuencia, se suplica de este TC dicte Sentencia declarando la inconstitucionalidad del art. 45 y partidas presupuestarias, Programas, Conceptos o artículos presupuestarios de la Ley de Presupuestos Generales del Estado para 1989 objeto de la impugnación, declarando, según proceda, que las distintas partidas, Programas, Conceptos o artículos presupuestarios a que se refiere el presente recurso han de ser objeto de la correspondiente territorialización y distribución entre las distintas CC.AA. con competencias en la materia (y entre ellas, la de Cataluña) de conformidad con criterios objetivos y a las competencias asumidas en sus Estatutos y Reales Decretos de Transferencias; que tal territorialización debe efectuarse siempre que sea posible en los Presupuestos Generales del Estado, sin la intervención o intermediación de otros Organos u Organismos centrales y sin someter la efectiva transferencia de los recursos presupuestarios a la subscripción de Convenios con la Administración del Estado u Organismos que de él dependen; que las partidas, Programas, Conceptos o artículos presupuestarios relacionados deben consignarse directamente a favor de Cataluña en la proporción adecuada y aplicando criterios objetivos, y en los casos en que por razones técnicas la territorialización solicitada no sea factible en la propia Ley de Presupuestos Generales del Estado, se consignen las correspondientes partidas a favor de las "Comunidades Autónomas" competentes como transferencias corrientes o de capital; y, finalmente, en cuanto al Concepto 450-2 Cataluña 7.538.519.000 pesetas, del Presupuesto de la Seguridad Social, INSERSO, se declare que la territorialización efectuada, en lo que concierne a la Generalidad, es inadecuada por insuficiente, al haberse practicado de forma improcedente la deducción de una serie de partidas de la base global que debió ser objeto de reparto, siendo también improcedente por arbitrario, el porcentaje de participación aplicado.</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la Sección Primera de este Tribunal, de 17 de abril de 1989, se acordó la admisión a trámite del recurso de inconstitucionalidad, dar traslado de la demanda y documentos presentados a los órganos que establece el art. 34 de la LOTC, a los efectos allí previstos, y publicar la incoación del recurso en el "Boletín Oficial del Estado" para general conocimiento.</w:t>
      </w:r>
    </w:p>
    <w:p w:rsidR="00FE0907" w:rsidRDefault="00FE0907" w:rsidP="00FE0907">
      <w:pPr>
        <w:pStyle w:val="TextoNormal"/>
      </w:pPr>
    </w:p>
    <w:p w:rsidR="00FE0907" w:rsidRDefault="00FE0907" w:rsidP="00FE0907">
      <w:pPr>
        <w:pStyle w:val="TextoNormal"/>
      </w:pPr>
      <w:r w:rsidRPr="00FE0907">
        <w:rPr>
          <w:rStyle w:val="NumeroAFNegritaCaracter"/>
        </w:rPr>
        <w:t>9</w:t>
      </w:r>
      <w:r>
        <w:t>. Mediante escritos que tuvieron entrada en este Tribunal los días 26 de abril y 5 de mayo de 1988, el Presidente en funciones del Congreso de los Diputados y el Presidente en funciones del Senado, respectivamente, comunicaron, el primero que, aun cuando no se personaría en el procedimiento, ni formularía alegaciones, ponía a disposición del Tribunal las actuaciones de la Cámara que pudiera precisar; y el segundo, que se tuviera por personada a la Cámara y por ofrecida su colaboración a los efectos del art. 88.1 LOTC.</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Solicitada prórroga por el Abogado del Estado para evacuar el traslado de alegaciones y concedida por providencia de 12 de mayo de 1990, con fecha 24 de mayo tuvo entrada el escrito en el que la representación del Gobierno de la Nación formuló las siguiente alegaciones. </w:t>
      </w:r>
    </w:p>
    <w:p w:rsidR="00FE0907" w:rsidRDefault="00FE0907" w:rsidP="00FE0907">
      <w:pPr>
        <w:pStyle w:val="TextoNormal"/>
      </w:pPr>
      <w:r>
        <w:t xml:space="preserve">A) Tras señalar que el sentido general del presente recurso de inconstitucionalidad es sustancialmente el mismo, en lo que se refiere a la cuestión de las subvenciones, que el </w:t>
      </w:r>
      <w:r>
        <w:lastRenderedPageBreak/>
        <w:t xml:space="preserve">seguido en el recurso de inconstitucionalidad núm. 542/88, con la diferencia de que ahora se amplía el alcance del recurso a un mayor número de partidas presupuestarias, afirma el Abogado del Estado que no puede impugnarse, como se hace, la mera consignación presupuestaria, ya que es imprescindible un examen concreto de las normas que regulan cada subvención, no apareciendo en la Ley de Presupuestos datos suficientes que permitan exigir una determinada territorialización en dicho instrumento normativo. </w:t>
      </w:r>
    </w:p>
    <w:p w:rsidR="00FE0907" w:rsidRDefault="00FE0907" w:rsidP="00FE0907">
      <w:pPr>
        <w:pStyle w:val="TextoNormal"/>
      </w:pPr>
      <w:r>
        <w:t xml:space="preserve">Además, el recurso parece omitir la posibilidad que existe, con carácter general, de proceder a la territorialización de las subvenciones, tal como prevé el art. 153 de la Ley General Presupuestaria. Asimismo, admitiendo que todo gasto público estatal debe necesariamente actuar a través del orden constitucional de distribución de competencias, aduce el Abogado del Estado que la propia doctrina del TC ha establecido importantes matizaciones al respecto, trayendo a colación a tal efecto la STC 146/1986, que se refiere, además, a materias análogas a varias de las ahora discutidas (asistencia social). Esa doctrina, en efecto, pone de manifiesto que son contradictorios los conceptos de incompetencia estatal y de obligada territorialización, y, de otra parte, obliga a un examen concreto de los fondos y a si existe o no interferencia o contradicción con la política de la C.A. en la materia de que se trate. Incluso, la reserva de la gestión para el propio Estado se admite en ciertos supuestos. </w:t>
      </w:r>
    </w:p>
    <w:p w:rsidR="00FE0907" w:rsidRDefault="00FE0907" w:rsidP="00FE0907">
      <w:pPr>
        <w:pStyle w:val="TextoNormal"/>
      </w:pPr>
      <w:r>
        <w:t xml:space="preserve">La conclusión, por tanto, es que, constatándose la evidente existencia de apoyo para la competencia estatal en las materias a que conciernen las partidas presupuestarias impugnadas -cuya existencia no se discute, sino sólo la ausencia de territorialización-, no se puede en el presente recurso examinar en abstracto su adecuación al orden competencial por la sola previsión presupuestaria sin territorialización expresa. Territorialización -se insiste- que siempre será posible al amparo del referido art. 153 de la Ley General Presupuestaria. </w:t>
      </w:r>
    </w:p>
    <w:p w:rsidR="00FE0907" w:rsidRDefault="00FE0907" w:rsidP="00FE0907">
      <w:pPr>
        <w:pStyle w:val="TextoNormal"/>
      </w:pPr>
      <w:r>
        <w:t xml:space="preserve">B) Más en concreto, se refiere el Abogado del Estado a la impugnación de las Secciones 19 (Trabajo y Seguridad Social), 27 (Asuntos Sociales) e INSERSO, así como a la del art. 45. </w:t>
      </w:r>
    </w:p>
    <w:p w:rsidR="00FE0907" w:rsidRDefault="00FE0907" w:rsidP="00FE0907">
      <w:pPr>
        <w:pStyle w:val="TextoNormal"/>
      </w:pPr>
      <w:r>
        <w:t xml:space="preserve">a) Reiterando los argumentos ya expuestos en el recurso 542/88, se insiste en que la mediación del INSERSO nunca puede ser un motivo de inconstitucionalidad y que las prestaciones a que se refiere (Programas 313.A y 313.L) no se encuentran totalmente transferidas a Cataluña (Real Decreto 383/1984, de 1 de febrero, art. 43). </w:t>
      </w:r>
    </w:p>
    <w:p w:rsidR="00FE0907" w:rsidRDefault="00FE0907" w:rsidP="00FE0907">
      <w:pPr>
        <w:pStyle w:val="TextoNormal"/>
      </w:pPr>
      <w:r>
        <w:t xml:space="preserve">Y en cuanto al sistema de Convenios previsto, la denuncia es totalmente abstracta, lo que supone que, sin conocer la normativa específica del concepto presupuestario que regule la ayuda o subvención, no pueda impugnarse su instrumentación a través de Convenios. </w:t>
      </w:r>
    </w:p>
    <w:p w:rsidR="00FE0907" w:rsidRDefault="00FE0907" w:rsidP="00FE0907">
      <w:pPr>
        <w:pStyle w:val="TextoNormal"/>
      </w:pPr>
      <w:r>
        <w:t xml:space="preserve">b) Respecto de la insuficiencia de la consignación, vía INSERSO, a la Generalidad de Cataluña, se reproducen idénticas consideraciones a las ya formuladas con ocasión del recurso 542/88, al igual que en relación al art. 45, sustancialmente coincidente con el art. 55 de la Ley de Presupuestos para 1988, también impugnado en dicho recurso. </w:t>
      </w:r>
    </w:p>
    <w:p w:rsidR="00FE0907" w:rsidRDefault="00FE0907" w:rsidP="00FE0907">
      <w:pPr>
        <w:pStyle w:val="TextoNormal"/>
      </w:pPr>
      <w:r>
        <w:t xml:space="preserve">C) La impugnación de las restantes partidas presupuestarias tampoco puede prosperar, por cuanto en relación a todas ellas concurren indudablemente competencias estatales, sin que la falta de territorialización pueda dar cobertura a la pretendida inconstitucionalidad, máxime al no discutirse la normativa concreta que regula las subvenciones de que se trata. De esta forma, las partidas del Ministerio del Interior, en materia de protección civil, se justifican en la competencia estatal en la materia (con apoyo en la STC 123/1984), y lo mismo cabe decir de las partidas incluidas en la Sección 17 (Ministerio de Obras Públicas y Urbanismo), atendiendo a los arts. 14.9.1, 13 y 23 C.E.; de las incluidas en las Secciones 19 y 23; de las relativas a cooperativas, jubilaciones anticipadas y asistencia extraordinaria </w:t>
      </w:r>
      <w:r>
        <w:lastRenderedPageBreak/>
        <w:t xml:space="preserve">de trabajadores y para la renovación del parque móvil destinado a transporte (art. 149.1.13 y 21 C.E.); y de las contenidas en la Sección 26 (art. 149.1.16 C.E.). Asimismo, los siete subprogramados de la Sección 20 tienen un alcance y entidad directamente relacionada con el art. 149.1.13 y 25 C.E. Y en cuanto a las partidas de la Sección 21 (Ministerio de Agricultura, Pesca y Alimentación), las mismas se impugnan en relación con normas jurídicas anteriores que no son parámetro válido para discutir tales partidas, debiéndose tener en cuenta que buena parte de esas normas están ya recurridas. Finalmente, la existencia de competencias estatales en relación a las partidas de Cultura, Educación e Instituto de la Juventud es indudable (art. 149.1.28 y 30 C.E.), y lo mismo cabe afirmar respecto de las Instituciones Penitenciarias (art. 149.1.1 y 6 C.E. y STC 104/1988). </w:t>
      </w:r>
    </w:p>
    <w:p w:rsidR="00FE0907" w:rsidRDefault="00FE0907" w:rsidP="00FE0907">
      <w:pPr>
        <w:pStyle w:val="TextoNormal"/>
      </w:pPr>
      <w:r>
        <w:t>D) Concluye el Abogado del Estado sus alegaciones suplicando sea dictada Sentencia por la que se declare la plena constitucionalidad de la Ley impugnada con íntegra desestimación del recurso de inconstitucionalidad.</w:t>
      </w:r>
    </w:p>
    <w:p w:rsidR="00FE0907" w:rsidRDefault="00FE0907" w:rsidP="00FE0907">
      <w:pPr>
        <w:pStyle w:val="TextoNormal"/>
      </w:pPr>
    </w:p>
    <w:p w:rsidR="00FE0907" w:rsidRDefault="00FE0907" w:rsidP="00FE0907">
      <w:pPr>
        <w:pStyle w:val="TextoNormal"/>
      </w:pPr>
      <w:r w:rsidRPr="00FE0907">
        <w:rPr>
          <w:rStyle w:val="NumeroAFNegritaCaracter"/>
        </w:rPr>
        <w:t>11</w:t>
      </w:r>
      <w:r>
        <w:t>. Solicitada por la Generalidad de Cataluña la acumulación del recurso 573/89 al anteriormente interpuesto 542/88 y habiendo mostrado su conformidad el Abogado del Estado, por Auto de 4 de julio de 1989, el Pleno de este Tribunal acordó acceder a la acumulación solicitada.</w:t>
      </w:r>
    </w:p>
    <w:p w:rsidR="00FE0907" w:rsidRDefault="00FE0907" w:rsidP="00FE0907">
      <w:pPr>
        <w:pStyle w:val="TextoNormal"/>
      </w:pPr>
    </w:p>
    <w:p w:rsidR="00FE0907" w:rsidRDefault="00FE0907" w:rsidP="00FE0907">
      <w:pPr>
        <w:pStyle w:val="TextoNormal"/>
      </w:pPr>
      <w:r w:rsidRPr="00FE0907">
        <w:rPr>
          <w:rStyle w:val="NumeroAFNegritaCaracter"/>
        </w:rPr>
        <w:t>12</w:t>
      </w:r>
      <w:r>
        <w:t xml:space="preserve">. Por escrito de 25 de febrero de 1991 la representación de la Generalidad de Cataluña manifiesta su desistimiento con carácter parcial en el recurso de inconstitucionalidad núm. 542/88 en lo relativo a la impugnación de las partidas siguientes de la Ley 33/1987, de 23 de diciembre, de Presupuestos Generales del Estado para 1988: </w:t>
      </w:r>
    </w:p>
    <w:p w:rsidR="00FE0907" w:rsidRDefault="00FE0907" w:rsidP="00FE0907">
      <w:pPr>
        <w:pStyle w:val="TextoNormal"/>
      </w:pPr>
      <w:r>
        <w:t xml:space="preserve">Del Presupuesto del Ministerio de Trabajo y Seguridad Social, Sección 19: Del Servicio 12. Programa 313.B, el Concepto 451, "Para el desarrollo de prestaciones básicas de servicios sociales" de las Corporaciones Locales mediante Convenios-Programas. </w:t>
      </w:r>
    </w:p>
    <w:p w:rsidR="00FE0907" w:rsidRDefault="00FE0907" w:rsidP="00FE0907">
      <w:pPr>
        <w:pStyle w:val="TextoNormal"/>
      </w:pPr>
      <w:r>
        <w:t xml:space="preserve">Del Presupuesto de la Seguridad Social, Servicio 39, Concepto 452. INSERSO: a la Generalidad de Cataluña 5.795.145.000 pesetas. De la Sección 19; Servicio 10: del Programa 313.A, el Concepto 422. Prestaciones socio-económicas, Ley de Integración de Minusválidos (LISMI). Del Programa 313.B, El Concepto 422. Prestaciones socio-económicas, Ley de Integración de Minusválidos (LISMI). El Concepto 486, Ayudas a Instituciones sin finalidad de lucro para financiar programas estatales e instituciones de acción social, mediante Convenios-Programa y Programas de refugiados y asilados. </w:t>
      </w:r>
    </w:p>
    <w:p w:rsidR="00FE0907" w:rsidRDefault="00FE0907" w:rsidP="00FE0907">
      <w:pPr>
        <w:pStyle w:val="TextoNormal"/>
      </w:pPr>
      <w:r>
        <w:t xml:space="preserve">Por escrito de idéntica fecha y año la representación de la Generalidad de Cataluña manifiesta su desistimiento con carácter parcial en el recurso de inconstitucionalidad núm. 573/89 en lo relativo a la impugnación de las partidas siguientes de la Ley 37/1988, de 28 de diciembre, de Presupuestos Generales del Estado para 1989: </w:t>
      </w:r>
    </w:p>
    <w:p w:rsidR="00FE0907" w:rsidRDefault="00FE0907" w:rsidP="00FE0907">
      <w:pPr>
        <w:pStyle w:val="TextoNormal"/>
      </w:pPr>
      <w:r>
        <w:t xml:space="preserve">De la Sección 27, Ministerio de Asuntos Sociales, del Servicio 03. Dirección General de Acción Social; del Programa 313.L, el Concepto 451 "Para el desarrollo de prestaciones básicas de servicios sociales". </w:t>
      </w:r>
    </w:p>
    <w:p w:rsidR="00FE0907" w:rsidRDefault="00FE0907" w:rsidP="00FE0907">
      <w:pPr>
        <w:pStyle w:val="TextoNormal"/>
      </w:pPr>
      <w:r>
        <w:t xml:space="preserve">Del Presupuesto de la Seguridad Social, INSERSO, Función 3, Servicios Sociales. Concepto 35 "Transferencias a CC.AA. por los servicios sociales asumidos". Concepto 450.2, Cataluña. Importe 7.538.519.000 pesetas. Del Servicio 03. Programa 313.L, Concepto 457. Concepto 486. Del Servicio 01. Programa 313.L, los Conceptos 481, 486, 721 y 781. El Concepto 721, del Servicio 01, Programa 313.L, Subvención al INSERSO para financiar su plan de inversiones. </w:t>
      </w:r>
    </w:p>
    <w:p w:rsidR="00FE0907" w:rsidRDefault="00FE0907" w:rsidP="00FE0907">
      <w:pPr>
        <w:pStyle w:val="TextoNormal"/>
      </w:pPr>
      <w:r>
        <w:t xml:space="preserve">La Sección Cuarta, por providencia de 27 de febrero de 1991, acordó dar traslado de ambos escritos al Abogado del Estado para alegaciones. Por escrito de 6 de marzo de 1991 </w:t>
      </w:r>
      <w:r>
        <w:lastRenderedPageBreak/>
        <w:t>el Abogado del Estado manifiesta que no tiene nada que oponer al desistimiento parcial de la Generalidad de Cataluña. Y por providencia de 21 de marzo de 1991 el Pleno acuerda que sobre el desistimiento formulado "se resolverá en la Sentencia que en su día pronuncie el Tribunal en los presentes recursos de inconstitucionalidad acumulados".</w:t>
      </w:r>
    </w:p>
    <w:p w:rsidR="00FE0907" w:rsidRDefault="00FE0907" w:rsidP="00FE0907">
      <w:pPr>
        <w:pStyle w:val="TextoNormal"/>
      </w:pPr>
    </w:p>
    <w:p w:rsidR="00FE0907" w:rsidRDefault="00FE0907" w:rsidP="00FE0907">
      <w:pPr>
        <w:pStyle w:val="TextoNormal"/>
      </w:pPr>
      <w:r w:rsidRPr="00FE0907">
        <w:rPr>
          <w:rStyle w:val="NumeroAFNegritaCaracter"/>
        </w:rPr>
        <w:t>13</w:t>
      </w:r>
      <w:r>
        <w:t>. Por providencia de 4 de febrero de 1992 se señaló el día 6 del mismo mes y año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Con el fin de concretar el objeto y alcance de los recursos de inconstitucionalidad 542/88 y 573/89, planteados por el Consejo Ejecutivo de la Generalidad de Cataluña, conviene desde ahora precisar las disposiciones impugnadas, las infracciones constitucionales que se entienden producidas y la pretensión que la Comunidad Autónoma recurrente hace valer en esta instancia constitucional.  Y a este respecto en los presentes recursos de inconstitucionalidad aparecen impugnados un amplio número de partidas presupuestarias junto a algunos preceptos de las Leyes de Presupuestos Generales del Estado para 1988 y 1989; consistiendo la tacha de inconstitucionalidad, de una parte, en el no respeto del orden constitucional de distribución de competencias, y, de otra, en la vulneración de la autonomía financiera de la Generalidad de Cataluña en la vertiente del gasto y, más concretamente, de la que se considera "una manifestación específica de dicha autonomía consistente en la territorialización de determinadas partidas del Presupuesto del Estado"; y, en fin, en la conculcación del sistema de financiación autonómico diseñado para el periodo 1987/1991 en el Acuerdo 1/1986 del Consejo de Política Fiscal y Financiera de 7 de noviembre.</w:t>
      </w:r>
    </w:p>
    <w:p w:rsidR="00FE0907" w:rsidRDefault="00FE0907" w:rsidP="00FE0907">
      <w:pPr>
        <w:pStyle w:val="TextoNormal"/>
      </w:pPr>
      <w:r>
        <w:t xml:space="preserve">Según la recurrente, en todas las partidas presupuestarias impugnadas se prevén fondos que, destinados a subvencionar diferentes actividades, en unos casos -los más- aparecen configuradas centralizadamente a favor de órganos estatales, a pesar de proyectarse o dirigirse esas subvenciones a actividades englobables en materias en las que, cuando menos, la competencia ejecutiva corresponde a la Comunidad Autónoma de Cataluña. Esa configuración de las partidas presupuestarias, asignadas a órganos de la Administración estatal, y no como transferencias territorializadas a favor de las Comunidades Autónomas -y, en concreto, a favor de la de Cataluña- supone, pues, un atentado a la autonomía financiera de las Comunidades Autónomas (art. 156 C.E.)  y al propio orden constitucional de distribución de competencias, dado que tales partidas no territorializadas se refieren a Programas de fomento a desarrollar en ámbitos de actuación respecto de los cuales las Comunidades Autónomas -en particular la de Cataluña- ostentan competencias.  Por esta misma razón, por tratarse de previsiones de gasto que inciden en ámbitos competenciales autonómicos, incurren también en inconstitucionalidad otro conjunto de partidas que, aun cuando sí se han configurado como subvenciones -o más propiamente, transferencias- de asignación territorial a favor de las Comunidades Autónomas, quedan, sin embargo, condicionadas a la celebración de Convenios entre el Estado y las Comunidades Autónomas.  Convenios que al ser obligatorios para poder disponer de esos fondos, permiten a la Administración estatal imponer condiciones y requisitos que transforman en competencias compartidas lo que son competencias exclusivas de las Comunidades Autónomas.  De otra parte, se impugnan otras partidas presupuestarias debido a que su territorialización -que la Comunidad actora reconoce que se está respetando de hecho en la práctica- no aparece formalmente </w:t>
      </w:r>
      <w:r>
        <w:lastRenderedPageBreak/>
        <w:t>establecida en las Leyes de Presupuestos, como -según la recurrente- debiera hacerse "para evitar que esta práctica de la Administración del Estado dependa del arbitrio y buena disposición de los Organismos centrales a quienes en la configuración actual del Presupuesto se concede las facultades de gasto y gestión". Y, finalmente, con carácter más residual, no faltan partidas que, habiendo sido territorializadas, han especificado con excesivo detalle los fines y condiciones de las subvenciones previstas, lo que supone, asímismo, una vulneración de las competencias autonómicas.</w:t>
      </w:r>
    </w:p>
    <w:p w:rsidR="00FE0907" w:rsidRDefault="00FE0907" w:rsidP="00FE0907">
      <w:pPr>
        <w:pStyle w:val="TextoNormal"/>
      </w:pPr>
      <w:r>
        <w:t>Pese a que la Comunidad Autónoma recurrente advierte que "es en el tema de la gestión de las subvenciones donde se produce de forma más evidente la desconsideración de las competencias autonómicas", lo que se cuestiona fundamentalmente en los recursos planteados es la no territorialización formal en las Leyes de Presupuestos de las partidas presupuestarias con arreglo a criterios objetivos, por cuanto, dadas las competencias de las Comunidades Autónomas y, en concreto, las de Cataluña, salvo razones técnicas que lo impidan -en cuyo caso bastará con configurarlas como subvenciones de asignación territorial-, las propias Leyes de Presupuestos Generales del Estado deben proceder a asignar los fondos directamente a las Comunidades Autónomas, las cuales podrán de este modo incorporar esos fondos a sus propios Presupuestos y gestionarlos de acuerdo con el principio de autonomía financiera, no siendo, en cualquier caso, constitucionalmente admisible que la concreción y percepción de las mismas por las Comunidades Autónomas quede condicionada a la celebración de Convenios obligatorios con la Administración estatal.</w:t>
      </w:r>
    </w:p>
    <w:p w:rsidR="00FE0907" w:rsidRDefault="00FE0907" w:rsidP="00FE0907">
      <w:pPr>
        <w:pStyle w:val="TextoNormal"/>
      </w:pPr>
      <w:r>
        <w:t>Por todo ello, en relación a este bloque de cuestiones -que constituyen, sin duda, el eje central de los recursos-, el petitum que formula la representación procesal de la Generalidad de Cataluña consiste en que se declare la inconstitucionalidad de las referidas partidas y que se declare asímismo, según proceda, que las mismas "han de ser objeto de la correspondiente territorialización y distribución entre las distintas Comunidades Autónomas con competencia en la materia (y entre ellas la Comunidad Autónoma catalana) de conformidad con criterios objetivos y a las competencias asumidas en sus Estatutos y Reales Decretos de Transferencias; o que tal territorialización o distribución debe efectuarse directamente sin la intervención de otros Organos centrales y sin necesidad de "Convenios" ... y siempre que sea posible en los Presupuestos Generales del Estado".</w:t>
      </w:r>
    </w:p>
    <w:p w:rsidR="00FE0907" w:rsidRDefault="00FE0907" w:rsidP="00FE0907">
      <w:pPr>
        <w:pStyle w:val="TextoNormal"/>
      </w:pPr>
      <w:r>
        <w:t>Frente a este planteamiento, el Abogado del Estado, tras advertir que la impugnación no se refiere a la autonomía de gasto de la Comunidad Autónoma -que sólo afecta en realidad a sus fondos propios-, sino a la capacidad de gasto del Estado, considera, en lo sustancial, que no es posible, ni viable, la tacha de inconstitucionalidad planteada por no haberse territorializado tales partidas presupuestarias, ya que ello no es exigible a las Leyes de Presupuestos, además de ser contradictorios los conceptos de incompetencia estatal y obligada territorialización de los fondos. Esa territorialización, si procede, se efectuará en su momento, de acuerdo con lo dispuesto en el art.  123 de la Ley de Presupuestos para 1988 -actual art. 153 de la Ley General Presupuestaria-, en la normativa específica de cada ayuda o subvención, de manera que no cabe examinar en abstracto, sin conocer esa normativa aplicable en cada caso, la adecuación de las referidas partidas presupuestarias al orden constitucional de distribución de competencias. Y lo mismo viene a afirmar, en fin, respecto de las partidas condicionadas a la celebración de los oportunos Convenios, por cuanto debe estarse también al contenido de éstos.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importancia y la complejidad que, en un Estado de estructura plural o compuesta, alcanzan las relaciones financieras entre la Administración central y las Administraciones autonómicas, junto a la imprecisa e insuficiente articulación que de ellas se hace en las </w:t>
      </w:r>
      <w:r>
        <w:lastRenderedPageBreak/>
        <w:t>normas que componen el bloque de la constitucionalidad, explican la proliferación de procesos constitucionales relativos a la distribución de competencias financieras o, lo que es igual, al reparto y a la organización del poder entre los diferentes niveles territoriales de la Hacienda Pública. Y, al igual que en buena parte de tales procesos constitucionales, las cuestiones que en el fondo se ventilan en el presente debate procesal trascienden las concretas disposiciones presupuestarias que, formalmente, los motivan, para situarse en el marco más amplio del sistema de financiación de las Comunidades Autónomas.</w:t>
      </w:r>
    </w:p>
    <w:p w:rsidR="00FE0907" w:rsidRDefault="00FE0907" w:rsidP="00FE0907">
      <w:pPr>
        <w:pStyle w:val="TextoNormal"/>
      </w:pPr>
      <w:r>
        <w:t>En efecto, en su planteamiento impugnatorio no oculta la Generalidad de Cataluña su disconformidad con el sistema de financiación arbitrado para el período 1987/1991 por el Acuerdo 1/1986, de 7 de noviembre, del Consejo de Política Fiscal y Financiera que, en su opinión, "reduce a su mínima expresión la autonomía financiera de las Comunidades Autónomas"; aunque advierte que no pretende "contestar la constitucionalidad del sistema vigente de financiación", sino, dentro de los márgenes del mismo, "defender sus competencias frente a la creciente expansión de las intervenciones de la Administración del Estado", y exigir "el cumplimiento de los compromisos surgidos en los referidos Acuerdos Institucionales", cuya "correcta aplicación (...)  implica que las partidas en que se persiguen objetivos generales de política económica y en que al menos la ejecución corresponde a las Comunidades Autónomas, deben ser configuradas bajo la forma de Transferencias a estas últimas y consignarse en los Capítulos cuarto (Trasferencias Corrientes) y séptimo (Transferencias de Capital)"; y ello "para respetar tanto el principio competencial como el de la autonomía financiera".</w:t>
      </w:r>
    </w:p>
    <w:p w:rsidR="00FE0907" w:rsidRDefault="00FE0907" w:rsidP="00FE0907">
      <w:pPr>
        <w:pStyle w:val="TextoNormal"/>
      </w:pPr>
      <w:r>
        <w:t>En el examen de las cuestiones suscitadas en los presentes recursos este Tribunal no puede ignorar el planteamiento de fondo que los motiva, ni tampoco perder de vista su incidencia general en el conjunto de problemas relacionados con la articulación del ámbito competencial -material y financiero- correspondiente al Estado y a las Comunidades Autónomas, y, particularmente, con el complejo tema de la financiación autonómica. Pues si en un Estado compuesto la acción estatal, en general, debe desplegarse teniendo en cuenta las peculiaridades de un sistema de autonomías territoriales (STC 146/1986, fundamento jurídico 4º), esta exigencia es asímismo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45/1986, fundamento jurídico 4º). Lo que -ciñéndonos ya a lo que ahora importa- se traduce en una doble exigencia: de una parte, prevenir que la utilización del poder finaciero del Estado pueda "desconocer, desplazar o limitar" las competencias materiales autonómicas. Y, de otra, evitar asímismo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w:t>
      </w:r>
    </w:p>
    <w:p w:rsidR="00FE0907" w:rsidRDefault="00FE0907" w:rsidP="00FE0907">
      <w:pPr>
        <w:pStyle w:val="TextoNormal"/>
      </w:pPr>
      <w:r>
        <w:t xml:space="preserve">Sin embargo, debe desde ahora recordarse que ni el recurso de inconstitucionalidad, en ausencia de preceptos constitucionales que así lo exijan, es la vía adecuada para obtener el establecimiento de uno u otro sistema de financiación de las Haciendas territoriales, o la coordinación de la actividad financiera de los distintos entes territoriales entre sí (STC </w:t>
      </w:r>
      <w:r>
        <w:lastRenderedPageBreak/>
        <w:t>179/1985); ni nos incumbe a nosotros determinar "cuál es el más adecuado sistema de articulación de competencias estatales y autonómicas"; decisión ésta que, "dentro de la Constitución, corresponde adoptar a los propios Poderes Públicos responsables de ello, tanto del Estado como de las Comunidades Autónomas" (STC 145/1989, fundamento jurídico 6º), siendo la única función de este Tribunal la de decidir si las concretas disposiciones impugnadas exceden o no el marco de lo constitucionalmente admisible.</w:t>
      </w:r>
    </w:p>
    <w:p w:rsidR="00FE0907" w:rsidRDefault="00FE0907" w:rsidP="00FE0907">
      <w:pPr>
        <w:pStyle w:val="TextoNormal"/>
      </w:pPr>
    </w:p>
    <w:p w:rsidR="00FE0907" w:rsidRDefault="00FE0907" w:rsidP="00FE0907">
      <w:pPr>
        <w:pStyle w:val="TextoNormal"/>
      </w:pPr>
      <w:r w:rsidRPr="00FE0907">
        <w:rPr>
          <w:rStyle w:val="NumeroAFNegritaCaracter"/>
        </w:rPr>
        <w:t>3</w:t>
      </w:r>
      <w:r>
        <w:t>. Antes de examinar los motivos de impugnación en que la Generalidad de Cataluña fundamenta los presentes recursos de inconstitucionalidad contra las Leyes de Presupuestos Generales del Estado para 1988 y 1989, hemos de dar respuesta a la cuestión del desistimiento parcial de la Generalidad de Cataluña en relación con la impugnación de las partidas presupuestarias de la Ley 33/1987, de 23 de diciembre, de Presupuestos Generales del Estado para 1988. Y, de la Ley 37/1988, de 28 de diciembre, de Presupuestos Generales del Estado para 1989 que han quedado reseñadas en el epígrafe 12 de los Antecedentes.</w:t>
      </w:r>
    </w:p>
    <w:p w:rsidR="00FE0907" w:rsidRDefault="00FE0907" w:rsidP="00FE0907">
      <w:pPr>
        <w:pStyle w:val="TextoNormal"/>
      </w:pPr>
      <w:r>
        <w:t>Dado que el Abogado del Estado, en representación del Gobierno de la Nación, ha mostrado de manera expresa su conformidad con el desistimiento formulado y, apreciadas las circunstancias del presente proceso, no se advierten razones de interés público que aconsejen lo contrario, resulta procedente acceder a lo solicitado y tener por desistida parcialmente a la Generalidad de Cataluña en la prosecución de los recursos de inconstitucionalidad acumulados contra las citadas normas de dichas Leyes de Presupuestos.</w:t>
      </w:r>
    </w:p>
    <w:p w:rsidR="00FE0907" w:rsidRDefault="00FE0907" w:rsidP="00FE0907">
      <w:pPr>
        <w:pStyle w:val="TextoNormal"/>
      </w:pPr>
    </w:p>
    <w:p w:rsidR="00FE0907" w:rsidRDefault="00FE0907" w:rsidP="00FE0907">
      <w:pPr>
        <w:pStyle w:val="TextoNormal"/>
      </w:pPr>
      <w:r w:rsidRPr="00FE0907">
        <w:rPr>
          <w:rStyle w:val="NumeroAFNegritaCaracter"/>
        </w:rPr>
        <w:t>4</w:t>
      </w:r>
      <w:r>
        <w:t>. Con carácter previo y para una mejor comprensión de las cuestiones planteadas en los presentes recursos de inconstitucionalidad, conviene recapitular y traer aquí, siquiera sea de manera resumida, la doctrina de este Tribunal Constitucional sobre el poder de gastar del Estado y su incidencia en las competencias exclusivas que las Comunidades Autónomas han asumido en relación con determinadas materias, elaborada en numerosos conflictos a propósito de una frecuente manifestación de esta facultad de gasto -las subvenciones- pero que puede generalizarse, desde la temprana STC 39/1982 (legislación en materia laboral: Decreto del Gobierno Vasco sobre deber de información en materia laboral de las empresas beneficiarias de subvención de la Administración autonómica) y reiterada en numerosas Sentencias posteriores [SSTC 144/1985 (beneficios a la agricultura de montaña); 179/1985 (medidas urgentes de saneamiento y regulación de las Haciendas Locales); 95/1986 y 96/1986 (ayudas a los agricultores jóvenes); 146/1986 (ayudas para la financiación de programas estatales de acción social); 88/1987 (subvenciones en materia de Turismo); 152/1988 (financiación de actuaciones protegibles en materia de Vivienda); 201/1988 (subvenciones en materia de Agricultura y Ganadería); 14/1989 (subvenciones de la Comunidad Autónoma de Baleares a la inmovilización de carne de porcino); 64/1989 -y 189/1989; 190/1989- (ayudas a Empresas Periodísticas y Agencias Informativas); 75/1989 (subvenciones a actividades privadas en materia de Turismo); 145/1989 (programa nacional de ordenación y mejora de explotaciones ganaderas extensivas); 188/1989 (subvenciones para el fomento del cultivo del maiz); 96/1990 (diversos preceptos de la Ley de Presupuestos Generales del Estado para 1985)]. En ellas se señalaba, al respecto:</w:t>
      </w:r>
    </w:p>
    <w:p w:rsidR="00FE0907" w:rsidRDefault="00FE0907" w:rsidP="00FE0907">
      <w:pPr>
        <w:pStyle w:val="TextoNormal"/>
      </w:pPr>
      <w:r>
        <w:t xml:space="preserve">1º) Que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w:t>
      </w:r>
      <w:r>
        <w:lastRenderedPageBreak/>
        <w:t>179/1985, 145/1989) que "puede desconocer, desplazar o limitar las competencias materiales que corresponden a las Comunidades Autónomas según la Constitución y los Estatutos de Autonomía" (STC 95/1986).</w:t>
      </w:r>
    </w:p>
    <w:p w:rsidR="00FE0907" w:rsidRDefault="00FE0907" w:rsidP="00FE0907">
      <w:pPr>
        <w:pStyle w:val="TextoNormal"/>
      </w:pPr>
      <w:r>
        <w:t>2º) Que,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(STC 95/1986 y 96/1990, fundamento jurídico 15).  De modo que "la sola decisión de contribuir a la financiación no autoriza al Estado para invadir competencias ajenas -que lo siguen siendo a pesar de la financiación-, sino que, aún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(SSTC 146/1986 y 75/1989).</w:t>
      </w:r>
    </w:p>
    <w:p w:rsidR="00FE0907" w:rsidRDefault="00FE0907" w:rsidP="00FE0907">
      <w:pPr>
        <w:pStyle w:val="TextoNormal"/>
      </w:pPr>
      <w:r>
        <w:t>3º) En consecuencia, ésto significa que la persecución del interés general que representa el Estado "se ha de materializar "a través de", no "a pesar de" los sistemas de reparto de competencias articulado en la Constitución" (STC 146/1986), excluyéndose así que el ámbito de competencias pueda ser extendido por meras consideraciones finalísticas (STC 75/1989).</w:t>
      </w:r>
    </w:p>
    <w:p w:rsidR="00FE0907" w:rsidRDefault="00FE0907" w:rsidP="00FE0907">
      <w:pPr>
        <w:pStyle w:val="TextoNormal"/>
      </w:pPr>
      <w:r>
        <w:t>Por tanto, la legitimidad constitucional del régimen normativo y de gestión de las subvenciones fijado por el Estado depende de las competencias genéricas o específicas que el Estado posea en la materia de que se trate, competencias que, necesariamente, serán concurrentes con la que ostente la Comunidad Autónoma a la que se transfiera la subvención (SSTC 201/1988, fundamento jurídico 2º y 188/1989, fundamento jurídico 3º). Pues "si se admitiera una competencia general e indeterminada de fomento de las actividades productivas por parte del Estado se produciría, junto a la indicada alteración del sistema competencial, una distorsión permanente del sistema ordinario de financiación autonómica". (STC 152/1988, fundamento jurídico 3º).</w:t>
      </w:r>
    </w:p>
    <w:p w:rsidR="00FE0907" w:rsidRDefault="00FE0907" w:rsidP="00FE0907">
      <w:pPr>
        <w:pStyle w:val="TextoNormal"/>
      </w:pPr>
      <w:r>
        <w:t>4º) De ello se deriva que "el Estado no puede condicionar las subvenciones o determinar su finalidad más allá de donde alcancen sus competencias de planificación y coordinación, la cual resultará excedida, con la consiguiente invasión competencial, si la especificación del destino de las subvenciones se realiza en tal grado de concreción y detalle que, no siendo imprescindible para asegurar el objetivo de la planificación, se prive a la Comunidad Autónoma de todo margen para desarrollar, en el sector subvencionado, una política propia, orientada a la satisfacción de sus intereses peculiares, dentro de las orientaciones de programación y coordinación que el Estado disponga para el sector como componente del sistema económico general" (SSTC 201/1988 y 96/1990, fundamento jurídico 15º).</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En relación con la gestión de las subvenciones estatales -el problema más agudamente debatido por las Comunidades Autónomas en los numerosos conflictos competenciales planteados- el Tribunal se ha cuestionado "si tiene sentido y es eficaz un sistema de subvenciones centralizadas en un sector económico que ha sido descentralizado y atribuido a la competencia exclusiva de las Comunidades Autónomas" (SSTC 95/1986, fundamento jurídico 5º y 152/1988, fundamento jurídico 5º).  Concluyéndose, a este respecto, que la gestión por el Estado, directa y centralizada, de las medidas de fomento con cargo a fondos estatales sólo es constitucionalmente admisible "si resulta imprescindible para asegurar la plena efectividad de las medidas de fomento dentro de la ordenación básica del sector, y para garantizar las mismas posibilidades de obtención y disfrute de las mismas </w:t>
      </w:r>
      <w:r>
        <w:lastRenderedPageBreak/>
        <w:t>por parte de sus destinatarios potenciales en todo el territorio nacional, siendo al mismo tiempo un medio necesario para evitar que se sobrepase la cuantía global de los fondos o de los créditos que hayan de destinarse al sector" (SSTC 95/1986, 152/1988 y 201/1988). En otro caso -ésto es, si no concurre alguna de las citadas circunstancias- la regla general es la gestión autonómica o descentralizada de las subvenciones de acuerdo con la normativa estatal básica, debiendo transferirse a las Comunidades Autónomas los recursos estatales destinados a la financiación de las actividades que se fomentan bien sea mediante la fijación de criterios objetivos de reparto o mediante convenios ajustados a los principios constitucionales (SSTC 95/1986, 152/1988, 201/1988; 75/1989 y 188/1989).</w:t>
      </w:r>
    </w:p>
    <w:p w:rsidR="00FE0907" w:rsidRDefault="00FE0907" w:rsidP="00FE0907">
      <w:pPr>
        <w:pStyle w:val="TextoNormal"/>
      </w:pPr>
    </w:p>
    <w:p w:rsidR="00FE0907" w:rsidRDefault="00FE0907" w:rsidP="00FE0907">
      <w:pPr>
        <w:pStyle w:val="TextoNormal"/>
      </w:pPr>
      <w:r w:rsidRPr="00FE0907">
        <w:rPr>
          <w:rStyle w:val="NumeroAFNegritaCaracter"/>
        </w:rPr>
        <w:t>6</w:t>
      </w:r>
      <w:r>
        <w:t>. Se añade que "las subvenciones concedidas para la realización de los programas que figuran en los Presupuestos de gastos de los distintos Ministerios deben, pues, considerarse transferencias presupuestarias que dotan, en régimen descentralizado, los Presupuestos de las Comunidades Autónomas y sin que su afectación a programas específicos pueda utilizarse para privarlas de la gestión que les corresponde" (SSTC 201/1988 y 96/1990, fundamento jurídico 14º). De modo que "el Estado al dictar la normativa general de cada tipo de subvención no podrá exceder de los títulos competenciales que amparen su intervención y habrá de respetar las competencias que sobre la materia subvencionada titulan las Comunidades Autónomas, las cuales determinan, en última instancia, conforme a la normativa general, la medida y alcance de la gestión de la subvención por la Comunidad Autónoma.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de la C.E." (STC 96/1990, fundamento jurídico 15).</w:t>
      </w:r>
    </w:p>
    <w:p w:rsidR="00FE0907" w:rsidRDefault="00FE0907" w:rsidP="00FE0907">
      <w:pPr>
        <w:pStyle w:val="TextoNormal"/>
      </w:pPr>
      <w:r>
        <w:t>5. Hay que comenzar por decir que el planteamiento de los presentes recursos de inconstitucionalidad en lo que a la cuestión central respecta -ésto es, la impugnación directa de las partidas de las Leyes de Presupuestos Generales del Estado destinadas a subvenciones en materias o sectores económicos que han sido descentralizados atribuyéndose la competencia exclusiva a las Comunidades Autónomas, por no llevarse a cabo en ellas una territorialización de los fondos y su correspondiente distribución entre las Comunidades Autónomas con competencias en la materia, sino, por el contrario, previendo su consignación y gestión centralizada- no es sino el corolario que se desprende de la propia doctrina de este Tribunal Constitucional en materia de subvenciones antes reseñada.  En efecto, en distintas ocasiones se ha advertido a los recurrentes de las consecuencias que puede tener, en el orden competencial, no impugnar las partidas presupuestarias correspondientes, poniéndose de manifiesto a los recurrentes -órganos de Gobierno de las Comunidades Autónomas- el hecho de que no hubiesen planteado la cuestión de "si tiene sentido un sistema de subvenciones centralizadas a un sector económico como el agrícola que ha sido descentralizado y atribuido a la competencia exclusiva de las Comunidades Autónomas" (STC 95/1986, fundamento jurídico 5º); o bien "que no ha impugnado o discutido la partida presupuestaria contenida en la Disposición adicional decimosexta de la Ley de Presupuestos Generales del Estado para 1984, sino tan solo el procedimiento adoptado para su reparto", "aceptando expresamente la posibilidad de que el Estado subvencione" en la materia turís</w:t>
      </w:r>
      <w:r>
        <w:lastRenderedPageBreak/>
        <w:t>tica de que se trata "a instituciones, entidades y empresas radicadas en su ámbito territorial" y limitando sus discrepancias "al modo en que tal intervención estatal se regula" (STC 88/1987, fundamentos jurídicos 2º y 3º); o bien, por fin, que "pues no impugnan los recurrentes los programas a los que están afectadas dichas subvenciones ni en lo que se refiere a las finalidades perseguidas ni en cuanto al monto de las cantidades disponibles que para cada una de ellas el legislador establece en los estados de gastos de los Presupuestos", añadiéndose que "no cuestiona la Generalidad de Cataluña cuál puede ser la competencia que autoriza al Estado a incluir en sus Presupuestos Generales unas sumas destinadas a llevar a cabo medidas de fomento en materias en las que han asumido competencias las Comunidades Autónomas y cuya gestión les corresponde como consecuencia del traspaso de servicios" (STC 96/1990, fundamentos jurídicos 14 y 15).</w:t>
      </w:r>
    </w:p>
    <w:p w:rsidR="00FE0907" w:rsidRDefault="00FE0907" w:rsidP="00FE0907">
      <w:pPr>
        <w:pStyle w:val="TextoNormal"/>
      </w:pPr>
      <w:r>
        <w:t>Antes de nada, hemos de despejar la objeción formal a que alude el Abogado del Estado de que no puede impugnarse, como se hace por la Generalidad de Cataluña, la mera consignación presupuestaria sin un examen concreto de la normativa específica que regula cada subvención. O expresado de otra manera, que para defender la competencia de las Comunidades Autónomas en materia de subvenciones no pueden aquéllas impugnar las partidas correspondientes de las Leyes de Presupuestos Generales del Estado porque la partida presupuestaria es, desde el punto de vista competencial, inocua y no podría vulnerar el orden de competencias al ser tan solo una autorización para el gasto, por lo que la pretensión tendría así un carácter meramente cautelar o preventivo.</w:t>
      </w:r>
    </w:p>
    <w:p w:rsidR="00FE0907" w:rsidRDefault="00FE0907" w:rsidP="00FE0907">
      <w:pPr>
        <w:pStyle w:val="TextoNormal"/>
      </w:pPr>
      <w:r>
        <w:t>Y a tal objeto conviene matizar el sentido y alcance que, a este respecto, debe atribuirse a la doctrina del Tribunal a propósito de la autorización presupuestaria de gasto que se desprende de las SSTC 63/1986 y 146/1986.</w:t>
      </w:r>
    </w:p>
    <w:p w:rsidR="00FE0907" w:rsidRDefault="00FE0907" w:rsidP="00FE0907">
      <w:pPr>
        <w:pStyle w:val="TextoNormal"/>
      </w:pPr>
      <w:r>
        <w:t>Dada la naturaleza jurídica misma de la autorización presupuestaria de créditos -en cuanto norma jurídica de mera habilitación de medios a la Administración y de fijación de límites a la disposición de los mismos, en un triple sentido cualitativo, cuantitativo y temporal (arts. 59.1, 60 y 63.1 de la Ley General Presupuestaria)-, es claro que en todo análisis de la supuesta inconstitucionalidad de una partida o de una Sección del estado de gastos de la Ley de Presupuestos debe tenerse presente como punto de arranque -según se dejó dicho en la STC 63/1986, fundamento jurídico 6º-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w:t>
      </w:r>
    </w:p>
    <w:p w:rsidR="00FE0907" w:rsidRDefault="00FE0907" w:rsidP="00FE0907">
      <w:pPr>
        <w:pStyle w:val="TextoNormal"/>
      </w:pPr>
      <w:r>
        <w:t xml:space="preserve">Por tanto, como se reiteró en la STC 146/1986, fundamento jurídico 8º, "las Leyes de Presupuestos Generales del Estado en nada regulan o predeterminan la forma en que el gasto ha de invertirse, sino que sólo autorizan la disposición de los fondos y predeterminan el concepto por el que autorizan su uso; pero en modo alguno precisan el alcance de la competencia estatal en la materia que podría ser fijada en un momento posterior con criterios conformes con la Constitución". Así pues, "las correspondientes partidas de las Leyes de Presupuestos Generales del Estado no desempeñan otra función que la mera dotación económica para la actividad estatal en la materia, que no predeterminan ni crean, sino que aplican en la medida en que haya sido reconocida a aquél la respectiva competencia y, por </w:t>
      </w:r>
      <w:r>
        <w:lastRenderedPageBreak/>
        <w:t>tanto, remiten a las normas que la hayan hecho, que serán las verdaderamente habilitantes".</w:t>
      </w:r>
    </w:p>
    <w:p w:rsidR="00FE0907" w:rsidRDefault="00FE0907" w:rsidP="00FE0907">
      <w:pPr>
        <w:pStyle w:val="TextoNormal"/>
      </w:pPr>
      <w:r>
        <w:t>Esta doctrina, técnicamente correcta, es sin duda irreprochable en aquellos procesos constitucionales en que -como acontecía en los recursos de inconstitucionalidad acumulados resueltos por la STC 63/1986- lo que se impugnaba por el Gobierno autonómico era una partida presupuestaria (en aquel caso, las Transferencias del Fondo de Compensación Interterritorial a las Comunidades Autónomas) cuyos criterios de distribución -tachados de inconstitucionales- se contenían en un acto legislativo distinto, externo o ajeno a la Ley de Presupuestos que no contenía decisión alguna sobre la distribución del Fondo, limitándose a dotarlo financieramente. O bien, en aquellos otros procesos constitucionales en que se trate de dar respuesta a pretensiones de las Comunidades Autónomas que invoquen una vulneración de sus competencias por haber llevado a cabo el Estado, sobre la base de la previsión presupuestaria, una regulación del régimen jurídico de la subvención sin respetar las competencias normativas (de desarrollo) o ejecutivas que puedan corresponder a las Comunidades Autónomas en esa materia, o bien porque el Estado, en la ejecución de las partidas presupuestarias destinadas a subvención, no haya respetado las competencias que en la gestión de las mismas corresponden a las Comunidades Autónomas.</w:t>
      </w:r>
    </w:p>
    <w:p w:rsidR="00FE0907" w:rsidRDefault="00FE0907" w:rsidP="00FE0907">
      <w:pPr>
        <w:pStyle w:val="TextoNormal"/>
      </w:pPr>
      <w:r>
        <w:t>En tales supuestos, no es, en rigor, a las autorizaciones de créditos para gastos consignadas en las Leyes de Presupuestos Generales del Estado a las que han de atribuirse las presuntas lesiones al orden constitucional y estatutario de competencias, sino a las concretas normas y actos administrativos que les dan ejecución (y ello aún a salvo, claro está, de aquellos supuestos, ciertamente excepcionales, en que la propia consignación presupuestaria del estado de gastos incorpore o contenga la regulación normativa imprescindible de la subvención). Por tanto, como ya se dijo en la STC 96/1990, fundamento jurídico 15, "habrá que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competencias autonómicas sobre la materia subvencionada, lo que significaría no sólo alterar el sistema competencial, sino también distorsionar la autonomía financiera que para el ejercicio de sus competencias a las Comunidades Autónomas reconoce el art. 156.1 de la C.E.".</w:t>
      </w:r>
    </w:p>
    <w:p w:rsidR="00FE0907" w:rsidRDefault="00FE0907" w:rsidP="00FE0907">
      <w:pPr>
        <w:pStyle w:val="TextoNormal"/>
      </w:pPr>
      <w:r>
        <w:t>Ahora bien, esa doctrina no puede ser aplicada de manera mecánica para negar la posibilidad (ya apuntada explícitamente en las SSTC 95/1986, fundamento jurídico 5º y 88/1987, fundamento jurídico 2º) de que las Comunidades Autónomas impugnen las partidas del estado de gastos de las Leyes de Presupuestos Generales del Estado cuando lo que se cuestiona -como ahora acontece y era también el caso del conflicto positivo de competencia resuelto por la STC 146/1986- es la competencia misma del Estado para, mediante el ejercicio de su poder financiero, centralizar en organismos de la Administración estatal los fondos destinados a subvenciones o ayudas en materias de competencia exclusiva de las Comunidades Autónomas.</w:t>
      </w:r>
    </w:p>
    <w:p w:rsidR="00FE0907" w:rsidRDefault="00FE0907" w:rsidP="00FE0907">
      <w:pPr>
        <w:pStyle w:val="TextoNormal"/>
      </w:pPr>
      <w:r>
        <w:t>Nada ha de oponerse, pues, en principio, a que las Comunidades Autónomas impugnen las Leyes de Presupuestos Generales del Estado, en cuanto expresión característica del poder de gastar ("spending power") del Estado, autorizando créditos para subvenciones sobre materias o sectores económicos en los que pueda verse afectado el orden constitucional de distribución de competencias o la misma autonomía política y financiera de las Comunidades Autónomas.</w:t>
      </w:r>
    </w:p>
    <w:p w:rsidR="00FE0907" w:rsidRDefault="00FE0907" w:rsidP="00FE0907">
      <w:pPr>
        <w:pStyle w:val="TextoNormal"/>
      </w:pPr>
      <w:r>
        <w:lastRenderedPageBreak/>
        <w:t>6. Pues, en efecto, el problema constitucional que se nos plantea en los presentes recursos es bajo qué forma, condiciones y requisitos el Estado puede consignar en sus Presupuestos Generales de cada año recursos financieros destinados a ámbitos de actuación cuya competencia material ha sido asumida por las Comunidades Autónomas. Pues si -como resulta de la doctrina de este Tribunal- el poder de gastar no constituye un título atributivo de competencias, de modo que el ejercicio de competencias estatales anejo al gasto o a la subvención sólo se justifica en los casos en que, por razón de la materia sobre la que opera dicho gasto o subvención la Constitución o los Estatutos de Autonomía hayan reservado al Estado la titularidad de las competencias, es claro que el Estado, mediante el ejercicio del poder legislativo presupuestario, no dispone de un poder general para subvenciones (gasto público) entendido como poder libre o desvinculado del orden competencial. El poder de gasto o subvencional es siempre un poder instrumental que se ejerce "dentro", y no "al margen", del orden de competencias y de los límites que la Constitución establece y entre ellos el del respeto a la autonomía política y financiera de las Comunidades Autónomas que reconocen y garantizan los arts. 2, 137 y 156 C.E.  No puede, por tanto, el Estado, usando su poder de gasto en materia de subvenciones, condicionar o mediatizar el ejercicio por las Comunidades Autónomas de sus propias competencias (su autonomía política y financiera) de modo tal que convierta, de hecho, su poder de gastar en un poder para regular la materia al margen del reparto competencial establecido en la Constitución y en los Estatutos de Autonomía.</w:t>
      </w:r>
    </w:p>
    <w:p w:rsidR="00FE0907" w:rsidRDefault="00FE0907" w:rsidP="00FE0907">
      <w:pPr>
        <w:pStyle w:val="TextoNormal"/>
      </w:pPr>
      <w:r>
        <w:t>Y lo mismo vale decir respecto del poder de gasto de las Comunidades Autónomas con cargo a su propio Presupuesto (SSTC 39/1982, fundamento jurídico 5º; 14/1989, fundamento jurídico 2º), como consecuencia de la vinculación de su autonomía financiera "al desarrollo y ejecución de las competencias que, de acuerdo con la Constitución, les atribuyan las Leyes y sus respectivos Estatutos" (arts. 156.1 C.E. y 1.1 LOFCA).</w:t>
      </w:r>
    </w:p>
    <w:p w:rsidR="00FE0907" w:rsidRDefault="00FE0907" w:rsidP="00FE0907">
      <w:pPr>
        <w:pStyle w:val="TextoNormal"/>
      </w:pPr>
      <w:r>
        <w:t>Dentro de las subvenciones, y en lo que respecta a las cuestiones aquí planteadas, conviene distinguir por una parte, aquéllas que responden a una finalidad o acción de fomento, y por otra, las llamadas "subvenciones-dotación" frecuentemente incluídas en los Presupuestos Generales del Estado y que, si bien formalmente caracterizadas como subvenciones, en realidad encubren meras dotaciones presupuestarias destinadas a cubrir las necesidades de financiación de un determinado ente o servicio público y que sólo impropiamente o en una acepción muy genérica pueden asimilarse a las subvenciones en sentido estricto, constituyendo en realidad transferencias presupuestarias para asegurar la suficiencia financiera del ente público receptor (como es el caso de las subvenciones a las Entidades Locales destinadas a asegurar su equilibrio financiero), o sencillamente, una forma de financiación del mismo.</w:t>
      </w:r>
    </w:p>
    <w:p w:rsidR="00FE0907" w:rsidRDefault="00FE0907" w:rsidP="00FE0907">
      <w:pPr>
        <w:pStyle w:val="TextoNormal"/>
      </w:pPr>
      <w:r>
        <w:t xml:space="preserve">Es claro que no cabe negar la competencia del Estado para otorgar a los entes públicos territoriales subvenciones con cargo a los Presupuestos Generales del Estado destinadas a cubrir su déficit real y asegurar el equilibrio financiero de las Haciendas territoriales, competencia que encuentra su título más apropiado -como ya se dijo en la STC 179/1985, fundamento jurídico 1º- en el de "Hacienda General" del art.  149.1.14ª, cuando tal medida coyuntural tiene por objeto directo la relación entre la Hacienda estatal y las Haciendas locales y que precisamente se propone como finalidad el saneamiento de éstas para hacer posible que, en el futuro, un nuevo sistema de financiación de las entidades locales (cuyo establecimiento corresponde a la competencia estatal), impida la generación de déficit que, en último término, como tantas veces ha ocurrido en el pasado, hayan de ser atendidas con recursos de la Hacienda estatal. Y es indudable, como también se dijo en la citada Sentencia, que "una medida de este género ha de incluir necesariamente todos los preceptos que </w:t>
      </w:r>
      <w:r>
        <w:lastRenderedPageBreak/>
        <w:t>se consideren necesarios para alcanzar el fin previsto, respecto del cual tienen un carácter puramente instrumental".</w:t>
      </w:r>
    </w:p>
    <w:p w:rsidR="00FE0907" w:rsidRDefault="00FE0907" w:rsidP="00FE0907">
      <w:pPr>
        <w:pStyle w:val="TextoNormal"/>
      </w:pPr>
      <w:r>
        <w:t>Pero cuando se trata de "subvenciones-dotación" que se refieran a servicios públicos transferidos a las Comunidades Autónomas o formen parte del coste ordinario de los mismos, corresponden como un recurso propio a las Comunidades Autónomas debiendo transferirse globalmente por el Estado para ser integrados en los Presupuestos de la Hacienda autonómica, sin otros condicionamientos que el genérico estrictamente indispensable para asegurar el destino de la subvención afectándolo a la finalidad prevista en los Presupuestos Generales del Estado, de modo que se respete la "autonomía financiera de las Comunidades Autónomas, reconocida en los arts.  156.1 de la Constitución y 1.1 de la LOFCA, que exige la plena disposición de medios financieros para poder ejercer, sin condicionamientos indebidos y en toda su extensión, las competencias propias, en especial las que se configuran como exclusivas" (STC 201/1988, fundamento jurídico 4º).</w:t>
      </w:r>
    </w:p>
    <w:p w:rsidR="00FE0907" w:rsidRDefault="00FE0907" w:rsidP="00FE0907">
      <w:pPr>
        <w:pStyle w:val="TextoNormal"/>
      </w:pPr>
      <w:r>
        <w:t>Así acontece con las subvenciones para cubrir el coste de funcionamiento ordinario de los servicios públicos transferidos así como aquéllas que, por su índole recurrente y vocación de permanencia, se relacionan directamente con la prestación de los servicios transferidos, que según prevé el Acuerdo 1/1986, de 7 de noviembre, del Consejo de Política Fiscal y Financiera ("B.O.E." núm.  264, de 3 de noviembre de 1988), se integran ya en la llamada financiación incondicionada de las Comunidades Autónomas.</w:t>
      </w:r>
    </w:p>
    <w:p w:rsidR="00FE0907" w:rsidRDefault="00FE0907" w:rsidP="00FE0907">
      <w:pPr>
        <w:pStyle w:val="TextoNormal"/>
      </w:pPr>
      <w:r>
        <w:t>Pero el problema surge -y a ello alude expresamente la Generalidad de Cataluña en sus escritos de demanda- por el volumen y extensión generalizada del sistema de subvenciones o ayudas a terceros centralizadas en los Presupuestos Generales del Estado sobre materias de competencia exclusiva de las Comunidades Autónomas que no forman parte de la cobertura o financiación del coste de los servicios públicos transferidos a la Comunidad Autónoma que se convierten en una especie de fuente de "financiación condicionada" de la Hacienda autonómica complementaria o paralela a las previstas en la LOFCA y que otorga al Estado, por virtud de su mayor Presupuesto, una preponderancia en ámbitos competenciales ajenos (transferidos) que constriñe el margen de decisión que corresponde a los órganos de gobierno de las Comunidades Autónomas y, por tanto, afecta a la autonomía política y financiera misma que la Constitución reconoce y garantiza.</w:t>
      </w:r>
    </w:p>
    <w:p w:rsidR="00FE0907" w:rsidRDefault="00FE0907" w:rsidP="00FE0907">
      <w:pPr>
        <w:pStyle w:val="TextoNormal"/>
      </w:pPr>
      <w:r>
        <w:t>Nada extraño resulta que, así las cosas, la Comunidad Autónoma, en este caso la Generalidad de Cataluña, manifieste la pretensión de que el volumen de recursos que se canaliza a través de las subvenciones estatales condicionadas pase a incrementar lo que ha dado en denominarse "financiación incondicionada" de las Haciendas autonómicas mediante la correspondiente "territorialización" de las consignaciones presupuestarias de créditos en las propias Leyes de Presupuestos Generales del Estado.</w:t>
      </w:r>
    </w:p>
    <w:p w:rsidR="00FE0907" w:rsidRDefault="00FE0907" w:rsidP="00FE0907">
      <w:pPr>
        <w:pStyle w:val="TextoNormal"/>
      </w:pPr>
      <w:r>
        <w:t>Tal es, en definitiva, la razón última en que descansan las concretas impugnaciones que la representación de la Generalidad de Cataluña esgrime frente a diversas partidas de las Leyes de Presupuestos Generales del Estado para 1988 y 1989 destinadas a subvenciones de fomento en ámbitos o sectores de la política económica o social en que aquella Comunidad Autónoma ha asumido la competencia exclusiva, por entender que ello lesiona su autonomía financiera (de gasto, en este caso) condición indispensable de su autonomía política reconocida y garantizada por la Constitución (art. 2 C.E.).</w:t>
      </w:r>
    </w:p>
    <w:p w:rsidR="00FE0907" w:rsidRDefault="00FE0907" w:rsidP="00FE0907">
      <w:pPr>
        <w:pStyle w:val="TextoNormal"/>
      </w:pPr>
      <w:r>
        <w:t>Procede, pues, que empecemos dando respuesta a este planteamiento más general en que se fundamentan los presentes recursos de inconstitucionalidad y a las alegaciones que de contrario formula el Abogado del Estado en el sentido de que para nada afecta en general a tal autonomía de gasto de la Comunidad Autónoma la posibilidad de que el Estado disponga de sus propios fondos.</w:t>
      </w:r>
    </w:p>
    <w:p w:rsidR="00FE0907" w:rsidRDefault="00FE0907" w:rsidP="00FE0907">
      <w:pPr>
        <w:pStyle w:val="TextoNormal"/>
      </w:pPr>
    </w:p>
    <w:p w:rsidR="00FE0907" w:rsidRDefault="00FE0907" w:rsidP="00FE0907">
      <w:pPr>
        <w:pStyle w:val="TextoNormal"/>
      </w:pPr>
      <w:r w:rsidRPr="00FE0907">
        <w:rPr>
          <w:rStyle w:val="NumeroAFNegritaCaracter"/>
        </w:rPr>
        <w:t>7</w:t>
      </w:r>
      <w:r>
        <w:t>. No se requiere un amplio desarrollo argumental para mostrar cómo y por qué la utilización del "poder de gastar" del Estado, por virtud de su mayor disponibilidad de recursos, puede afectar tanto a la autonomía financiera como a la autonomía política de las Comunidades Autónomas.</w:t>
      </w:r>
    </w:p>
    <w:p w:rsidR="00FE0907" w:rsidRDefault="00FE0907" w:rsidP="00FE0907">
      <w:pPr>
        <w:pStyle w:val="TextoNormal"/>
      </w:pPr>
      <w:r>
        <w:t>Ante todo conviene recordar, como uno de los rasgos característicos del sistema de financiación de las Comunidades Autónomas diseñado por la LOFCA en el marco de la Constitución, que la autonomía financiera de las Comunidades Autónomas viene definida en el bloque de la constitucionalidad más por relación a la vertiente del gasto público -y si acaso a la de las trasferencias de ingresos procedentes de la Hacienda estatal y que constituyen un derecho de crédito frente a ésta a favor de las Haciendas autonómicas (las participaciones en los ingresos del Estado, las transferencias del Fondo de Compensación Interterritorial y las asignaciones complementarias que se establezcan en los Presupuestos Generales del Estado conectadas directamente a la prestación de los servicios públicos fundamentales de la competencia de las Comunidades Autónomas, e incluso, si así se prefiere, los tributos cedidos)- que por relación a la existencia y desarrollo de un sistema tributario propio con virtualidad y potencia recaudatoria suficientes para cubrir las necesidades financieras de la Hacienda autonómica. Se configura así un sistema de financiación apoyado en mecanismos financieros de transferencias desde el Estado</w:t>
      </w:r>
    </w:p>
    <w:p w:rsidR="00FE0907" w:rsidRDefault="00FE0907" w:rsidP="00FE0907">
      <w:pPr>
        <w:pStyle w:val="TextoNormal"/>
      </w:pPr>
      <w:r>
        <w:t>Claro está que dentro de un sistema de financiación autonómica así concebido -con un fuerte predominio de las fuentes exógenas de financiación- la autonomía presupuestaria de las Comunidades Autónomas, ésto es, su capacidad para disponer libremente de sus recursos financieros, asignándolos a los fines mediante programas de gasto elaborados según sus propias prioridades -y ello, desde luego, dentro del respeto a los principios constitucionales de solidaridad entre todos los españoles y de coordinación con la Hacienda estatal (arts. 2.2 y 156.1 C.E.)-, adquiere un papel capital en la realización efectiva de la autonomía financiera de las Comunidades Autónomas reconocida por la Constitución. Las Comunidades Autónomas gozarán de autonomía financiera (de gasto) en la medida en que puedan elegir y realizar sus propios objetivos políticos, administrativos, sociales o económicos con independencia de cuales hayan sido las fuentes de los ingresos que nutren sus Presupuestos. De otro modo, si por el origen de los fondos se pudiera condicionar el destino que se haya de dar a los mismos, se privaría a las Comunidades Autónomas de una potestad decisoria fundamental, sin la que no cabe hablar de autonomía.</w:t>
      </w:r>
    </w:p>
    <w:p w:rsidR="00FE0907" w:rsidRDefault="00FE0907" w:rsidP="00FE0907">
      <w:pPr>
        <w:pStyle w:val="TextoNormal"/>
      </w:pPr>
      <w:r>
        <w:t>De ahí la trascendencia que cobra la proliferación e incremento de las subvenciones estatales de fomento que, por su volumen creciente y asignación a ámbitos materiales o sectoriales cuya competencia ha sido asumida exclusivamente por las Comunidades Autónomas, pueden convertirse en un peculiar mecanismo de financiación condicionada de las Comunidades Autónomas, constriñendo la libertad de sus órganos de gobierno en cuanto a la fijación del destino y orientación del gasto público así como para la cuantificación y distribución del mismo dentro del marco de sus competencias.</w:t>
      </w:r>
    </w:p>
    <w:p w:rsidR="00FE0907" w:rsidRDefault="00FE0907" w:rsidP="00FE0907">
      <w:pPr>
        <w:pStyle w:val="TextoNormal"/>
      </w:pPr>
      <w:r>
        <w:t>Sostener que la autonomía política y financiera de las Comunidades Autónomas no constituye un límite a la acción subvencional del Estado a través de su "poder de gastar", con el argumento de que, en definitiva, el Estado, en el ejercicio de su poder legislativo, es soberano para decidir sobre el destino de sus propios recursos financieros y que la autorización presupuestaria por sí misma no puede invadir el ámbito material de competencias de las Comunidades Autónomas (sino que habrá de estarse a los actos concretos de ejecución de esos programas de gasto para verificar la existencia de tal lesión competencial), equivaldría a afirmar que a través del sistema de subvenciones con cargo a los Presupues</w:t>
      </w:r>
      <w:r>
        <w:lastRenderedPageBreak/>
        <w:t>tos Generales del Estado en materias de competencia exclusiva de las Comunidades Autónomas, la posición y el papel de éstas en la nueva organización estructural del Estado surgida de la Constitución y de los Estatutos de Autonomía con la distribución vertical del poder público entre los diferentes niveles de gobierno (STC 32/1981, fundamento jurídico 3º) podría desaparecer y con él el núcleo de la propia estructura del Estado compuesto. Pues no es imposible que, al amparo de dicho poder de gasto, los órganos de la Administración central del Estado traten de atraer para sí o recuperar competencias normativas o de ejecución en los sectores subvencionados y que, en principio, han quedado integramente descentralizados en favor de las Comunidades Autónomas. De suerte que, a través de esta vía indirecta de las ayudas económicas que figuran en los Presupuestos Generales del Estado, las competencias autonómicas exclusivas pasen a redefinirse o convertirse de facto en competencias compartidas con el Estado, con la consiguiente e inevitable restricción de la autonomía política de las Comunidades Autónomas.  Técnica que, según doctrina reiterada de este Tribunal, resulta constitucionalmente inaceptable.</w:t>
      </w:r>
    </w:p>
    <w:p w:rsidR="00FE0907" w:rsidRDefault="00FE0907" w:rsidP="00FE0907">
      <w:pPr>
        <w:pStyle w:val="TextoNormal"/>
      </w:pPr>
      <w:r>
        <w:t>Puede decirse, con razón, que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las Leyes (art. 156.1 C.E. y art. 1.1 de la LOFCA).  Por consiguiente,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w:t>
      </w:r>
    </w:p>
    <w:p w:rsidR="00FE0907" w:rsidRDefault="00FE0907" w:rsidP="00FE0907">
      <w:pPr>
        <w:pStyle w:val="TextoNormal"/>
      </w:pPr>
      <w:r>
        <w:t>Pero admitido ésto, constatación del señorío del Estado sobre su Presupuesto esencia misma del Poder financiero (la capacidad de decisión sobre el empleo de sus propios recursos), tanto en la programación como en la ejecución de ese gasto el Estado debe respetar el orden competencial.  Es evidente que en el sistema español de distribución territorial del poder, el Estado puede asignar sus recursos a cualquier finalidad lícita y que la definición de esta finalidad en la Ley de Presupuestos condiciona necesariamente la libertad de acción de aquellas instancias que hayan de utilizar esos recursos. Si estas instancias son exclusivamente estatales por ser también de competencia exclusiva del Estado la "materia" o sector de actividad pública, no se plantea ningún problema en cuanto a la delimitación competencial entre el Estado y las Comunidades Autónomas. Cuando, por el contrario, tal materia o sector corresponden en uno u otro grado a las Comunidades Autónomas, las medidas que hayan de adoptarse para conseguir la finalidad a la que se destinan los recursos deberán respetar el orden constitucional y estatutario de las competencias, sin imponer a la autonomía política de las Comunidades Autónomas otros condicionamientos que aquéllos que resultan de la definición del fin o del uso que el Estado pueda hacer de otras competencias propias, genéricas o específicas.</w:t>
      </w:r>
    </w:p>
    <w:p w:rsidR="00FE0907" w:rsidRDefault="00FE0907" w:rsidP="00FE0907">
      <w:pPr>
        <w:pStyle w:val="TextoNormal"/>
      </w:pPr>
      <w:r>
        <w:t xml:space="preserve">De otro modo, si así no fuera y se admitiese que al asignar sus propios recursos a objetivos específicos en sectores o ámbitos materiales de competencia exclusiva de las Comunidades Autónomas el Estado pudiera regular el modo, las condiciones y la manera en que han de emplearse por las Comunidades Autónomas los fondos estatales transferidos, entonces el Estado estaría restringiendo la autonomía política de las Comunidades Autónomas y su capacidad de autogobierno, que se manifiesta, sobre todo, en la capacidad para elaborar sus propias políticas públicas en las materias de su competencia, forzándolas a </w:t>
      </w:r>
      <w:r>
        <w:lastRenderedPageBreak/>
        <w:t>una suerte de regateo o negociación con el Estado so pena de perder los fondos asignados a la subvención.</w:t>
      </w:r>
    </w:p>
    <w:p w:rsidR="00FE0907" w:rsidRDefault="00FE0907" w:rsidP="00FE0907">
      <w:pPr>
        <w:pStyle w:val="TextoNormal"/>
      </w:pPr>
      <w:r>
        <w:t>Se podría pensar que mal puede el Estado lesionar la autonomía política y financiera de las Comunidades Autónomas cuando éstas en modo alguno están obligadas a aceptar la subvención establecida en los Presupuestos Generales del Estado para acciones de fomento en materias o servicios de competencia exclusiva de aquéllas. De manera que la Comunidad Autónoma siempre podría evitar la lesión a su autonomía política o la invasión competencial rechazando la subvención en la forma prevista en los Presupuestos Generales del Estado y si en uso de su autonomía de la voluntad la acepta, prestando su consentimiento a las condiciones y modo de la subvención, ello priva de fundamento a toda queja competencial en este sentido pues sería como ir contra sus propios actos.  Pero un razonamiento semejante sería constitucionalmente inaceptable porque la autonomía y las propias competencias son indisponibles tanto para el Estado como para las Comunidades Autónomas y porque, como se dijo en la STC 201/1988, fundamento jurídico 4º, "la autonomía financiera de las Comunidades Autónomas reconocida en los arts.  156.1 de la Constitución y 1.1 de la LOFCA exige la plena disposición de medios financieros para poder ejercer, sin condicionamientos indebidos y en toda su extensión, las competencias propias, en especial las que se configuran como exclusivas".</w:t>
      </w:r>
    </w:p>
    <w:p w:rsidR="00FE0907" w:rsidRDefault="00FE0907" w:rsidP="00FE0907">
      <w:pPr>
        <w:pStyle w:val="TextoNormal"/>
      </w:pPr>
      <w:r>
        <w:t>Por todo ello, en un sistema respetuoso con el orden constitucional de distribución de competencias y con la autonomía política y financiera de las Comunidades Autónomas que la Constitución reconoce y garantiza, las transferencias financieras para subvenciones destinadas a acciones de fomento que el Estado disponga con cargo a sus propios recursos en materias cuya competencia haya sido asumida de manera exclusiva por las Comunidades Autónomas y en las que el Estado no invoque título competencial alguno, deben atribuirse directa e incondicionadamente a las Comunidades Autónomas nutriendo, como un recurso financiero más, la Hacienda autonómica.  Técnica ésta de reparto territorial de las subvenciones para su gestión descentralizada por las diferentes Comunidades Autónomas que, como ya se dijo en la STC 95/1986, fundamento jurídico 5º, resulta la más ajustada al modelo de Estado de las Autonomías diseñado por la Constitución.  Y a tal efecto, las dotaciones presupuestarias destinadas al fomento deben distribuirse de manera global y descentralizada, entre las distintas Comunidades Autónomas según "criterios objetivos de reparto o bien mediante convenios ajustados a los principios constitucionales" (STC 152/1988, fundamento jurídico 5º).  Bien entendido que mediante la utilización de los Convenios no puede el Estado convertir en compartida una competencia que sea en realidad exclusiva de las Comunidades Autónomas.  De esta manera se favorece la capacidad de gasto de las Comunidades Autónomas en el desarrollo de las políticas públicas dentro de su ámbito competencial y se respeta, al propio tiempo, su plena autonomía en la definición concreta de tales políticas en perfecta congruencia con el modelo de Estado de las Autonomías.</w:t>
      </w:r>
    </w:p>
    <w:p w:rsidR="00FE0907" w:rsidRDefault="00FE0907" w:rsidP="00FE0907">
      <w:pPr>
        <w:pStyle w:val="TextoNormal"/>
      </w:pPr>
      <w:r>
        <w:t>Conclusión que se refuerza, desde la perspectiva de la asignación racional de los recursos escasos, por las exigencias que resultan del mandato constitucional sobre los criterios de "eficiencia y economía" a que debe responder la programación y ejecución del gasto público en orden a la realización del principio de una asignación equitativa de los recursos públicos enunciado en el art. 31.2 de la Constitución y de acuerdo además con los principios propios del Estado autonómico y, entre ellos, los de descentralización y eficacia administrativa (art. 103.1 C.E.), que obligan a evitar, en lo posible, administraciones paralelas o duplicidades innecesarias de servicios y disfuncionalidades, que serían contrarias a los criterios que la Constitución propugna (STC 187/1988, fundamento jurídico 12).</w:t>
      </w:r>
    </w:p>
    <w:p w:rsidR="00FE0907" w:rsidRDefault="00FE0907" w:rsidP="00FE0907">
      <w:pPr>
        <w:pStyle w:val="TextoNormal"/>
      </w:pPr>
      <w:r>
        <w:lastRenderedPageBreak/>
        <w:t>La financiación mediante las Leyes de Presupuestos Generales de acciones de fomento en materias atribuidas a la competencia exclusiva de las Comunidades Autónomas no significa, claro está, la imposibilidad para el Estado de fijar siquiera el destino o finalidad de política económica o social a que deben dedicarse esos fondos presupuestarios, pues de otro modo se produciría una restricción constitucionalmente inaceptable en el ejercicio soberano de la función legislativa presupuestaria (arts. 66.2 y 134.1 C.E.). Pero esa afectación ha de ser global o genérica, en función de materias o sectores de la actividad económica o social, de manera que la especificación presupuestaria de los créditos sea la mínima imprescindible para acomodarse a las exigencias del principio de legalidad presupuestaria y deje el margen necesario de actuación para que las Comunidades Autónomas puedan ejercer su competencia exclusiva en la materia "desarrollando en el sector subvencionado una política propia orientada a la satisfacción de sus intereses peculiares, dentro de las orientaciones de programación y coordinación que el Estado disponga para el sector como componente del sistema económico general" (STC 201/1988, fundamento jurídico 2º).  Siendo evidente que el Estado no puede condicionar las subvenciones o determinar su finalidad más allá del alcance de los títulos en que ampare su intervención.</w:t>
      </w:r>
    </w:p>
    <w:p w:rsidR="00FE0907" w:rsidRDefault="00FE0907" w:rsidP="00FE0907">
      <w:pPr>
        <w:pStyle w:val="TextoNormal"/>
      </w:pPr>
      <w:r>
        <w:t>En aquellas materias en que el Estado ostente algún título competencial y en la medida de su competencia podrá ejercitarla mediante acciones de fomento o subvenciones fijando normativamente las condiciones de su empleo por las Comunidades Autónomas (y ello respetando en todo caso las competencias ejecutivas o de gestión que puedan corresponder a éstas según el orden de reparto competencial en la materia) y, en su caso, disponer la gestión directa y centralizada de los fondos presupuestarios si resultara imprescindible: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que hayan de destinarse al sector (SSTC 95/1986, fundamento jurídico 5º y 75/1989, fundamento jurídico 5º).</w:t>
      </w:r>
    </w:p>
    <w:p w:rsidR="00FE0907" w:rsidRDefault="00FE0907" w:rsidP="00FE0907">
      <w:pPr>
        <w:pStyle w:val="TextoNormal"/>
      </w:pPr>
      <w:r>
        <w:t>Ello no significa, claro está, desapoderar al Estado para toda intervención en aquellas materias en que los Estatutos de Autonomía atribuyen a las Comunidades Autónomas competencias exclusivas, pues el Estado puede ostentar competencias concurrentes por virtud de títulos reconocidos en el art.  149 C.E.  y en los Estatutos de Autonomía para desarrollar o establecer políticas económicas o sociales de ordenación sectorial o de servicios o su actuación se enmarque en las facultades estatales de dirección y coordinación de la política económica en cuanto las subvenciones de que en cada caso se trate puedan constituir elemento esencial de la misma. Como ya se dijo en la STC 95/1986, fundamento jurídico 4º, "es claro que dentro de esta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00FE0907" w:rsidRDefault="00FE0907" w:rsidP="00FE0907">
      <w:pPr>
        <w:pStyle w:val="TextoNormal"/>
      </w:pPr>
      <w:r>
        <w:t>Así también las subvenciones estatales pueden tender a asegurar las condiciones básicas de igualdad cuya regulación reserva al Estado el art.  149.1.1ª C.E., poniéndose de este modo el "spending power" estatal al servicio de una política de equilibrio social en sectores que lo necesiten, en ejecución de mandatos o cláusulas constitucionales genéricas (art.  1.1 ó art.  9.2 C.E.)  que, aunque obligan a todos los Poderes Públicos, corresponde prioritariamente realizar a quien mayor capacidad de gasto tiene.</w:t>
      </w:r>
    </w:p>
    <w:p w:rsidR="00FE0907" w:rsidRDefault="00FE0907" w:rsidP="00FE0907">
      <w:pPr>
        <w:pStyle w:val="TextoNormal"/>
      </w:pPr>
      <w:r>
        <w:t xml:space="preserve">Esta concurrencia competencial del Estado y las Comunidades Autónomas en la acción administrativa subvencional o de fomento, con clara incidencia en la actividad financiera, </w:t>
      </w:r>
      <w:r>
        <w:lastRenderedPageBreak/>
        <w:t>debe articularse, como reiteradamente ha puesto de relieve este Tribunal desde las SSTC 18/1982, fundamento jurídico 14; 32/1983, fundamento jurídico 2º y 76/1983, fundamentos jurídicos 11 y 14, mediante técnicas de cooperación y colaboración consustanciales a la estructura compuesta del Estado de las Autonomías como pueden ser, entre otras, los convenios de colaboración ajustados al orden constitucional de competencias: técnicas consustanciales a nuestro modelo de Estado autonómico que deberían ser acordadas en este y otros sectores entre los órganos centrales del Estado y las Comunidades Autónomas, buscando entre todos, dentro del respectivo e indisponible marco competencial, métodos flexibles y adecuados de convergencia que disminuyan la conflictividad entre aquellos poderes, todos los cuales deben guiarse siempre por una común lealtad constitucional. Como se dijo en la STC 201/1988, fundamento jurídico 2º, "lo que acontece al establecerse la relación jurídica subvencional es que las respectivas competencias estatal y autonómica entran en un marco necesario de cooperación y colaboración, en cuanto se orientan a una acción conjunta en la que no deben mermarse ni la competencia de la Comunidad sobre la materia subvencionada ni las que el Estado tiene para garantizar la coordinación y la unidad de la política económica así como la efectiva consecución de los objetivos perseguidos en los programas a los que se asignan las subvenciones".</w:t>
      </w:r>
    </w:p>
    <w:p w:rsidR="00FE0907" w:rsidRDefault="00FE0907" w:rsidP="00FE0907">
      <w:pPr>
        <w:pStyle w:val="TextoNormal"/>
      </w:pPr>
    </w:p>
    <w:p w:rsidR="00FE0907" w:rsidRDefault="00FE0907" w:rsidP="00FE0907">
      <w:pPr>
        <w:pStyle w:val="TextoNormal"/>
      </w:pPr>
      <w:r w:rsidRPr="00FE0907">
        <w:rPr>
          <w:rStyle w:val="NumeroAFNegritaCaracter"/>
        </w:rPr>
        <w:t>8</w:t>
      </w:r>
      <w:r>
        <w:t>. Atendiendo a los términos del caso, de la doctrina expuesta en los anteriores fundamentos jurídicos se desprende, lógicamente, un esquema de delimitación competencial entre el Estado y las Comunidades Autónomas en lo que hace al ejercicio de la potestad subvencional de gasto público que puede resumirse en cuatro supuestos generales, en los que pueden subsumirse las distintas impugnaciones concretas que se examinan en los presentes recursos de inconstitucionalidad, pero que no excluyen cualesquiera otros que en el futuro pudieran derivarse de la Constitución y los Estatutos de Autonomía.</w:t>
      </w:r>
    </w:p>
    <w:p w:rsidR="00FE0907" w:rsidRDefault="00FE0907" w:rsidP="00FE0907">
      <w:pPr>
        <w:pStyle w:val="TextoNormal"/>
      </w:pPr>
      <w:r>
        <w:t>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FE0907" w:rsidRDefault="00FE0907" w:rsidP="00FE0907">
      <w:pPr>
        <w:pStyle w:val="TextoNormal"/>
      </w:pPr>
      <w:r>
        <w:t>b)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w:t>
      </w:r>
      <w:r>
        <w:lastRenderedPageBreak/>
        <w:t>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FE0907" w:rsidRDefault="00FE0907" w:rsidP="00FE0907">
      <w:pPr>
        <w:pStyle w:val="TextoNormal"/>
      </w:pPr>
      <w:r>
        <w:t>c) Un tercer supuesto es aquél en que el Estado tiene atribuida la competencia sobre la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w:t>
      </w:r>
    </w:p>
    <w:p w:rsidR="00FE0907" w:rsidRDefault="00FE0907" w:rsidP="00FE0907">
      <w:pPr>
        <w:pStyle w:val="TextoNormal"/>
      </w:pPr>
      <w:r>
        <w:t>d)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FE0907" w:rsidRDefault="00FE0907" w:rsidP="00FE0907">
      <w:pPr>
        <w:pStyle w:val="TextoNormal"/>
      </w:pPr>
    </w:p>
    <w:p w:rsidR="00FE0907" w:rsidRDefault="00FE0907" w:rsidP="00FE0907">
      <w:pPr>
        <w:pStyle w:val="TextoNormal"/>
      </w:pPr>
      <w:r w:rsidRPr="00FE0907">
        <w:rPr>
          <w:rStyle w:val="NumeroAFNegritaCaracter"/>
        </w:rPr>
        <w:t>9</w:t>
      </w:r>
      <w:r>
        <w:t>. Reconocida la exigencia de la asignación global y descentralizada o territorialización de los fondos presupuestarios destinados a subvenciones entre las distintas Comunidades Autónomas con competencias en la materia, en los términos en que ha quedado expuesto en los fundamentos jurídicos anteriores debemos dar respuesta a la cuestión relativa al instrumento técnico jurídico mediante el cual haya de llevarse a cabo dicha territorialización en aquellos casos en que su gestión corresponda a las Comunidades Autónomas (o a algunas de ellas), puesto que a este concreto aspecto se refieren las alegaciones en que la Generalidad de Cataluña apoya su impugnación de muchas de las partidas presupuestarias controvertidas.  Lo que se debate, en suma, es si esa territorialización ha de llevarse a cabo dentro de los propios Presupuestos Generales del Estado, como pide la Generalidad (aunque admitiendo "siempre que ello sea posible"), o bien, como señala el Abogado del Estado, en un momento posterior, de acuerdo con lo dispuesto en el art. 153 de la Ley General Presupuestaria.</w:t>
      </w:r>
    </w:p>
    <w:p w:rsidR="00FE0907" w:rsidRDefault="00FE0907" w:rsidP="00FE0907">
      <w:pPr>
        <w:pStyle w:val="TextoNormal"/>
      </w:pPr>
      <w:r>
        <w:t xml:space="preserve">En términos generales, este es un problema accesorio a la cuestión constitucional que aquí se debate, pues lo que importa es que los fondos destinados a subvenciones que deban gestionar las Comunidades Autónomas se "territorialicen", es decir, se transfieran efectivamente a éstas de modo que puedan disponer prontamente de los mismos, sin más condicionamientos que los que deriven del ejercicio de las competencias estatales sobre la materia. A tal efecto,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w:t>
      </w:r>
      <w:r>
        <w:lastRenderedPageBreak/>
        <w:t>en las correspondientes Secciones, Servicios y Programas de los Presupuestos. De esta forma se evitaría toda confusión inicial acerca de a cuál Administración se atribuye la gestión de las subvenciones, resultando, así, la estructura de los Presupuestos Generales del Estado plenamente congruente con las exigencias del Estado de las Autonomías. Todo ello sin perjuicio de que el Estado pueda fijar las condiciones o, al menos, las condiciones básicas de otorgamiento de las subvenciones a sus destinatarios, cuando tenga competencia para ello.</w:t>
      </w:r>
    </w:p>
    <w:p w:rsidR="00FE0907" w:rsidRDefault="00FE0907" w:rsidP="00FE0907">
      <w:pPr>
        <w:pStyle w:val="TextoNormal"/>
      </w:pPr>
      <w:r>
        <w:t>Ha de entenderse que la preferencia por esta opción no implica que se incurra en inconstitucionalidad cada vez que no se cumpla, pues puede ocurrir -como la Generalidad reconoce en su demanda- que en determinados casos no sea posible introducir esa técnica en la Ley de Presupuestos, o que, aun siendo posible, concurran en su contra, a juicio del Legislador estatal, otras razones.</w:t>
      </w:r>
    </w:p>
    <w:p w:rsidR="00FE0907" w:rsidRDefault="00FE0907" w:rsidP="00FE0907">
      <w:pPr>
        <w:pStyle w:val="TextoNormal"/>
      </w:pPr>
      <w:r>
        <w:t>Ahora bien,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w:t>
      </w:r>
    </w:p>
    <w:p w:rsidR="00FE0907" w:rsidRDefault="00FE0907" w:rsidP="00FE0907">
      <w:pPr>
        <w:pStyle w:val="TextoNormal"/>
      </w:pPr>
      <w:r>
        <w:t>En todo caso, como se ha dejado dicho, lo que no resulta ajustado a esos principios y reglas es la consignación centralizada de los fondos que deben gestionar las Comunidades Autónomas a favor de un Organismo dependiente de la propia Administración del Estado cuyos servicios ya han sido transferidos a las Comunidades Autónomas, salvo que por las razones o circunstancias ya señaladas por la doctrina de este Tribunal expuesta anteriormente, dicha centralización resulte justificada. En tales casos puede afirmarse que esa técnica de Presupuestación del gasto vulnera el orden de competencias y los principios de autonomía y de eficacia administrativa, además de suponer un obstáculo injustificado para el correcto funcionamiento del sistema de financiación de las Comunidades Autónomas.</w:t>
      </w:r>
    </w:p>
    <w:p w:rsidR="00FE0907" w:rsidRDefault="00FE0907" w:rsidP="00FE0907">
      <w:pPr>
        <w:pStyle w:val="TextoNormal"/>
      </w:pPr>
      <w:r>
        <w:t>Cosa distinta es el concreto mecanismo mediante el cual esos fondos en cuestión -una vez asignados a transferencias a las Comunidades Autónomas con afectación de destino- se distribuyen entre las Administraciones autonómicas competentes.  Una determinación de tal carácter técnico no se sigue necesariamente como una exigencia de las normas y principios que componen el bloque de la constitucionalidad, por lo que esta distribución podra realizarse en los mismos Presupuestos Generales del Estado, si ello es posible, pero no es imprescindible que así sea, pues basta que se efectúe "durante el ejercicio presupuestario con la mayor antelación posible", como se reconoce en el Acuerdo del Consejo de Política Fiscal y Financiera de las Comunidades Autónomas 1/1986, de 7 de noviembre ("B.O.E." núm.  264, de 3 de noviembre de 1988). Puede hacerse, aunque esta no sea la única fórmula constitucionalmente admisible, conforme a lo dispuesto en el art. 153 de la Ley General Presupuestaria, cuyo directo antecedente, el art. 78 de la Ley 50/1984, de Presupuestos Generales para 1985, ya fue analizado y declarado constitucional por nuestra STC 96/1990, interpretado su apartado 3º de conformidad con el fundamento jurídico 16 de la misma.</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Cuestiona también la Generalidad de Cataluña en este recurso ciertas partidas presupuestarias consignadas como subvenciones de asignación territorial a favor de las Comunidades Autónomas, respecto de las que, no obstante preverse su territorialización en la </w:t>
      </w:r>
      <w:r>
        <w:lastRenderedPageBreak/>
        <w:t>Ley de Presupuestos, se condiciona su plena efectividad a la celebración de Convenios-Programa entre la Administración del Estado y las Administraciones autonómicas.  Estima la Generalidad que por medio de la exigencia del Convenio se produce una invasión de sus competencias exclusivas en la materia, que se convierten en compartidas por el simple hecho de subvencionar el Estado el correspondiente "Programa" o "Convenio-Programa".</w:t>
      </w:r>
    </w:p>
    <w:p w:rsidR="00FE0907" w:rsidRDefault="00FE0907" w:rsidP="00FE0907">
      <w:pPr>
        <w:pStyle w:val="TextoNormal"/>
      </w:pPr>
      <w:r>
        <w:t>Según la doctrina consolidada de este Tribunal, una de las formas mediante las que la Administración del Estado puede poner a disposición de las Comunidades Autónomas los fondos destinados a subvenciones que les corresponde gestionar es celebrando con ellas un Convenio de colaboración. Por ello, la mera previsión de que los fondos presupuestarios para subvenciones hayan de transferirse y distribuirse entre las Comunidades Autónomas a través de Convenios ajustados a los principios constitucionales no puede considerarse en sí misma incursa en inconstitucionalidad por condicionar indebidamente las competencias autonómicas en relación a las actividades y materias a las que tales subvenciones se destinan.</w:t>
      </w:r>
    </w:p>
    <w:p w:rsidR="00FE0907" w:rsidRDefault="00FE0907" w:rsidP="00FE0907">
      <w:pPr>
        <w:pStyle w:val="TextoNormal"/>
      </w:pPr>
      <w:r>
        <w:t>Tiene razón la Generalidad de Cataluña al rechazar que el Estado pueda interferir el ejercicio de las competencias autonómicas mediante Convenios-Programa o condicionados, si se trata de competencias plenamente exclusivas de las Comunidades Autónomas.  La fórmula del Convenio no es, sin embargo, descartable en estos casos, puesto que responde a ese principio de cooperación inherente al Estado de las Autonomías y en el que debería profundizarse. Pero es obvio que no puede servir para que el Estado recupere competencias en sectores de actividad descentralizados por completo, pues como ya se dijo en la STC 96/1986, fundamento jurídico 3º, "es evidente que, con base en este deber de recíproco apoyo y mutua lealtad (que es el deber general de colaboración a que están sometidos el Estado y las Comunidades Autónomas), no pueden resultar ampliadas las competencias del Estado, ni es posible por lo mismo limitar o condicionar el ejercicio de las competencias autonómicas sobre esta materia (agricultura) a la celebración o cumplimiento de Convenio alguno entre las dos administraciones territoriales".  Ni tampoco es admisible, como se dijo en la STC 95/1986, fundamento jurídico 5º, que merced a dicho Convenio, la Comunidad Autónoma "haya podido renunciar a unas competencias que son indisponibles por imperativo constitucional y estatutario". En estos supuestos el Convenio sólo puede servir para facilitar la puesta a disposición de las Comunidades Autónomas de los fondos destinados a subvenciones, si en los Presupuestos Generales del Estado se determina genéricamente su destino.  Pero no podría ni siquiera condicionarse esa transferencia de fondos a la firma de un Convenio, pues, en todo caso, el Estado tiene la obligación de distribuir las subvenciones entre las Comunidades Autónomas "durante el ejercicio presupuestario, con la mayor antelación posible", según se ha dicho.</w:t>
      </w:r>
    </w:p>
    <w:p w:rsidR="00FE0907" w:rsidRDefault="00FE0907" w:rsidP="00FE0907">
      <w:pPr>
        <w:pStyle w:val="TextoNormal"/>
      </w:pPr>
      <w:r>
        <w:t>Otra cosa será si tanto el Estado como las Comunidades Autónomas ostentan competencias concurrentes o compartidas sobre la materia a la que las subvenciones se refieran, de manera que el Estado pueda, en alguna medida, especificar con más detalle el destino y fijar las condiciones del otorgamiento de las subvenciones, correspondiendo a las Comunidades Autónomas su gestión. En tales casos puede el Estado establecer sus condiciones, hasta donde alcance su competencia material, en vez de por una norma de obligado cumplimiento, mediante un Convenio-Programa, supeditando la transferencia de los fondos a las Comunidades Autónomas a la firma del Convenio correspondiente.</w:t>
      </w:r>
    </w:p>
    <w:p w:rsidR="00FE0907" w:rsidRDefault="00FE0907" w:rsidP="00FE0907">
      <w:pPr>
        <w:pStyle w:val="TextoNormal"/>
      </w:pPr>
      <w:r>
        <w:t xml:space="preserve">Entendida en la forma en que ha quedado expuesta la celebración de Convenios-Programa para la instrumentación de las subvenciones, ha de reconocerse la constitucionalidad de las partidas presupuestarias impugnadas por este concreto motivo.  Pues es evidente que los Convenios de financiación de ese tipo de actividades no podrán articularse </w:t>
      </w:r>
      <w:r>
        <w:lastRenderedPageBreak/>
        <w:t>en la práctica de cualquier modo, sino sólo en la forma compatible tanto con el deslinde competencial como con la autonomía financiera de las Comunidades Autónomas.</w:t>
      </w:r>
    </w:p>
    <w:p w:rsidR="00FE0907" w:rsidRDefault="00FE0907" w:rsidP="00FE0907">
      <w:pPr>
        <w:pStyle w:val="TextoNormal"/>
      </w:pPr>
    </w:p>
    <w:p w:rsidR="00FE0907" w:rsidRDefault="00FE0907" w:rsidP="00FE0907">
      <w:pPr>
        <w:pStyle w:val="TextoNormal"/>
      </w:pPr>
      <w:r w:rsidRPr="00FE0907">
        <w:rPr>
          <w:rStyle w:val="NumeroAFNegritaCaracter"/>
        </w:rPr>
        <w:t>11</w:t>
      </w:r>
      <w:r>
        <w:t>. Procede ahora examinar cada una de las partidas presupuestarias impugnadas para determinar si el Estado ha excedido o no, en cada caso, sus competencias propias, conforme a la doctrina expuesta en los anteriores fundamentos jurídicos.</w:t>
      </w:r>
    </w:p>
    <w:p w:rsidR="00FE0907" w:rsidRDefault="00FE0907" w:rsidP="00FE0907">
      <w:pPr>
        <w:pStyle w:val="TextoNormal"/>
      </w:pPr>
      <w:r>
        <w:t>En una tarea 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fundamento jurídico 5º), ni la información suministrada por las partidas presupuestarias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y, en consecuencia con la doctrina contenida en los fundamentos jurídicos anteriores, llegar a un pronunciamiento de inconstitucionalidad.  Esta dificultad, que el Abogado del Estado pone de relieve y que tampoco se nos oculta, no debe constituir, sin embargo, un obstáculo insuperable para nuestro análisis.</w:t>
      </w:r>
    </w:p>
    <w:p w:rsidR="00FE0907" w:rsidRDefault="00FE0907" w:rsidP="00FE0907">
      <w:pPr>
        <w:pStyle w:val="TextoNormal"/>
      </w:pPr>
      <w:r>
        <w:t>No obstante, conviene decir que, si bien la función de este Tribunal se limita a declarar la conformidad o disconformidad con la Constitución de las normas y actos de los Poderes Públicos objeto de recurso, el hecho de que no se declaren contrarias al orden constitucional de competencias determinadas partidas presupuestarias que se impugnan no significa que la doctrina que ha quedado expuesta en los fundamentos jurídicos precedentes no haya de tenerse en cuenta en el momento de la elaboración de los Presupuestos Generales del Estado a fin de que el modo de presupuestar, según las técnicas presupuestarias vigentes, sea cada vez más adecuado al modelo de Estado de las Autonomías que la Constitución instituye.</w:t>
      </w:r>
    </w:p>
    <w:p w:rsidR="00FE0907" w:rsidRDefault="00FE0907" w:rsidP="00FE0907">
      <w:pPr>
        <w:pStyle w:val="TextoNormal"/>
      </w:pPr>
    </w:p>
    <w:p w:rsidR="00FE0907" w:rsidRDefault="00FE0907" w:rsidP="00FE0907">
      <w:pPr>
        <w:pStyle w:val="TextoNormal"/>
      </w:pPr>
      <w:r w:rsidRPr="00FE0907">
        <w:rPr>
          <w:rStyle w:val="NumeroAFNegritaCaracter"/>
        </w:rPr>
        <w:t>12</w:t>
      </w:r>
      <w:r>
        <w:t>. Analizaremos en primer lugar las partidas impugnadas de los Presupuestos Generales del Estado para 1988.</w:t>
      </w:r>
    </w:p>
    <w:p w:rsidR="00FE0907" w:rsidRDefault="00FE0907" w:rsidP="00FE0907">
      <w:pPr>
        <w:pStyle w:val="TextoNormal"/>
      </w:pPr>
      <w:r>
        <w:t>A) De la SECCIÓN 26 (MINISTERIO DE SANIDAD Y CONSUMO).</w:t>
      </w:r>
    </w:p>
    <w:p w:rsidR="00FE0907" w:rsidRDefault="00FE0907" w:rsidP="00FE0907">
      <w:pPr>
        <w:pStyle w:val="TextoNormal"/>
      </w:pPr>
      <w:r>
        <w:t>a) Servicio 08 (Dirección General de Salud Alimentaria y Protección de los Consumidores), Programa 413 D (Higiene de los Alimentos y Sanidad Ambiental), Concepto 227.07 (Trabajos realizados por otras Empresas para toda clase de gastos que origine el Programa de control y erradicación de Zoonosis: Hidiatosis), y Concepto 227.08 (idem, Red de Aire, para toda clase de gastos que origine el Plan Nacional de Sanidad Ambiental: Red Nacional de vigilancia y prevención de la Contaminación Atmosférica).</w:t>
      </w:r>
    </w:p>
    <w:p w:rsidR="00FE0907" w:rsidRDefault="00FE0907" w:rsidP="00FE0907">
      <w:pPr>
        <w:pStyle w:val="TextoNormal"/>
      </w:pPr>
      <w:r>
        <w:t>Sin prejuzgar su contenido, que de la partida presupuestaria no se deduce, el Estado podría, en principio, amparar su intervención en ambos programas en los títulos competenciales referidos en el art. 149.1.16º y 23ª C.E.  La preocupación que subyace a la impugnación de estas partidas es, sin duda, la de evitar una gestión centralizada de dichos programas, en cuyo caso la queja de la Generalidad de Cataluña podría tener mayor fundamento. Sin embargo, el escueto texto de las partidas impugnadas no prejuzga esa centralización y de ahí que no sea posible considerar que, en sí mismas, vulneren las competencias de la Comunidad Autónoma de Cataluña.</w:t>
      </w:r>
    </w:p>
    <w:p w:rsidR="00FE0907" w:rsidRDefault="00FE0907" w:rsidP="00FE0907">
      <w:pPr>
        <w:pStyle w:val="TextoNormal"/>
      </w:pPr>
      <w:r>
        <w:lastRenderedPageBreak/>
        <w:t>b) Servicio 09 (Dirección General de Planificación Sanitaria), Programa 412 G, art. 42: Transferencias Corrientes a la Seguridad Social: para el INSALUD, para gastos, mediante Convenio con el Ministerio de Sanidad y Consumo, de programas sobre el SIDA, prevención de minusvalías, plan de embarazo, diagnóstico prenatal, contra la hepatitis B, asistencia y ayuda sanitaria a población anciana, promoción de salud buco-dental y reconocimientos de cuello uterino y mama.</w:t>
      </w:r>
    </w:p>
    <w:p w:rsidR="00FE0907" w:rsidRDefault="00FE0907" w:rsidP="00FE0907">
      <w:pPr>
        <w:pStyle w:val="TextoNormal"/>
      </w:pPr>
      <w:r>
        <w:t>También aquí es incuestionable la existencia de título competencial del Estado ex art. 149.1.16ª C.E., dentro de las bases y coordinación de la sanidad, y art.  149.1.17ª del régimen económico de la Seguridad Social, tratándose, como es el caso del INSALUD, de una entidad estatal gestora de la Seguridad Social, lo que legitima genéricamente las previsiones presupuestarias de gasto.  Del examen de las partidas presupuestarias que se refieren a determinados planes y programas de acciones sanitarias especiales, obviamente sin indicar su extensión y alcance, no es posible prejuzgar que el Estado haya excedido sus límites competenciales.</w:t>
      </w:r>
    </w:p>
    <w:p w:rsidR="00FE0907" w:rsidRDefault="00FE0907" w:rsidP="00FE0907">
      <w:pPr>
        <w:pStyle w:val="TextoNormal"/>
      </w:pPr>
      <w:r>
        <w:t>Dadas las competencias de desarrollo normativo y ejecutivas de algunas Comunidades Autónomas en la materia habrá de estarse, en su caso, a las normas y actos de aplicación así como a los correspondientes programas que se ejecuten; pero la mera previsión presupuestaria del gasto no es objetable desde el punto de vista del orden competencial. Sin perjuicio de las competencias de gestión que le corresponden a Cataluña, que en todo caso deberán ser respetadas, como es obvio, al ejecutar las citadas partidas presupuestarias.</w:t>
      </w:r>
    </w:p>
    <w:p w:rsidR="00FE0907" w:rsidRDefault="00FE0907" w:rsidP="00FE0907">
      <w:pPr>
        <w:pStyle w:val="TextoNormal"/>
      </w:pPr>
      <w:r>
        <w:t>c) Servicio 09, Programa 412 G., art. 45: Transferencias Corrientes a Comunidades Autónomas para gastos del Plan de Prevención de Minusválidos, adecuación de los servicios de asistencia psiquiátrica y salud mental, diagnóstico prenatal y neonatal precoz, información, prevención, detección y tratamiento del SIDA.</w:t>
      </w:r>
    </w:p>
    <w:p w:rsidR="00FE0907" w:rsidRDefault="00FE0907" w:rsidP="00FE0907">
      <w:pPr>
        <w:pStyle w:val="TextoNormal"/>
      </w:pPr>
      <w:r>
        <w:t>Lo único que la Generalidad impugna de las partidas que integran este art. 45 es que se le transfieran mediante Convenio con el Ministerio de Sanidad y Consumo. Pero esta impugnación debe ser desestimada por las mismas razones y con las mismas precisiones apuntadas a propósito de los Convenios, pues en una materia en que el Estado tiene reservadas competencias sobre las bases y, muy específicamente, sobre la coordinación, la fórmula del Convenio con el organismo correspondiente de la Comunidad Autónoma puede ser válida y útil para asegurar la acción conjunta de las instituciones estatales y autonómicas.  Siempre, claro está, que los Convenios se ajusten a los principios y límites que hemos resumido con carácter general en el fundamento jurídico 10º.</w:t>
      </w:r>
    </w:p>
    <w:p w:rsidR="00FE0907" w:rsidRDefault="00FE0907" w:rsidP="00FE0907">
      <w:pPr>
        <w:pStyle w:val="TextoNormal"/>
      </w:pPr>
      <w:r>
        <w:t>d) Servicio 09, Programa 412 G. art. 48: Transferencias Corrientes a familias e instituciones sin fines de lucro (Conceptos 484 a 489), para subvenciones con destino a financiación de trasplantes de órganos, Cruz Roja, Instituciones que atiendan a enfermos del SIDA e información, prevención, detección y tratamiento del SIDA, promoción de donación de sangre y programa de vigilancia de transformaciones congénitas.</w:t>
      </w:r>
    </w:p>
    <w:p w:rsidR="00FE0907" w:rsidRDefault="00FE0907" w:rsidP="00FE0907">
      <w:pPr>
        <w:pStyle w:val="TextoNormal"/>
      </w:pPr>
      <w:r>
        <w:t>El Estado tiene título competencial en la materia (bases y coordinación general de la sanidad, art.  149.1.16ª C.E.)  y puede, por tanto, legítimamente centralizar la actividad subvencional para utilizar los Presupuestos Generales del Estado como instrumento de ordenación de la actividad sanitaria de terceros en orden a una mejor coordinación de la política sanitaria nacional.  Por otra parte, la partida presupuestaria no es susceptible de territorialización dada la naturaleza y objetivos de las concretas acciones de que se trata (trasplantes de órganos; información, prevención, detección y tratamiento del SIDA; donación de sangre).</w:t>
      </w:r>
    </w:p>
    <w:p w:rsidR="00FE0907" w:rsidRDefault="00FE0907" w:rsidP="00FE0907">
      <w:pPr>
        <w:pStyle w:val="TextoNormal"/>
      </w:pPr>
      <w:r>
        <w:t xml:space="preserve">e) A la misma conclusión de constitucionalidad que en el epígrafe anterior, por la competencia básica del Estado para la ordenación del sector de la sanidad nacional (art.  </w:t>
      </w:r>
      <w:r>
        <w:lastRenderedPageBreak/>
        <w:t>149.1.16ª C.E.), hemos de llegar respecto de la partida 781, art.  78 del Programa 412 G del Servicio 26.09: Transferencias de Capital a familias e instituciones sin fines de lucro para construcción, acondicionamiento y equipamiento de hospitales dependientes de instituciones sin fines de lucro.</w:t>
      </w:r>
    </w:p>
    <w:p w:rsidR="00FE0907" w:rsidRDefault="00FE0907" w:rsidP="00FE0907">
      <w:pPr>
        <w:pStyle w:val="TextoNormal"/>
      </w:pPr>
      <w:r>
        <w:t>f) Servicio 09, Programa 413 A (Planificación Sanitaria), art.  42: Transferencias Corrientes a la Seguridad Social; al INSALUD, para gastos de formación continuada de personal sanitario.</w:t>
      </w:r>
    </w:p>
    <w:p w:rsidR="00FE0907" w:rsidRDefault="00FE0907" w:rsidP="00FE0907">
      <w:pPr>
        <w:pStyle w:val="TextoNormal"/>
      </w:pPr>
      <w:r>
        <w:t>En abstracto, la inclusión de esta partida no excede de las competencias del Estado, puesto que el INSALUD sigue siendo de titularidad estatal en buena parte del territorio nacional y nada indica, en el texto de la partida impugnada, que las Transferencias Corrientes que habilita a la Tesorería General de la Seguridad Social para el INSALUD incluyan también a los Servicios de dicho Ente de gestión transferido a las Comunidades Autónomas.</w:t>
      </w:r>
    </w:p>
    <w:p w:rsidR="00FE0907" w:rsidRDefault="00FE0907" w:rsidP="00FE0907">
      <w:pPr>
        <w:pStyle w:val="TextoNormal"/>
      </w:pPr>
      <w:r>
        <w:t>Ahora bien, aunque en los Presupuestos Generales del Estado para 1988 no se hace el desglose o especificación entre Subconceptos de esta partida, distinguiendo entre "servicios gestionados directamente" -Subconcepto 01- y "servicios con gestión transferida" -Subconcepto 02- que sí se explicita en cambio en los Presupuestos Generales del Estado para 1989, hemos de declarar la inconstitucionalidad de esta partida en la medida que incluya en favor del INSALUD, como simple órgano de intermediación, dotaciones de los servicios transferidos a Cataluña, por vulnerar las competencias de la Generalidad, como así se hace respecto de las partidas homólogas de los Presupuestos Generales para 1989, según se verá en el fundamento jurídico siguiente.</w:t>
      </w:r>
    </w:p>
    <w:p w:rsidR="00FE0907" w:rsidRDefault="00FE0907" w:rsidP="00FE0907">
      <w:pPr>
        <w:pStyle w:val="TextoNormal"/>
      </w:pPr>
      <w:r>
        <w:t>g) Servicio 10 (Delegación del Gobierno para el Plan Nacional sobre Drogas), Programa 313 G, art.  42: Transferencias Corrientes a la Seguridad Social, para el INSALUD, con destino a gastos que originen los Servicios no transferidos de desintoxicación y de atención primaria del Plan Nacional sobre Drogas, a desarrollar mediante Convenio con el Ministerio de Sanidad y Consumo.</w:t>
      </w:r>
    </w:p>
    <w:p w:rsidR="00FE0907" w:rsidRDefault="00FE0907" w:rsidP="00FE0907">
      <w:pPr>
        <w:pStyle w:val="TextoNormal"/>
      </w:pPr>
      <w:r>
        <w:t>La impugnación de esta partida carece de todo fundamento, pues, como antes se ha dicho, basta recordar que el INSALUD es una Entidad gestora que ejecuta competencias del Estado en buena parte de su territorio, y la partida se refiere precisamente a los Servicios no transferidos, por lo que no se comprende de qué manera invade o menoscaba las competencias de Cataluña, máxime cuando en el art.  45 del mismo Programa y Capítulo se preven transferencias a las Comunidades Autónomas por concepto semejante.</w:t>
      </w:r>
    </w:p>
    <w:p w:rsidR="00FE0907" w:rsidRDefault="00FE0907" w:rsidP="00FE0907">
      <w:pPr>
        <w:pStyle w:val="TextoNormal"/>
      </w:pPr>
      <w:r>
        <w:t>h) Servicio 11 (Secretaria General de Asistencia Sanitaria). Programa 412 F, art. 42: Transferencias Corrientes a la Seguridad Social, para el INSALUD, para gastos, incluso de personal, de los Servicios de asistencia psiquiátrica y salud mental (puesta en marcha y funcionamiento), asistencia a los afectados del síndrome tóxico, asistencia religiosa en centros hospitalarios conforme al Acuerdo suscrito por los Ministerios de Justicia y Sanidad y la Conferencia Episcopal Española, protección radiológica y fecundación asistida.</w:t>
      </w:r>
    </w:p>
    <w:p w:rsidR="00FE0907" w:rsidRDefault="00FE0907" w:rsidP="00FE0907">
      <w:pPr>
        <w:pStyle w:val="TextoNormal"/>
      </w:pPr>
      <w:r>
        <w:t>Nos encontramos aquí con partidas presupuestarias destinadas al funcionamiento regular de servicios públicos. En tanto y en cuanto parte de estas transferencias se destinen a los Servicios de gestión sanitaria de la Seguridad Social transferidos a las Comunidades Autónomas no sería conforme al orden constitucional de competencias realizar la transferencia por intermediación de un ente como el INSALUD.  En tal hipótesis los Presupuestos Generales del Estado deberían asignar los créditos correspondientes a favor de las Comunidades Autónomas que hayan asumido competencias en la materia, indicando genéricamente su destino finalista.</w:t>
      </w:r>
    </w:p>
    <w:p w:rsidR="00FE0907" w:rsidRDefault="00FE0907" w:rsidP="00FE0907">
      <w:pPr>
        <w:pStyle w:val="TextoNormal"/>
      </w:pPr>
      <w:r>
        <w:lastRenderedPageBreak/>
        <w:t>Por esta razón, hemos de declarar la inconstitucionalidad de estas partidas presupuestarias en la medida que consignan a favor del INSALUD, como simple órgano de intermediación financiera, dotaciones presupuestarias de Servicios transferidos a la Generalidad de Cataluña.</w:t>
      </w:r>
    </w:p>
    <w:p w:rsidR="00FE0907" w:rsidRDefault="00FE0907" w:rsidP="00FE0907">
      <w:pPr>
        <w:pStyle w:val="TextoNormal"/>
      </w:pPr>
      <w:r>
        <w:t>i) Servicio 11, Programa 542 H (Investigación Sanitaria), art.  42: Transferencias Corrientes a la Seguridad Social, al INSALUD, para investigación sanitaria e investigación sanitaria sobre el síndrome tóxico y materias relacionadas.</w:t>
      </w:r>
    </w:p>
    <w:p w:rsidR="00FE0907" w:rsidRDefault="00FE0907" w:rsidP="00FE0907">
      <w:pPr>
        <w:pStyle w:val="TextoNormal"/>
      </w:pPr>
      <w:r>
        <w:t>La impugnación de estas partidas presupuestarias debe ser desestimada.  Se trata de fondos destinados al desarrollo de programas de investigación y asistencia sanitaria conexos a un plan nacional de asistencia a los afectados por el "síndrome tóxico", en que, por su naturaleza y características, resulta justificada, de acuerdo con nuestra doctrina, su consignación centralizada en los Presupuestos Generales del Estado, tanto para asegurar su plena efectividad dentro de la ordenación básica y de coordinación de la sanidad, como para garantizar iguales posibilidades de obtención y disfrute por parte de sus potenciales destinatarios en todo el territorio nacional.</w:t>
      </w:r>
    </w:p>
    <w:p w:rsidR="00FE0907" w:rsidRDefault="00FE0907" w:rsidP="00FE0907">
      <w:pPr>
        <w:pStyle w:val="TextoNormal"/>
      </w:pPr>
      <w:r>
        <w:t>B) De la SECCIÓN 19 (MINISTERIO DE TRABAJO Y SEGURIDAD SOCIAL).</w:t>
      </w:r>
    </w:p>
    <w:p w:rsidR="00FE0907" w:rsidRDefault="00FE0907" w:rsidP="00FE0907">
      <w:pPr>
        <w:pStyle w:val="TextoNormal"/>
      </w:pPr>
      <w:r>
        <w:t>Servicio 01 (Ministerio, Subsecretaria y Secretarías Generales), Programa 313 B (Servicios Sociales), Concepto 721, subvención del INSERSO para financiar su Plan de Inversiones.</w:t>
      </w:r>
    </w:p>
    <w:p w:rsidR="00FE0907" w:rsidRDefault="00FE0907" w:rsidP="00FE0907">
      <w:pPr>
        <w:pStyle w:val="TextoNormal"/>
      </w:pPr>
      <w:r>
        <w:t>En relación con esta partida, cabe preguntarse si tiene algún sentido que el Estado mantenga un Ente de gestión en una materia -los Servicios Sociales- que ha sido descentralizada prácticamente por entero por la Constitución y los Estatutos de Autonomía.  Los Servicios del INSERSO, integrados en la estructura y régimen económico de la Seguridad Social, no han sido transferidos a todas las Comunidades Autónomas, por lo que es lógico que en los Presupuestos Generales del Estado se incluya una partida como la que ahora se impugna.  Desde este punto de vista, la pretensión de la Generalidad de Cataluña carece de fundamento, pues se trata de una dotación que no afecta por si misma a Cataluña, que sí tiene transferido el INSERSO, de manera que la misma Ley de Presupuestos prevé ya específicamente la cuantía de las transferencias en favor de la Comunidad Autónoma de Cataluña con cargo al Presupuesto del INSERSO, en la que hay que entender incluído el coste efectivo del Servicio y lo necesario para que Cataluña desarrolle las inversiones que considere pertinentes. No obstante, si el Plan de Inversiones del INSERSO al que se destina la partida impugnada incluyera actuaciones en el territorio de Cataluña, es evidente, conforme a nuestra doctrina general, que la gestión de las mismas habría de corresponder a la Generalidad, conforme a lo dispuesto en el art. 17 del E.A.C.</w:t>
      </w:r>
    </w:p>
    <w:p w:rsidR="00FE0907" w:rsidRDefault="00FE0907" w:rsidP="00FE0907">
      <w:pPr>
        <w:pStyle w:val="TextoNormal"/>
      </w:pPr>
    </w:p>
    <w:p w:rsidR="00FE0907" w:rsidRDefault="00FE0907" w:rsidP="00FE0907">
      <w:pPr>
        <w:pStyle w:val="TextoNormal"/>
      </w:pPr>
      <w:r w:rsidRPr="00FE0907">
        <w:rPr>
          <w:rStyle w:val="NumeroAFNegritaCaracter"/>
        </w:rPr>
        <w:t>13</w:t>
      </w:r>
      <w:r>
        <w:t>. Examinaremos ahora las impugnaciones de partidas de los Presupuestos Generales del Estado para 1989.</w:t>
      </w:r>
    </w:p>
    <w:p w:rsidR="00FE0907" w:rsidRDefault="00FE0907" w:rsidP="00FE0907">
      <w:pPr>
        <w:pStyle w:val="TextoNormal"/>
      </w:pPr>
      <w:r>
        <w:t>A) De la SECCIÓN 13 (MINISTERIO DE JUSTICIA).</w:t>
      </w:r>
    </w:p>
    <w:p w:rsidR="00FE0907" w:rsidRDefault="00FE0907" w:rsidP="00FE0907">
      <w:pPr>
        <w:pStyle w:val="TextoNormal"/>
      </w:pPr>
      <w:r>
        <w:t>a) Servicio 04 (Dirección General de Instituciones Penintenciarias), Programa 144 A (Centros e Instituciones Penintenciarias), Concepto 480: Transferencias Corrientes a Instituciones y Centros para atención a drogodependientes.</w:t>
      </w:r>
    </w:p>
    <w:p w:rsidR="00FE0907" w:rsidRDefault="00FE0907" w:rsidP="00FE0907">
      <w:pPr>
        <w:pStyle w:val="TextoNormal"/>
      </w:pPr>
      <w:r>
        <w:t>Es esta una subvención a Instituciones y Centros penitenciarios, como cabe deducir de su enunciado. Dado que el Estado gestiona directamente las Instituciones y Centros penitenciarios en la mayor parte del territorio nacional, la partida en sí no vulnera competencia alguna de la Comunidad Autónoma de Cataluña, pues de su enunciado no se infiere que afecte a las Instituciones y Centros transferidos a la Generalidad de Cataluña, pues sólo si así fuera la partida sería inconstitucional.</w:t>
      </w:r>
    </w:p>
    <w:p w:rsidR="00FE0907" w:rsidRDefault="00FE0907" w:rsidP="00FE0907">
      <w:pPr>
        <w:pStyle w:val="TextoNormal"/>
      </w:pPr>
      <w:r>
        <w:lastRenderedPageBreak/>
        <w:t>b) Servicio 04, Programa 313 C (Prestaciones de asistencia social), Concepto 482: Transferencias Corrientes a familias e instituciones sin fines de lucro para atenciones a los internos, liberados y familiares.</w:t>
      </w:r>
    </w:p>
    <w:p w:rsidR="00FE0907" w:rsidRDefault="00FE0907" w:rsidP="00FE0907">
      <w:pPr>
        <w:pStyle w:val="TextoNormal"/>
      </w:pPr>
      <w:r>
        <w:t>Aunque las subvenciones en cuestión responden a un concepto amplio de asistencia social, el título competencial aquí prevalente es el relativo a la materia penitenciaria (art.149.1.6ª C.E.), ya que, como el representante de la Generalidad de Cataluña alega, mediante dichas subvenciones se trata de ejecutar lo dispuesto en los arts. 74 de la Ley Orgánica General Penitenciaria y 258 del Reglamento Penitenciario, con la finalidad de reeducación y reinserción social.  Por ello, el Estado puede disponer este tipo de subvenciones en sus Presupuestos en garantía del cumplimiento de la legislación que le corresponde en exclusiva (art.  149.1.6ª C.E.).  La ejecución de esta legislación en el territorio de Cataluña corresponde, no obstante, a la Generalidad (art.  11.1 E.A.C.), lo que supone que es competente para la gestión de las referidas subvenciones en su ámbito propio.  En consecuencia, la partida debe territorializarse, preferentemente en los Presupuestos Generales del Estado, salvo que las cuantías afectadas a esa finalidad correspondientes a los internos en Centros transferidos y a liberados y familiares residentes en Cataluña se hubiera incluído ya en el coste efectivo de los Servicios transferidos.</w:t>
      </w:r>
    </w:p>
    <w:p w:rsidR="00FE0907" w:rsidRDefault="00FE0907" w:rsidP="00FE0907">
      <w:pPr>
        <w:pStyle w:val="TextoNormal"/>
      </w:pPr>
      <w:r>
        <w:t>B) De la SECCIÓN 16 (MINISTERIO DEL INTERIOR).</w:t>
      </w:r>
    </w:p>
    <w:p w:rsidR="00FE0907" w:rsidRDefault="00FE0907" w:rsidP="00FE0907">
      <w:pPr>
        <w:pStyle w:val="TextoNormal"/>
      </w:pPr>
      <w:r>
        <w:t>Servicio 04 (Dirección General de Protección Civil), Programa 223 A (Protección Civil), Concepto 461: Transferencias Corrientes a Corporaciones Locales para atenciones de todo orden motivadas por siniestros, catástrofes u otras de reconocida urgencia; Concepto 482: Transferencias Corrientes a familiares e instituciones sin fines de lucro para atenciones de todo orden motivadas por siniestros, catástrofes u otras de reconocida urgencia; Conceptos 761 y 782: Transferencias de Capital a Corporaciones Locales y a familias e instituciones sin fines de lucro para los mismos fines.</w:t>
      </w:r>
    </w:p>
    <w:p w:rsidR="00FE0907" w:rsidRDefault="00FE0907" w:rsidP="00FE0907">
      <w:pPr>
        <w:pStyle w:val="TextoNormal"/>
      </w:pPr>
      <w:r>
        <w:t>El Estado tiene competencia en materia de protección civil (art. 149.1.29ª C.E.), concurrente con la que ostentan las Comunidades Autónomas, en los términos que declaró la STC 133/1990, lo que le permite, entre otras cosas, movilizar recursos en caso de emergencia cuando concurra un interés nacional o sea precisa una coordinación o dirección nacional de todas las Administraciones afectadas, por el alcance y dimensión de la emergencia. Por tanto, nada hay que objetar a la inclusión de las partidas reseñadas en los Presupuestos Generales del Estado.</w:t>
      </w:r>
    </w:p>
    <w:p w:rsidR="00FE0907" w:rsidRDefault="00FE0907" w:rsidP="00FE0907">
      <w:pPr>
        <w:pStyle w:val="TextoNormal"/>
      </w:pPr>
      <w:r>
        <w:t>C) De la SECCIÓN 17 (MINISTERIO DE OBRAS PÚBLICAS).</w:t>
      </w:r>
    </w:p>
    <w:p w:rsidR="00FE0907" w:rsidRDefault="00FE0907" w:rsidP="00FE0907">
      <w:pPr>
        <w:pStyle w:val="TextoNormal"/>
      </w:pPr>
      <w:r>
        <w:t>Servicio 09 (Dirección General del Medio Ambiente), Programa 443 D (Protección y Mejora del Medio Ambiente), Concepto 470: Transferencias Corrientes a empresas privadas para regeneración de aceites lubricantes; y Concepto 771: Transferencias del Capital a Empresas.  Previstas en la normativa vigente.</w:t>
      </w:r>
    </w:p>
    <w:p w:rsidR="00FE0907" w:rsidRDefault="00FE0907" w:rsidP="00FE0907">
      <w:pPr>
        <w:pStyle w:val="TextoNormal"/>
      </w:pPr>
      <w:r>
        <w:t>Al Estado está reservada la legislación básica en materia de medio ambiente (art. 149.1.23º), mientras que la gestión de su protección corresponde a las Comunidades Autónomas (art.  148.1.9ª), aparte las competencias para establecer normas adicionales de protección que algunas de ellas, como Cataluña, ostentan. El Estado puede consignar fondos subvencionales en garantía del cumplimiento de su legislación básica, pero dichos fondos deben ser normalmente gestionados por las Comunidades Autónomas, salvo que concurran las circunstancias excepcionales que impidan o dificulten sensiblemente una asignación diferenciada de los recursos por Comunidades Autónomas. El examen de las partidas impugnadas, dado su genérico texto y la ambigüedad de algún Concepto (el 771), no permite deducir si en estos casos está o no justificada la gestión centralizada de las subvenciones o si, por el contrario, es posible y, por ende, debe procederse a su territoria</w:t>
      </w:r>
      <w:r>
        <w:lastRenderedPageBreak/>
        <w:t>lización, como pide la Generalidad de Cataluña.  De ahí que las partidas en sí no puedan declararse inconstitucionales, con independencia de la normativa reguladora de estas ayudas.</w:t>
      </w:r>
    </w:p>
    <w:p w:rsidR="00FE0907" w:rsidRDefault="00FE0907" w:rsidP="00FE0907">
      <w:pPr>
        <w:pStyle w:val="TextoNormal"/>
      </w:pPr>
      <w:r>
        <w:t>D) De la SECCIÓN 18 (MINISTERIO DE EDUCACIÓN Y CIENCIA).</w:t>
      </w:r>
    </w:p>
    <w:p w:rsidR="00FE0907" w:rsidRDefault="00FE0907" w:rsidP="00FE0907">
      <w:pPr>
        <w:pStyle w:val="TextoNormal"/>
      </w:pPr>
      <w:r>
        <w:t>a) Sección 01 (Ministerio, Subsecretaria y Servicios Generales), Programa 421 A (Dirección y Servicios Generales de la Educación), Concepto 481: Transferencias Corrientes a familias e instituciones sin fines de lucro, "para las que se acuerden por Orden Ministerial".</w:t>
      </w:r>
    </w:p>
    <w:p w:rsidR="00FE0907" w:rsidRDefault="00FE0907" w:rsidP="00FE0907">
      <w:pPr>
        <w:pStyle w:val="TextoNormal"/>
      </w:pPr>
      <w:r>
        <w:t>Alega el representante de la Generalidad de Cataluña que la territorialización de esta partida está supeditada a lo que disponga la correspondiente Orden Ministerial y esta supeditación es justamente lo que impugna. Sin embargo, la ambigüedad del Concepto es tal que no es posible saber ni siquiera si procede o no la territorialización de la partida.  El Estado mantiene la competencia plena en materia de enseñanza en buena parte del territorio nacional, por lo que hay que entender que la dotación se refiere válidamente sólo a fines que el Estado pretenda alcanzar en su ámbito de competencia.</w:t>
      </w:r>
    </w:p>
    <w:p w:rsidR="00FE0907" w:rsidRDefault="00FE0907" w:rsidP="00FE0907">
      <w:pPr>
        <w:pStyle w:val="TextoNormal"/>
      </w:pPr>
      <w:r>
        <w:t>b) Servicio 01, Programa 421 A, Concepto 482: Transferencias Corrientes a familias e instituciones sin fines de lucro para pago de indemnizaciones por accidentes escolares.</w:t>
      </w:r>
    </w:p>
    <w:p w:rsidR="00FE0907" w:rsidRDefault="00FE0907" w:rsidP="00FE0907">
      <w:pPr>
        <w:pStyle w:val="TextoNormal"/>
      </w:pPr>
      <w:r>
        <w:t>La Generalidad de Cataluña impugna esta partida porque, según afirma, no recibe transferencia alguna por este Concepto.  Pero este argumento nada dice sobre la constitucionalidad de la partida impugnada, pues es evidente que lo que el Estado pretende es hacer frente mediante ella a sus propias responsabilidades en la materia. Al socaire de esta impugnación -como de otras, según se verá- lo que la Generalidad está planteando es la insuficiencia de la financiación incondicionada que recibe para sufragar los gastos de los servicios educativos transferidos. Pero este es un problema que excede del objeto de este recurso de inconstitucionalidad, que versa estrictamente sobre la adecuación a la Constitución de determinadas partidas de los Presupuestos Generales del Estado.</w:t>
      </w:r>
    </w:p>
    <w:p w:rsidR="00FE0907" w:rsidRDefault="00FE0907" w:rsidP="00FE0907">
      <w:pPr>
        <w:pStyle w:val="TextoNormal"/>
      </w:pPr>
      <w:r>
        <w:t>c) Servicio 05 (Dirección General de Personal y Servicios), Programa 422 B (Educación General Básica), Concepto 482: Transferencias Corrientes a la Conferencia Episcopal, para hacer efectiva la enseñanza de la religión católica en los Colegios Públicos de E.G.B.</w:t>
      </w:r>
    </w:p>
    <w:p w:rsidR="00FE0907" w:rsidRDefault="00FE0907" w:rsidP="00FE0907">
      <w:pPr>
        <w:pStyle w:val="TextoNormal"/>
      </w:pPr>
      <w:r>
        <w:t>Tambien aduce la Generalidad en este caso que no recibe cantidad alguna por este Concepto.  Pero es completamente lógico, porque la partida en cuestión no hace sino ejecutar el Acuerdo entre el Estado español y la Santa Sede sobre enseñanza y asuntos culturales, de 3 de enero de 1979 (en particular su art.  VII).</w:t>
      </w:r>
    </w:p>
    <w:p w:rsidR="00FE0907" w:rsidRDefault="00FE0907" w:rsidP="00FE0907">
      <w:pPr>
        <w:pStyle w:val="TextoNormal"/>
      </w:pPr>
      <w:r>
        <w:t>d) Servicio 06 (Secretaria de Estado de Universidades e Investigación).  Programa 422 D (Enseñanzas Universitarias), Concepto 441: Transferencias Corrientes a las Universidades para diversas atenciones, enumerándose en los Subconceptos diversas Universidades, sin que se cite a ninguna de las de Cataluña.</w:t>
      </w:r>
    </w:p>
    <w:p w:rsidR="00FE0907" w:rsidRDefault="00FE0907" w:rsidP="00FE0907">
      <w:pPr>
        <w:pStyle w:val="TextoNormal"/>
      </w:pPr>
      <w:r>
        <w:t>Es evidente que, mediante esta partida, el Estado subviene a diversos gastos de Universidades radicadas en aquellas partes del territorio nacional donde los servicios sobre la materia no se han traspasado a las Comunidades Autónomas.  La impugnación carece, pues, de todo fundamento, máxime cuando las transferencias a las Universidades catalanas se han tenido en cuenta para el cálculo de la fórmula financiera que se aplica a la financiación de los Servicios transferidos en materia educativa.</w:t>
      </w:r>
    </w:p>
    <w:p w:rsidR="00FE0907" w:rsidRDefault="00FE0907" w:rsidP="00FE0907">
      <w:pPr>
        <w:pStyle w:val="TextoNormal"/>
      </w:pPr>
      <w:r>
        <w:t>e) Servicio 06, Programa 422 D, Concepto 442: Transferencias Corrientes para atenciones extraordinarias "a todas las Universidades".</w:t>
      </w:r>
    </w:p>
    <w:p w:rsidR="00FE0907" w:rsidRDefault="00FE0907" w:rsidP="00FE0907">
      <w:pPr>
        <w:pStyle w:val="TextoNormal"/>
      </w:pPr>
      <w:r>
        <w:t>La rotundidad de la expresión del concepto presupuestario, que se refiere "a todas las Universidades", no deja lugar a dudas respecto de su alcance, debiendo entenderse incluí</w:t>
      </w:r>
      <w:r>
        <w:lastRenderedPageBreak/>
        <w:t>das también las de Cataluña. Por ello, la consignación centralizada de la partida presupuestaria ha de reputarse inconstitucional, debiendo territorializarse asignando la parte correspondiente a la Generalidad para su distribución entre las Universidades de Cataluña.</w:t>
      </w:r>
    </w:p>
    <w:p w:rsidR="00FE0907" w:rsidRDefault="00FE0907" w:rsidP="00FE0907">
      <w:pPr>
        <w:pStyle w:val="TextoNormal"/>
      </w:pPr>
      <w:r>
        <w:t>f) Servicio 06, Programa 422 D, Concepto 486: Transferencias Corrientes a las Universidades para preparación de proyectos de formación de nuevas tecnologías dentro del Programa COMETT.</w:t>
      </w:r>
    </w:p>
    <w:p w:rsidR="00FE0907" w:rsidRDefault="00FE0907" w:rsidP="00FE0907">
      <w:pPr>
        <w:pStyle w:val="TextoNormal"/>
      </w:pPr>
      <w:r>
        <w:t>El art. 149.1.15º C.E. ampara la competencia del Estado para financiar estas actividades, sin que del texto de la partida presupuestaria quepa deducir directamente ningún menoscabo de las competencias de la Generalidad de Cataluña.</w:t>
      </w:r>
    </w:p>
    <w:p w:rsidR="00FE0907" w:rsidRDefault="00FE0907" w:rsidP="00FE0907">
      <w:pPr>
        <w:pStyle w:val="TextoNormal"/>
      </w:pPr>
      <w:r>
        <w:t>g) Servicio 09 (Dirección General de Renovación pedagógica), Programa 4220 (Nuevas tecnologías aplicadas a la Educación), Concepto 470: Transferencias Corrientes a empresas privadas para subvencionar el desarrollo del "software" educativo.</w:t>
      </w:r>
    </w:p>
    <w:p w:rsidR="00FE0907" w:rsidRDefault="00FE0907" w:rsidP="00FE0907">
      <w:pPr>
        <w:pStyle w:val="TextoNormal"/>
      </w:pPr>
      <w:r>
        <w:t>Se impugna esta partida también porque la Generalidad dice no recibir cantidad alguna por este Concepto. Pero, de nuevo se olvida que el Estado gestiona los Servicios educativos en gran parte del territorio nacional, por lo que hay que entender que la partida se limita a acciones de fomento en ese territorio, sin invadir las competencias de Cataluña.  Sólo si las subvenciones abarcarán también el territorio de esta Comunidad Autónoma correspondería a la Generalidad la gestión de la parte proporcional de las subvenciones que hubiera de asignársele. En cuanto a la queja de no recibir cuantía alguna del Estado por este específico Concepto, ello no entraña la inconstitucionalidad de la partida.</w:t>
      </w:r>
    </w:p>
    <w:p w:rsidR="00FE0907" w:rsidRDefault="00FE0907" w:rsidP="00FE0907">
      <w:pPr>
        <w:pStyle w:val="TextoNormal"/>
      </w:pPr>
      <w:r>
        <w:t>h) Servicio 10 (Dirección General de Renovación Pedagógica), Programa 421 B (Perfeccionamiento del Profesorado de Educación), Concepto 450: Transferencias Corrientes a Comunidades Autónomas para actividades de perfeccionamiento del profesorado.</w:t>
      </w:r>
    </w:p>
    <w:p w:rsidR="00FE0907" w:rsidRDefault="00FE0907" w:rsidP="00FE0907">
      <w:pPr>
        <w:pStyle w:val="TextoNormal"/>
      </w:pPr>
      <w:r>
        <w:t>Se impugna esta partida porque la Transferencia se supedita a lo que disponga una Orden Ministerial o un Convenio obligatorio, que cercenaría las competencias de Cataluña. Sin embargo la queja tiene un carácter preventivo, pues la partida presupuestaria en sí no permite presumir tal eventual vulneración ya que el Estado puede destinar recursos a la finalidad referida, en virtud de su competencia sobre las bases del sistema educativo, a las que va ligada la mejora de la calidad de la enseñanza que estos recursos persiguen. Dicho sea sin perjuicio de la posibilidad de impugnar la disposición o Convenio que pudiera producir menoscabo de las competencias de la Generalidad.</w:t>
      </w:r>
    </w:p>
    <w:p w:rsidR="00FE0907" w:rsidRDefault="00FE0907" w:rsidP="00FE0907">
      <w:pPr>
        <w:pStyle w:val="TextoNormal"/>
      </w:pPr>
      <w:r>
        <w:t>i) Servicio 10, Programa 421 B, Concepto 780: Transferencias de Capital a familias e instituciones sin fines de lucro, para movimientos de renovación pedagógica.</w:t>
      </w:r>
    </w:p>
    <w:p w:rsidR="00FE0907" w:rsidRDefault="00FE0907" w:rsidP="00FE0907">
      <w:pPr>
        <w:pStyle w:val="TextoNormal"/>
      </w:pPr>
      <w:r>
        <w:t>La previsión de estas subvenciones estatales encuentra cobertura en el art.  149.1.15ª C.E.  No obstante, puesto que la Generalidad de Cataluña ha asumido las competencias de regulación y administración de la enseñanza en los términos del art. 15 del E.A.C., le corresponde la gestión de la parte proporcional de esas subvenciones que hayan de destinarse al territorio de Cataluña, a cuyo efecto las sumas en cuestión deberían consignarse en los Presupuestos como transferencias a Comunidades Autónomas con ese fin o, al menos, territorializarse en un momento posterior. En cualquier caso, lo que la Generalidad discute es que las dotaciones que le corresponda por ese Concepto se distribuyan mediante Orden Ministerial o Convenio.  Pero, al igual que en el supuesto anterior, la partida presupuestaria no incurre, de por sí, en extralimitación competencial alguna.</w:t>
      </w:r>
    </w:p>
    <w:p w:rsidR="00FE0907" w:rsidRDefault="00FE0907" w:rsidP="00FE0907">
      <w:pPr>
        <w:pStyle w:val="TextoNormal"/>
      </w:pPr>
      <w:r>
        <w:t>j) Servicio 10, Programa 422 E (Educación especial), Concepto 451: Transferencias Corrientes a familias e instituciones sin fines de lucro para ayudas a entidades pro-disminuídos.</w:t>
      </w:r>
    </w:p>
    <w:p w:rsidR="00FE0907" w:rsidRDefault="00FE0907" w:rsidP="00FE0907">
      <w:pPr>
        <w:pStyle w:val="TextoNormal"/>
      </w:pPr>
      <w:r>
        <w:lastRenderedPageBreak/>
        <w:t>Esta partida se impugna porque, al decir de la Generalidad, no recibe asignación alguna por este Concepto. La impugnación debe desestimarse por los mismo motivos que se exponen en el anterior epígrafe g).</w:t>
      </w:r>
    </w:p>
    <w:p w:rsidR="00FE0907" w:rsidRDefault="00FE0907" w:rsidP="00FE0907">
      <w:pPr>
        <w:pStyle w:val="TextoNormal"/>
      </w:pPr>
      <w:r>
        <w:t>k) Servicio 10, Programa 452 G (Investigación educativa), Concepto 440: Transferencias Corrientes a Universidades para la realización de proyectos de investigación educativa; y Concepto 451: Transferencias Corrientes a Comunidades Autónomas para el mismo fín.</w:t>
      </w:r>
    </w:p>
    <w:p w:rsidR="00FE0907" w:rsidRDefault="00FE0907" w:rsidP="00FE0907">
      <w:pPr>
        <w:pStyle w:val="TextoNormal"/>
      </w:pPr>
      <w:r>
        <w:t>El art.  149.1.15ª C.E.  da plena cobertura competencial a estas partidas presupuestarias, por lo que su impugnación carece de todo fundamento.  Dicho sea con independencia de las normas que regulen la distribución de los fondos.</w:t>
      </w:r>
    </w:p>
    <w:p w:rsidR="00FE0907" w:rsidRDefault="00FE0907" w:rsidP="00FE0907">
      <w:pPr>
        <w:pStyle w:val="TextoNormal"/>
      </w:pPr>
      <w:r>
        <w:t>El Concepto 482 de este Servicio 10, que se incluye entre los recurridos, no figura en los Presupuestos Generales del Estado para 1989.</w:t>
      </w:r>
    </w:p>
    <w:p w:rsidR="00FE0907" w:rsidRDefault="00FE0907" w:rsidP="00FE0907">
      <w:pPr>
        <w:pStyle w:val="TextoNormal"/>
      </w:pPr>
      <w:r>
        <w:t>l) Del Servicio 11 (Dirección General de Centros Escolares), Programa 321 C (Apoyo a otras actividades escolares), Concepto 482: Transferencias Corrientes a las Federaciones y Confederaciones de Padres de Alumnos en que aquellas se integren; Concepto 485: Fomento de la representación en los centros docentes públicos no universitarios.</w:t>
      </w:r>
    </w:p>
    <w:p w:rsidR="00FE0907" w:rsidRDefault="00FE0907" w:rsidP="00FE0907">
      <w:pPr>
        <w:pStyle w:val="TextoNormal"/>
      </w:pPr>
      <w:r>
        <w:t>Son estas subvenciones que, sin duda, corresponde gestionar en su territorio a aquellas Comunidades Autónomas que tengan transferidos los Servicios de educación no universitaria en relación con las Confederaciones que no excedan del ámbito de su territorio.  Dicha gestión puede realizarse incluyendo las dotaciones correspondientes en el conjunto de la financiación incondicionada, como la Generalidad de Cataluña reclama. Pero no es contrario a la Constitución que la Ley de Presupuestos las configure como subvenciones específicas, pues al Estado competen las normas básicas de desarrollo del art.  27 C.E. (art.  149.1.30ª) y, mediante esas subvenciones, lo que se pretende es facilitar la participación de los padres de alumnos en el control y gestión de los centros escolares sostenidos por la Administración con fondos públicos, conforme a lo dispuesto en el art. 27.7 C.E. Dicho lo cual y si la dotación correspondiente a Cataluña para esos fines no se incluyera en la financiación incondicionada, lo correcto sería consignarla en los Presupuestos Generales del Estado como Transferencias Corrientes a las Comunidades Autónomas para ese fin, o, todo lo más, proceder a su inmediata territorialización.</w:t>
      </w:r>
    </w:p>
    <w:p w:rsidR="00FE0907" w:rsidRDefault="00FE0907" w:rsidP="00FE0907">
      <w:pPr>
        <w:pStyle w:val="TextoNormal"/>
      </w:pPr>
      <w:r>
        <w:t>ll) Servicio 11, Programa 422 F (Enseñanzas artísticas), Concepto 480: Transferencias a familias e instituciones sin fines de lucro, para subvencionar a conservatorios de música.</w:t>
      </w:r>
    </w:p>
    <w:p w:rsidR="00FE0907" w:rsidRDefault="00FE0907" w:rsidP="00FE0907">
      <w:pPr>
        <w:pStyle w:val="TextoNormal"/>
      </w:pPr>
      <w:r>
        <w:t>El Estado puede destinar recursos a esta finalidad en virtud de su competencia sobre la ordenación general del sistema educativo (art. 149.1.30ª), que incluye las enseñanzas artísticas.  Pero la gestión de esas subvenciones en Cataluña compete a la Generalidad, por lo que procedería conceptuar la dotación como transferencias a las Comunidades Autónomas, en la parte correspondiente, o, al menos, territorializarlas inmediatamente sin mayor condicionamiento.</w:t>
      </w:r>
    </w:p>
    <w:p w:rsidR="00FE0907" w:rsidRDefault="00FE0907" w:rsidP="00FE0907">
      <w:pPr>
        <w:pStyle w:val="TextoNormal"/>
      </w:pPr>
      <w:r>
        <w:t>m) Servicio 11, Programa 422 G (Enseñanzas integradas), Concepto 484: Transferencias a familias e instituciones sin fines de lucro, para las comunidades religiosas, por su colaboración en C.E.I.</w:t>
      </w:r>
    </w:p>
    <w:p w:rsidR="00FE0907" w:rsidRDefault="00FE0907" w:rsidP="00FE0907">
      <w:pPr>
        <w:pStyle w:val="TextoNormal"/>
      </w:pPr>
      <w:r>
        <w:t>Si esta partida se destinara, al menos en parte, a actividades de colaboración realizadas en Cataluña, es obvio que la competencia para gestionarla correspondería a la Generalidad. Incluso podría cuestionarse si, en tal hipótesis, el Estado puede incluirla en la financiación condicionada. No obstante, el enunciado del Concepto no prejuzga el destino real de las dotaciones, por lo que la partida en sí no puede calificarse de inconstitucional con independencia de la normativa que establezca el régimen de estas ayudas.</w:t>
      </w:r>
    </w:p>
    <w:p w:rsidR="00FE0907" w:rsidRDefault="00FE0907" w:rsidP="00FE0907">
      <w:pPr>
        <w:pStyle w:val="TextoNormal"/>
      </w:pPr>
      <w:r>
        <w:lastRenderedPageBreak/>
        <w:t>n) Servicio 12 (Dirección General de Promoción Educativa), Programa 321 c (Apoyo a otras actividades escolares), Concepto 482: Transferencias Corrientes a familias e instituciones sin fines de lucro para ayudas a actividades de alumnos; Concepto 488: Transferencias a familias e instituciones sin fines de lucro, Programa de inserción profesional.</w:t>
      </w:r>
    </w:p>
    <w:p w:rsidR="00FE0907" w:rsidRDefault="00FE0907" w:rsidP="00FE0907">
      <w:pPr>
        <w:pStyle w:val="TextoNormal"/>
      </w:pPr>
      <w:r>
        <w:t>También la gestión de estas subvenciones corresponde en su territorio a la Generalidad de Cataluña, que impugna más que nada su carácter condicionado "hasta el detalle" por Orden Ministerial o por Convenio. Sin perjuicio de que la parte correspondiente a Cataluña pudiera integrarse en el cálculo de la financiación incondicionada, caso de no estarlo, la constitucionalidad de estas subvenciones depende de las normas que las regulan, pues solo conociendo dichas normas será posible enjuiciar si el Estado ha excedido sus competencias básicas en la materia. De todas formas, lo correcto sería, si no se incluyeran en la financiación incondicionada, conceptuarlas como Transferencias Corrientes a las Comunidades Autónomas con competencias en la materia o, al menos territorializar inmediatamente las dotaciones, en la parte correspondiente a aquéllas, sin mayores condicionamientos que los que estrictamente deriven de las competencias del Estado.</w:t>
      </w:r>
    </w:p>
    <w:p w:rsidR="00FE0907" w:rsidRDefault="00FE0907" w:rsidP="00FE0907">
      <w:pPr>
        <w:pStyle w:val="TextoNormal"/>
      </w:pPr>
      <w:r>
        <w:t>ñ) Servicio 12, Programa 422 J (Educación Compensatoria), Concepto 451: Transferencias Corrientes a Comunidades Autónomas para el Programa de educación compensatoria.</w:t>
      </w:r>
    </w:p>
    <w:p w:rsidR="00FE0907" w:rsidRDefault="00FE0907" w:rsidP="00FE0907">
      <w:pPr>
        <w:pStyle w:val="TextoNormal"/>
      </w:pPr>
      <w:r>
        <w:t>Impugna la Generalidad que estas dotaciones se supediten a lo que dispongan Ordenes Ministeriales o Convenios con el Ministerio.  Pero esta supeditación no deriva de la partida presupuestaria.  El Estado puede destinar recursos a esta finalidad, en virtud de su competencia sobre la programación general de la enseñanza, en los términos del art.  149.1.30 C.E.  y la Disposición adicional primera de la Ley Orgánica 8/1985, además de los destinados a los Servicios de su titularidad, por lo que la simple inclusión de la partida impugnada en los Presupuestos Generales del Estado no vulnera las competencias de la Generalidad de Cataluña.</w:t>
      </w:r>
    </w:p>
    <w:p w:rsidR="00FE0907" w:rsidRDefault="00FE0907" w:rsidP="00FE0907">
      <w:pPr>
        <w:pStyle w:val="TextoNormal"/>
      </w:pPr>
      <w:r>
        <w:t>o) Servicio 12, Programa 422 j, Concepto 460: Transferencias Corrientes a Corporaciones Locales para subvencionar actividades de educación compensatoria.</w:t>
      </w:r>
    </w:p>
    <w:p w:rsidR="00FE0907" w:rsidRDefault="00FE0907" w:rsidP="00FE0907">
      <w:pPr>
        <w:pStyle w:val="TextoNormal"/>
      </w:pPr>
      <w:r>
        <w:t>Esta partida se impugna por entender la Generalidad de Cataluña que, al corresponderle las competencias de ejecución en materia educativa en su territorio, esas subvenciones deben respetar dichas competencias y, por tanto, ser distribuídas a través de la Generalidad de Cataluña. Sin embargo, aunque la ejecución de los Programas de educación compensatoria corresponda a la Comunidad Autónoma de Cataluña, las Corporaciones Locales pueden colaborar a esa finalidad mediante la realización de actividades de su competencia y, a tal fín, pueden recibir subvenciones del Estado, que tiene la competencia de programación general, de acuerdo con la legislación vigente. Naturalmente, esas actividades locales no pueden menoscabar las competencias de la Comunidad Autónoma de Cataluña. Pero la partida, en sí, no prejuzga semejante invasión competencial, por lo que la impugnación debe ser desestimada.</w:t>
      </w:r>
    </w:p>
    <w:p w:rsidR="00FE0907" w:rsidRDefault="00FE0907" w:rsidP="00FE0907">
      <w:pPr>
        <w:pStyle w:val="TextoNormal"/>
      </w:pPr>
      <w:r>
        <w:t>p) Servicio 12, Programa 422 J, Concepto 481: Transferencias Corrientes a familias e instituciones sin fines de lucro para subvencionar actividades de educación compensatoria.</w:t>
      </w:r>
    </w:p>
    <w:p w:rsidR="00FE0907" w:rsidRDefault="00FE0907" w:rsidP="00FE0907">
      <w:pPr>
        <w:pStyle w:val="TextoNormal"/>
      </w:pPr>
      <w:r>
        <w:t>La queja de la Generalidad se funda en este caso en que no recibe cantidad alguna del Estado por este Concepto. Pero este argumento no afecta a la pretendida inconstitucionalidad de la partida, siendo de desestimar la impugnación por los mismos motivos expuestos en el anterior epígrafe g).</w:t>
      </w:r>
    </w:p>
    <w:p w:rsidR="00FE0907" w:rsidRDefault="00FE0907" w:rsidP="00FE0907">
      <w:pPr>
        <w:pStyle w:val="TextoNormal"/>
      </w:pPr>
      <w:r>
        <w:t>q) Servicio 12, Programa 422 k (Educación permanente y a distancia no universitaria), Concepto 461: Transferencias Corrientes a Corporaciones Locales para educación permanente de adultos.</w:t>
      </w:r>
    </w:p>
    <w:p w:rsidR="00FE0907" w:rsidRDefault="00FE0907" w:rsidP="00FE0907">
      <w:pPr>
        <w:pStyle w:val="TextoNormal"/>
      </w:pPr>
      <w:r>
        <w:lastRenderedPageBreak/>
        <w:t>La impugnación se funda en los mismos motivos que la examinada en el anterior epígrafe o) y debe ser desestimada por las mismas razones allí expuestas.</w:t>
      </w:r>
    </w:p>
    <w:p w:rsidR="00FE0907" w:rsidRDefault="00FE0907" w:rsidP="00FE0907">
      <w:pPr>
        <w:pStyle w:val="TextoNormal"/>
      </w:pPr>
      <w:r>
        <w:t>r) Servicio 12, Programa 422 k, Concepto 480: Transferencias a familias e instituciones sin fines de lucro, para entidades colaboradoras de educación permanente de adultos.</w:t>
      </w:r>
    </w:p>
    <w:p w:rsidR="00FE0907" w:rsidRDefault="00FE0907" w:rsidP="00FE0907">
      <w:pPr>
        <w:pStyle w:val="TextoNormal"/>
      </w:pPr>
      <w:r>
        <w:t>Alega la Generalidad que la territorialización de las dotaciones destinadas a este fin se supedita a un Convenio u Orden Ministerial condicionante, que es incompatible con las competencias de la Comunidad Autónoma de Cataluña. Pero del texto de la partida presupuestaria no es posible deducir esta conclusión, pues ni siquiera resulta si las subvenciones previstas se destinan sólo al territorio en que el Estado mantiene las competencias ejecutivas en educación o tambien al de las Comunidades Autónomas con competencias transferidas en la materia. Por eso la impugnación debe ser desestimada, sin perjuicio de lo que dispongan las normas reguladoras o eventuales Convenios relativos a estas subvenciones.</w:t>
      </w:r>
    </w:p>
    <w:p w:rsidR="00FE0907" w:rsidRDefault="00FE0907" w:rsidP="00FE0907">
      <w:pPr>
        <w:pStyle w:val="TextoNormal"/>
      </w:pPr>
      <w:r>
        <w:t>s) Organismo 10.1 (Consejo Superior de Deportes), Programa 457 A (Fomento y apoyo de las actividades deportivas), Concepto 489: Transferencias Corrientes a familias e instituciones sin fines de lucro, para Instituciones penitenciarias y Fuerzas de Seguridad del Estado, para material deportivo y actividades.</w:t>
      </w:r>
    </w:p>
    <w:p w:rsidR="00FE0907" w:rsidRDefault="00FE0907" w:rsidP="00FE0907">
      <w:pPr>
        <w:pStyle w:val="TextoNormal"/>
      </w:pPr>
      <w:r>
        <w:t>Obviamente hay que entender que la Generalidad limita su impugnación a las dotaciones destinadas a las Instituciones penitenciarias de su competencia.  Pero, -al igual que ya hemos dicho respecto de una partida semejante al examinar la Sección 13 (Ministerio de Justicia)- de la partida recurrida no se deduce si aquellas dotaciones van destinadas sólo a Centros e Instituciones penitenciarias de titularidad estatal o también a las transferidas a la Generalidad de Cataluña, pues sólo si así fuera la partida sería inconstitucional.</w:t>
      </w:r>
    </w:p>
    <w:p w:rsidR="00FE0907" w:rsidRDefault="00FE0907" w:rsidP="00FE0907">
      <w:pPr>
        <w:pStyle w:val="TextoNormal"/>
      </w:pPr>
      <w:r>
        <w:t>E) De la SECCIÓN 19 (MINISTERIO DE TRABAJO Y SEGURIDAD SOCIAL).</w:t>
      </w:r>
    </w:p>
    <w:p w:rsidR="00FE0907" w:rsidRDefault="00FE0907" w:rsidP="00FE0907">
      <w:pPr>
        <w:pStyle w:val="TextoNormal"/>
      </w:pPr>
      <w:r>
        <w:t>a) Servicio 08 (Dirección General de Trabajo), Programa 723 B (Reconversión y reindustrialización), Concepto 421: Transferencias a la Seguridad Social para ayudas equivalentes a la jubilación anticipada de trabajadores (mayores de 60 años) de empresas acogidas a planes de reconversión; Concepto 422: a la Seguridad Social para ayudas destinadas a facilitar la jubilación de trabajadores de empresas en crisis no acogidas a planes de reconversión.</w:t>
      </w:r>
    </w:p>
    <w:p w:rsidR="00FE0907" w:rsidRDefault="00FE0907" w:rsidP="00FE0907">
      <w:pPr>
        <w:pStyle w:val="TextoNormal"/>
      </w:pPr>
      <w:r>
        <w:t>La pretensión de la Generalidad de Cataluña en este caso se limita al reconocimiento de su competencias para gestionar estas subvenciones a la jubilación anticipada, señalando que otras Comunidades Autónomas con las mismas competencias en la materia las gestionan previa la correspondiente territorialización.  Este último dato no resulta del texto de las partidas impugnadas, ni tampoco se deduce de ellas que la gestión de las ayudas deba realizarse en Cataluña por la Administración del Estado. Lo que está claro es que, en esta materia, corresponde al Estado la competencia sobre la legislación básica (art. 149.1.17ª y 13ª C.E.), lo que legitima la previsión de las ayudas acordadas por los Presupuestos.  Por otra parte, es evidente que la inclusión de las partidas impugnadas no impide la gestión descentralizada de algunas de las ayudas, como pone de relieve la O.M. de 24 de marzo de 1988, que la Generalidad de Cataluña menciona, Orden que distribuye una parte de los recursos destinados a este fin entre las Comunidades Autónomas "que han asumido sus competencias de gestión en la materia". Que esa misma territorialización no se haya producido en favor de la Comunidad Autónoma de Cataluña, si así fuera, es algo que no se puede imputar a la partida presupuestaria en si misma. Por ello, la pretensión anulatoria de la Generalidad debe ser desestimada en este punto.</w:t>
      </w:r>
    </w:p>
    <w:p w:rsidR="00FE0907" w:rsidRDefault="00FE0907" w:rsidP="00FE0907">
      <w:pPr>
        <w:pStyle w:val="TextoNormal"/>
      </w:pPr>
      <w:r>
        <w:t>b) Servicio 09, Programa 315 A (Administración de las relaciones laborales y condiciones de trabajo), Concepto 473: Transferencias Corrientes a empresas privadas para asistencia económica extraordinaria a los trabajadores.</w:t>
      </w:r>
    </w:p>
    <w:p w:rsidR="00FE0907" w:rsidRDefault="00FE0907" w:rsidP="00FE0907">
      <w:pPr>
        <w:pStyle w:val="TextoNormal"/>
      </w:pPr>
      <w:r>
        <w:lastRenderedPageBreak/>
        <w:t>La Generalidad pretende que se le reconozca su competencia de gestión de estas ayudas en el territorio catalán. Pero no ofrece mayores argumentos que los referidos a las partidas examinadas en el epígrafe anterior.  Dada la generalidad de la rúbrica de este Concepto presupuestario y las razones expuestas en el anterior epígrafe, no es posible estimar la impugnación de la partida en sí, sin perjuicio de lo que resulte de las normas que regulen las ayudas en cuestión.</w:t>
      </w:r>
    </w:p>
    <w:p w:rsidR="00FE0907" w:rsidRDefault="00FE0907" w:rsidP="00FE0907">
      <w:pPr>
        <w:pStyle w:val="TextoNormal"/>
      </w:pPr>
      <w:r>
        <w:t>c) Servicio 10 (Dirección General de Cooperativas), Programa 724 A (Desarrollo Cooperativo), Concepto 471: Transferencias Corrientes a empresas privadas, para asistencia técnica a cooperativas y sociedades anónimas laborales; Concepto 475: Subvenciones a cooperativas y sociedades anónimas laborales; Concepto 481: Transferencias Corrientes a familias e instituciones sin fines de lucro, para subvenciones a trabajadores para su incorporación como socios; Concepto 484, idem, para formación y promoción.</w:t>
      </w:r>
    </w:p>
    <w:p w:rsidR="00FE0907" w:rsidRDefault="00FE0907" w:rsidP="00FE0907">
      <w:pPr>
        <w:pStyle w:val="TextoNormal"/>
      </w:pPr>
      <w:r>
        <w:t>La Generalidad reclama al respecto que, por lo que a Cataluña afecta, estos recursos deben integrarse en la financiación incondicionada, pues tiene competencia exclusiva en la materia, derivada del art. 9.21 E.A.C., o, al menos, deben territorializarse para su gestión por la Comunidad Autónoma.  Es evidente, sin embargo, que el Estado tiene competencias en materia de cooperativas, cuando se trata de cooperativas de ámbito superior al de la Comunidad Autónoma, según se desprende de las SSTC 72/1983, 44/1984, 165/1985 y 88/1989.  Además, teniendo en cuenta las competencias que le atribuyen los apartados 7º y 13º del art. 149.1 C.E.  no se puede decir que el Estado no pueda afectar recursos propios a la finalidad de fomento del cooperativismo.  Cuestión distinta es la de la competencia de gestión de estas ayudas estatales. En la medida en que puedan beneficiarse de ellas cooperativas, cooperativistas y empresas de asistencia a cooperativas a las que la Comunidad Autónoma de Cataluña extienda su competencia en la materia, las dotaciones porcentuales correspondientes deben ser gestionadas por la Generalidad, incrementando las que ella misma destina a estos fines, con cargo a su propio Presupuesto. Sin embargo, la partida impugnada no especifica a qué actividades cooperativas van dirigidas las subvenciones, ni tampoco impide por sí misma la territorialización de la gestión de estos fondos en el caso de que sea procedente. Por esta razón, la impugnación debe ser desestimada.</w:t>
      </w:r>
    </w:p>
    <w:p w:rsidR="00FE0907" w:rsidRDefault="00FE0907" w:rsidP="00FE0907">
      <w:pPr>
        <w:pStyle w:val="TextoNormal"/>
      </w:pPr>
      <w:r>
        <w:t>d) Servicio 11 (Dirección General del Régimen Económico de la Seguridad Social), Programa 313 A (Pensiones y prestaciones asistenciales), Concepto 425: Transferencias a la Seguridad Social para prestaciones socio-económicas Ley de Integración Social de los Minusválidos.</w:t>
      </w:r>
    </w:p>
    <w:p w:rsidR="00FE0907" w:rsidRDefault="00FE0907" w:rsidP="00FE0907">
      <w:pPr>
        <w:pStyle w:val="TextoNormal"/>
      </w:pPr>
      <w:r>
        <w:t>Nada alega la Generalidad de Cataluña en apoyo de la impugnación de esta partida. Pero es de advertir que es equivalente a otras de los Presupuestos Generales del Estado para 1988 que también fueron recurridas, si bien la Generalidad desistió posteriormente de esa parte del recurso.  Esta circunstancia no evita que nos pronunciemos sobre la partida de los Presupuestos para 1989 por este Concepto, ya que la Generalidad no ha expresado su voluntad de desistimiento en cuanto a la misma. En cualquier caso, lo que se deduce de los argumentos del recurso interpuesto contra los Presupuestos de 1988 es que la Generalidad reprocha que las prestaciones socio-económicas de la Ley de Integración de Minusválidos no se transfieran directamente a la Comunidad Autónoma, sino por mediación del INSERSO. Sin embargo, este dato no aparece en los Presupuestos para 1989, pues las Transferencias Corrientes por dicho Concepto se prevén en favor de la Seguridad Social, lo que abarca los entes de gestión de la misma transferidos a las Comunidades Autónomas, como lo está el INSERSO a Cataluña, sin prejuzgar la intermediación de ningún organismo centralizado.  En consecuencia, la impugnación no puede ser estimada.</w:t>
      </w:r>
    </w:p>
    <w:p w:rsidR="00FE0907" w:rsidRDefault="00FE0907" w:rsidP="00FE0907">
      <w:pPr>
        <w:pStyle w:val="TextoNormal"/>
      </w:pPr>
      <w:r>
        <w:t>F) De la SECCIÓN 20 (MINISTERIO DE INDUSTRIA Y ENERGÍA).</w:t>
      </w:r>
    </w:p>
    <w:p w:rsidR="00FE0907" w:rsidRDefault="00FE0907" w:rsidP="00FE0907">
      <w:pPr>
        <w:pStyle w:val="TextoNormal"/>
      </w:pPr>
      <w:r>
        <w:lastRenderedPageBreak/>
        <w:t>En todas las impugnaciones de partidas de esta Sección, la Generalidad de Cataluña pretende que se declare su competencia para la gestión de las subvenciones y ayudas que contemplan, previa territorialización de los fondos en favor de las Comunidades Autónomas que han asumido competencias en materia de industria y energía. Para ello invoca los Títulos que le confieren los arts. 12.1.2 (industria) y 121.1.3 (desarrollo y ejecución en Cataluña de los planes establecidos por el Estado para la reestructuración de sectores industriales), 9.18 (artesanía) y 10.5 (régimen minero y energético), sin desconocer los límites que esos mismos preceptos establecen a las competencias de la Comunidad Autónoma.  En efecto, estos límites que, por lo que aquí interesa, derivan fundamentalmente de las competencias reservadas al Estado por los arts. 149.1.13ª y 25ª C.E. deben ser tenidos en cuenta también para deslindar las competencias del Estado y de la Comunidad Autónoma de Cataluña.  Pero además y específicamente, puesto que muchas de las partidas impugnadas consisten en ayudas y subvenciones para investigación y desarrollo tecnológico, hay que tener en cuenta lo dispuesto en el art. 149.1.15 C.E., que atribuye al Estado una doble competencia de fomento y coordinación general de la investigación científica y técnica.  Por lo demás, tampoco puede olvidarse que el Estado sigue ejerciendo la totalidad de las competencias sobre industria y energía en buena parte del territorio nacional, por lo que nada tiene de extraño que en los Presupuestos Generales del Estado se consignen los créditos correspondientes al Ministerio del ramo, sin perjuicio de las competencias de gestión que, en su caso, puedan ostentar algunas Comunidades Autónomas.</w:t>
      </w:r>
    </w:p>
    <w:p w:rsidR="00FE0907" w:rsidRDefault="00FE0907" w:rsidP="00FE0907">
      <w:pPr>
        <w:pStyle w:val="TextoNormal"/>
      </w:pPr>
      <w:r>
        <w:t>En atención a estas consideraciones generales hemos de examinar las partidas impugnadas de esta Sección que, a pesar la confusión a que puede inducir algun error de transcripción en el escrito del recurso, son las siguientes:</w:t>
      </w:r>
    </w:p>
    <w:p w:rsidR="00FE0907" w:rsidRDefault="00FE0907" w:rsidP="00FE0907">
      <w:pPr>
        <w:pStyle w:val="TextoNormal"/>
      </w:pPr>
      <w:r>
        <w:t>a) Servicio 05 (Dirección General de la Energía), Programa 542 E (Investigación y Desarrollo Tecnológico), Concepto 772: Transferencias de Capital a empresas privadas para inversiones sobre conservación de la energía (Ley 82/1980 de conservación de energía).</w:t>
      </w:r>
    </w:p>
    <w:p w:rsidR="00FE0907" w:rsidRDefault="00FE0907" w:rsidP="00FE0907">
      <w:pPr>
        <w:pStyle w:val="TextoNormal"/>
      </w:pPr>
      <w:r>
        <w:t>A pesar del título del Programa en que se enmarca, estas Transferencias no se destinan sólo a investigación, según se deduce de su texto, sino a fomentar el ahorro energético de las empresas. En consecuencia, si incluyera actuaciones en Cataluña, excepto las destinadas al fomento de la investigación, la gestión correspondiente debería descentralizarse en favor de la Generalidad, salvo que concurriesen circunstancias que lo impidieran, de acuerdo con lo expuesto en los fundamentos jurídicos 4º y 8º.  Ahora bien, del texto de la partida presupuestaria no se deduce que esas condiciones y circunstancias concurran por lo que no procede declarar la inconstitucionalidad de la partida en sí misma considerada.</w:t>
      </w:r>
    </w:p>
    <w:p w:rsidR="00FE0907" w:rsidRDefault="00FE0907" w:rsidP="00FE0907">
      <w:pPr>
        <w:pStyle w:val="TextoNormal"/>
      </w:pPr>
      <w:r>
        <w:t>b) Servicio 05, Programa 731 F (Normativa y desarrollo energético), Concepto 773: Transferencias de Capital a empresas privadas para desarrollo de energías renovables.</w:t>
      </w:r>
    </w:p>
    <w:p w:rsidR="00FE0907" w:rsidRDefault="00FE0907" w:rsidP="00FE0907">
      <w:pPr>
        <w:pStyle w:val="TextoNormal"/>
      </w:pPr>
      <w:r>
        <w:t>Puede decirse de la impugnación de esta partida lo mismo que de la anterior, con la misma salvedad de que las Transferencias se destinen, al menos en parte, a investigación de energías renovables, en cuyo caso la consignación estatal queda amparada por lo dispuesto en el art. 149.1.15ª C.E.</w:t>
      </w:r>
    </w:p>
    <w:p w:rsidR="00FE0907" w:rsidRDefault="00FE0907" w:rsidP="00FE0907">
      <w:pPr>
        <w:pStyle w:val="TextoNormal"/>
      </w:pPr>
      <w:r>
        <w:t>c) Servicio 06 (Dirección General de Minas y de la Construcción ), Programa 542 E (citado), Concepto 773, Transferencias de Capital a empresas privadas para investigación y desarrollo tecnológico de la minería; 781: Transferencias de Capital a familias e instituciones sin fines de lucro para investigación y desarrollo tecnológico de la minería.</w:t>
      </w:r>
    </w:p>
    <w:p w:rsidR="00FE0907" w:rsidRDefault="00FE0907" w:rsidP="00FE0907">
      <w:pPr>
        <w:pStyle w:val="TextoNormal"/>
      </w:pPr>
      <w:r>
        <w:t xml:space="preserve">Estas partidas, en sí mismas, encuentran cobertura en el art.  149.1.15º" C.E.  y deben ser gestionadas de acuerdo con las normas que lo desarrollen, siempre que estas sean conformes al orden constitucional de competencias.  No es posible, por tanto, considerar que </w:t>
      </w:r>
      <w:r>
        <w:lastRenderedPageBreak/>
        <w:t>la inclusión en los Presupuestos Generales del Estado invade las competencias de la Comunidad Autónoma de Cataluña.</w:t>
      </w:r>
    </w:p>
    <w:p w:rsidR="00FE0907" w:rsidRDefault="00FE0907" w:rsidP="00FE0907">
      <w:pPr>
        <w:pStyle w:val="TextoNormal"/>
      </w:pPr>
      <w:r>
        <w:t>d) Servicio 06, Programa 741 F (Explotación minera), Concepto 771: Transferencias de Capital a empresas privadas para la reestructuración técnica y empresarial del subsector productor de carbón; Concepto 772, idem para subvenciones de la Ley de Fomento de la Minería.</w:t>
      </w:r>
    </w:p>
    <w:p w:rsidR="00FE0907" w:rsidRDefault="00FE0907" w:rsidP="00FE0907">
      <w:pPr>
        <w:pStyle w:val="TextoNormal"/>
      </w:pPr>
      <w:r>
        <w:t>Son éstas subvenciones cuya gestión para actividades mineras radicadas en Cataluña debería corresponder a la Generalidad, conforme a lo dispuesto en los arts. 10.5 y 12.3 E.A.C., salvo que excedan de ese ámbito o concurra alguna circunstancia que justifique su gestión centralizada, de acuerdo con la doctrina general anteriormente expuesta. Dicho lo cual y habida cuenta de que tratándose de reestructuración de sectores económicos el Estado tiene competencia derivada del art.  149.1.13ª C.E. para la ejecución de la legislación sobre minería en parte de su territorio, no cabe deducir del texto de la partida presupuestaria que exista vulneración de las competencias de la Comunidad Autónoma recurrente.</w:t>
      </w:r>
    </w:p>
    <w:p w:rsidR="00FE0907" w:rsidRDefault="00FE0907" w:rsidP="00FE0907">
      <w:pPr>
        <w:pStyle w:val="TextoNormal"/>
      </w:pPr>
      <w:r>
        <w:t>e) Servicio 13 (Dirección General de Electrónica y Nuevas Tecnologías), Programa 542 E (Investigación y desarrollo tecnológico), Concepto 771: Transferencias de Capital a empresas privadas para subvenciones en relación con las directrices del PEIN II.</w:t>
      </w:r>
    </w:p>
    <w:p w:rsidR="00FE0907" w:rsidRDefault="00FE0907" w:rsidP="00FE0907">
      <w:pPr>
        <w:pStyle w:val="TextoNormal"/>
      </w:pPr>
      <w:r>
        <w:t>Son éstas subvenciones a empresas que tienen como fin apoyar la realización de proyectos de investigación relacionados con el desarrollo tecnológico del sector electrónico e informático y su promoción, según se desprende de la O.M.  de 3 de febrero de 1988, que las regula.  En consecuencia, el Estado puede amparar lícitamente esta intervención en lo dispuesto en el art. 149.1.15ª C.E., por lo que la impugnación de la partida debe ser desestimada.</w:t>
      </w:r>
    </w:p>
    <w:p w:rsidR="00FE0907" w:rsidRDefault="00FE0907" w:rsidP="00FE0907">
      <w:pPr>
        <w:pStyle w:val="TextoNormal"/>
      </w:pPr>
      <w:r>
        <w:t>Las demás partidas de la Sección 20 que se dicen impugnar (Servicio 01, Concepto 773; Servicio 05, Concepto 77; Servicio 09, Concepto 781; Servicio 10, Conceptos 771, 781, 782 y 783) no figuran en los Presupuestos Generales del Estado para 1989.</w:t>
      </w:r>
    </w:p>
    <w:p w:rsidR="00FE0907" w:rsidRDefault="00FE0907" w:rsidP="00FE0907">
      <w:pPr>
        <w:pStyle w:val="TextoNormal"/>
      </w:pPr>
      <w:r>
        <w:t>G) De la SECCIÓN 21 (MINISTERIO DE AGRICULTURA, PESCA Y ALIMENTACIÓN).</w:t>
      </w:r>
    </w:p>
    <w:p w:rsidR="00FE0907" w:rsidRDefault="00FE0907" w:rsidP="00FE0907">
      <w:pPr>
        <w:pStyle w:val="TextoNormal"/>
      </w:pPr>
      <w:r>
        <w:t>Como la representación de la Generalidad de Cataluña recuerda, la mayor parte de las Sentencias de este Tribunal que han resuelto recursos y conflictos de competencia sobre disposiciones del Estado reguladoras de subvenciones se refieren precisamente a la materia de agricultura. La doctrina general antes expuesta se ha venido formando, en gran medida, al hilo de esas Sentencias sobre actuaciones de fomento de la agricultura y la ganadería. De ahí que no sea necesario reiterar ahora esa doctrina ni hacer más precisiones que las imprescindibles para recordar que el Estado puede intervenir en la materia en virtud de sus competencias generales sobre la ordenación general de la economía (art. 149.1.13º y preceptos concordantes de los Estatutos de Autonomía), pero sin menoscabar las competencias específicas que todas las Comunidades Autónomas han asumido sobre la materia.  Eso significa que el Estado, al regular las condiciones de otorgamiento de estas subvenciones no puede ir mas allá de lo que sus competencias permitan y que, salvo excepción justificada en los supuestos y por las causas que ya expusimos con carácter general en los fundamentos jurídicos 4º, 7º y 8º de esta Sentencia, la gestión de las subvenciones corresponde a las Comunidades Autónomas, de manera que el Estado debe poner a disposición de éstas los fondos correspondientes, bien territorializándolos en los mismos Presupuestos Generales o bien en un momento inmediatamente posterior, distribuyéndolos conforme a criterios objetivos o, en su caso, mediante Convenios, sin consignarlos en favor de ningún organismo intermediario.</w:t>
      </w:r>
    </w:p>
    <w:p w:rsidR="00FE0907" w:rsidRDefault="00FE0907" w:rsidP="00FE0907">
      <w:pPr>
        <w:pStyle w:val="TextoNormal"/>
      </w:pPr>
      <w:r>
        <w:lastRenderedPageBreak/>
        <w:t>La Generalidad impugna muchas de las partidas presupuestarias de esta Sección porque, a su juicio, no se respetan estas condiciones, o bien porque se respetan de facto, pero sin que exista seguridad alguna de que vayan a respetarse en el futuro. Ahora bien, de estas imputaciones sólo aquéllas que se refieren al pretendido exceso competencial del Estado cuando especifica el destino de las ayudas y a la consignación centralizada del gasto, si así se dedujera de su texto, son atribuíbles a las partidas impugnadas.  Ya que, si estas partidas no suponen directamente por su destino una invasión de competencias autonómicas y no prejuzgan la gestión centralizada de las subvenciones o la consignación en favor de organismos intermediarios de recursos que deben ser transferidos a las Comunidades Autónomas, las eventuales infracciones del orden constitucional de competencias habrán de imputarse no a los Presupuestos Generales, sino a las normas reguladoras de las subvenciones que se dicten en ejecución de tales partidas de gasto.</w:t>
      </w:r>
    </w:p>
    <w:p w:rsidR="00FE0907" w:rsidRDefault="00FE0907" w:rsidP="00FE0907">
      <w:pPr>
        <w:pStyle w:val="TextoNormal"/>
      </w:pPr>
      <w:r>
        <w:t>De hecho la Generalidad, al impugnar algunas partidas, dirige sus alegaciones y argumentos no contra las partidas en sí, sino contra lo que disponen las normas reguladoras de las ayudas. Obviamente estas alegaciones no pueden ser enjuiciadas en este recurso, sino que habrán de serlo con ocasión de las impugnaciones de aquellas normas que se hayan formulado ante este Tribunal, impugnaciones por lo demás no escasas.</w:t>
      </w:r>
    </w:p>
    <w:p w:rsidR="00FE0907" w:rsidRDefault="00FE0907" w:rsidP="00FE0907">
      <w:pPr>
        <w:pStyle w:val="TextoNormal"/>
      </w:pPr>
      <w:r>
        <w:t>De esta manera queda limitado el objeto de nuestro examen.  Por otra parte, no es ocioso reiterar ahora, una vez más, que la función de este Tribunal se limita a declarar la conformidad o disconformidad con la Constitución de las normas y actos de los Poderes Públicos objeto de recurso. Pero, el hecho de que no se declaren contrarias al orden constitucional de competencias no significa que no existan otras formas de actuación y, en concreto, de elaboración de los Presupuestos Generales del Estado más adecuados al modelo de Estado de las Autonomías que la Constitución instituye.</w:t>
      </w:r>
    </w:p>
    <w:p w:rsidR="00FE0907" w:rsidRDefault="00FE0907" w:rsidP="00FE0907">
      <w:pPr>
        <w:pStyle w:val="TextoNormal"/>
      </w:pPr>
      <w:r>
        <w:t>a) Servicio 07 (Dirección General de Ordenación Pesquera), Programa 712 D (Mejora de la estructura productiva agraria y pesquera), Concepto 771: Transferencias de Capital a empresas privadas para apoyo a la construcción, modernización y reconversión de la flota pesquera; Concepto 773: Transferencias de Capital a empresas privadas para arrecifes artificiales.  Servicio 08 (Dirección General de Relaciones pesqueras internacionales), Programa 712 C (Mejora de los sistemas de producción agraria y pesquera), Concepto 471: Transferencias Corrientes a empresas privadas por inactividad de buques pesqueros.</w:t>
      </w:r>
    </w:p>
    <w:p w:rsidR="00FE0907" w:rsidRDefault="00FE0907" w:rsidP="00FE0907">
      <w:pPr>
        <w:pStyle w:val="TextoNormal"/>
      </w:pPr>
      <w:r>
        <w:t>Son éstas subvenciones que, al decir de la Generalidad de Cataluña, se regulan por el Real Decreto 219/1987, de 13 de febrero, contra el que se formulan ciertas alegaciones en este recurso que aquí no pueden resolverse, sino que habrán de serlo cuando este Tribunal examine la conformidad con el orden de competencias del referido Real Decreto, que ha sido impugnado a través de varios conflictos de competencia. A los efectos de este recurso importa señalar que en la materia a que se refieren estas subvenciones, que es la ordenación del sector pesquero (como se deduce de las SSTC 33/1984, 158/1986, 56/1989 y 147/1991), el Estado no solo cuenta con el título genérico de intervención que deriva del art.  149.1.13º C.E., sino también con el más específico de ordenación básica del sector (art. 149.1.19ª C.E.  y art. 10.1.7 del E.A.C., entre otros), aparte de que ejerce las competencias exclusivas en una parte del territorio nacional. Quiere todo ello decir que nada hay que oponer a que el Estado destine fondos con cargo a sus Presupuestos para estas finalidades.</w:t>
      </w:r>
    </w:p>
    <w:p w:rsidR="00FE0907" w:rsidRDefault="00FE0907" w:rsidP="00FE0907">
      <w:pPr>
        <w:pStyle w:val="TextoNormal"/>
      </w:pPr>
      <w:r>
        <w:t>La Generalidad de Cataluña no discute en realidad este extremo, pero sí reclama la territorialización de las partidas correspondientes, al igual que lo están en los Presupuestos las que se destinan a ayudas a inversiones en acuicultura, o, al menos, la descentralización de la gestión de esos recursos que, a su juicio, el citado Real Decreto 219/1987 no estable</w:t>
      </w:r>
      <w:r>
        <w:lastRenderedPageBreak/>
        <w:t>ce adecuadamente.  Sin embargo, la comparación con la materia acuicultura no es aceptable, pues sobre ella la Generalidad tiene competencia exclusiva (dicho sea sin perjuicio de la incidencia de otras competencias estatales), mientras que no es posible dilucidar en este recurso supuestas infracciones que se atribuyen al Real Decreto 219/1987. Sí procede recordar ahora que, como se dijo en la STC 33/1984, tratándose de medidas de apoyo a la reestructuración de la flota pesquera, las autorizaciones con intervención del Estado no pueden soslayarse.  Naturalmente estas intervenciones del Estado deben conciliarse y coordinarse con las competencias que Cataluña ostenta sobre la ordenación del sector pesquero. Pero, habida cuenta de las que están reservadas al Estado, no cabe decir que la no territorialización de las subvenciones en las Presupuestos Generales del Estado sea contraria al orden constitucional y estatutario de competencias.</w:t>
      </w:r>
    </w:p>
    <w:p w:rsidR="00FE0907" w:rsidRDefault="00FE0907" w:rsidP="00FE0907">
      <w:pPr>
        <w:pStyle w:val="TextoNormal"/>
      </w:pPr>
      <w:r>
        <w:t>b) Servicio 03 (Dirección General de Producción e Investigación Agraria), Programa 542 F (Investigación y Experimentación Agraria y Pesquera), Concepto 780: Transferencias de Capital a familias e instituciones sin fines de lucro, para establecimiento y dotación de puestos de estudio.</w:t>
      </w:r>
    </w:p>
    <w:p w:rsidR="00FE0907" w:rsidRDefault="00FE0907" w:rsidP="00FE0907">
      <w:pPr>
        <w:pStyle w:val="TextoNormal"/>
      </w:pPr>
      <w:r>
        <w:t>Esta es, según la Generalidad de Cataluña, una de las ayudas previstas en el Real Decreto 808/1987, de 19 de junio, para mejora de la eficacia de las estructuras agrarias, en aplicación del Reglamento CEE 797/1985, del Consejo.  Sin duda, la gestión de estas ayudas, de conformidad con la normativa comunitaria y básica del Estado, corresponde a las Comunidades Autónomas, y de ahí la conveniencia de que se reflejaran en los Presupuestos Generales del Estado como Transferencias a aquéllas para la indicada finalidad.  No obstante, ello no entraña la inconstitucionalidad de la partida, siempre que las dotaciones se distribuyan entre las Comunidades Autónomas con inmediata posterioridad, para que puedan proceder a su gestión, salvaguardando en todo caso los deberes de colaboración con el Estado. La Generalidad parece impugnar también el modo en que, según el citado Real Decreto 808/1987, se regula la gestión de esas subvenciones e inclusive el excesivo condicionamiento que ese Real Decreto impone a su otorgamiento. Pero estas no son cuestiones que puedan dilucidarse en el presente recurso de inconstitucionalidad.</w:t>
      </w:r>
    </w:p>
    <w:p w:rsidR="00FE0907" w:rsidRDefault="00FE0907" w:rsidP="00FE0907">
      <w:pPr>
        <w:pStyle w:val="TextoNormal"/>
      </w:pPr>
      <w:r>
        <w:t>c) Servicio 04 (Dirección General de la Producción Agraria), Programa 712 A (Organización en común de la producción y comercialización agraria y pesquera), Concepto 778: Transferencias de Capital a empresas privadas para fomento del asociacionismo agrario; Programa 712 B (Sanidad vegetal y animal), Concepto 772: Transferencias de Capital a empresas privadas, para defensa sanitaria de los animales y sus producciones; Concepto 781: Idem a familias e instituciones sin fines de lucro, para lucha contra agentes nocivos y promoción de agrupaciones para los tratamientos integrados en agricultura (ATRIA); Programa 712 c) (Mejora de los sistemas de producción agraria y pesquera), Concepto 472: Transferencias Corrientes, para subvencionar a empresas por compensación a determinados costes de producción; Concepto 770: Transferencias de Capital a empresas privadas, para experimentación y contrastación del desarrollo tecnológico; Concepto 771: idem, para ordenación y regulación del empleo de medios de producción agraria; Concepto 775: idem, para ordenación y mejora de los sectores productivos agrícolas; Concepto 776: idem, para ordenación y mejora del sector forestal privado; Programa 712 D (Mejora de la estructura productiva agraria y pesquera), Concepto 773: Transferencias de Capital a empresas privadas, para reestructuración de los sectores productivos vegetales; Concepto 774: idem, para reestructuración de las producciones ganaderas.</w:t>
      </w:r>
    </w:p>
    <w:p w:rsidR="00FE0907" w:rsidRDefault="00FE0907" w:rsidP="00FE0907">
      <w:pPr>
        <w:pStyle w:val="TextoNormal"/>
      </w:pPr>
      <w:r>
        <w:t xml:space="preserve">Todas estas dotaciones, reguladas por distintas normas estatales, que aquí no es posible enjuiciar, deben ser gestionadas por las Comunidades Autónomas, en virtud de sus competencias sobre agricultura. De nuevo hemos de señalar al respecto la conveniencia de que, </w:t>
      </w:r>
      <w:r>
        <w:lastRenderedPageBreak/>
        <w:t>por esa razón, se reflejen en los Presupuestos Generales del Estado, como Transferencias a las Comunidades Autónomas, en su caso con indicación de sus fines específicos.  Ahora bien, la propia Generalidad de Cataluña manifiesta que la territorialización de muchas de estas partidas se viene observando en la práctica, lo que testimonia que la circunstancia de no reseñarse en los Presupuestos como transferencias a Comunidades Autónomas no impide la territorialización posterior y, por ende, no determina la inconstitucionalidad de las partidas en sí mismas.</w:t>
      </w:r>
    </w:p>
    <w:p w:rsidR="00FE0907" w:rsidRDefault="00FE0907" w:rsidP="00FE0907">
      <w:pPr>
        <w:pStyle w:val="TextoNormal"/>
      </w:pPr>
      <w:r>
        <w:t>d) Servicio 09 (Dirección General de Industrias Agrarias y Alimenticias), Programa 712 A (Organización en común de la producción y comercialización agraria y pesquera), Concepto 772: Transferencias de Capital a empresas privadas, para fomento de entidades asociativas para el desarrollo de la agroindustria; Programa 712 E (Comercialización, industrialización y ordenación alimentaria), Concepto 771: Transferencias de Capital a empresas privadas para ordenación y fomento de la industrialización agroalimentaria.</w:t>
      </w:r>
    </w:p>
    <w:p w:rsidR="00FE0907" w:rsidRDefault="00FE0907" w:rsidP="00FE0907">
      <w:pPr>
        <w:pStyle w:val="TextoNormal"/>
      </w:pPr>
      <w:r>
        <w:t>Son aplicables a la impugnación de estas partidas los mismos fundamentos que a las examinadas en el epígrafe anterior, ya que la Generalidad de Cataluña ostenta también la competencia sobre industria, de acuerdo con las bases y la ordenación de la actividad económica general, en los términos establecidos en el art. 12.1.2 E.A.C., así como la competencia de desarrollo y ejecución de Cataluña de los planes establecidos por el Estado para la reestructuración de sectores industriales (art.12.1.2 E.A.C.). Bien entendida que, en todo caso, quedan a salvo las medidas de fomento destinadas a entidades asociativas y actividades industriales de ámbito supraautonómico.</w:t>
      </w:r>
    </w:p>
    <w:p w:rsidR="00FE0907" w:rsidRDefault="00FE0907" w:rsidP="00FE0907">
      <w:pPr>
        <w:pStyle w:val="TextoNormal"/>
      </w:pPr>
      <w:r>
        <w:t>e) Organismo 104 (Instituto Nacional de Semillas y Plantas de Vivero), Concepto 771: Transferencias a empresas privadas, para fomento de la utilización de semillas y plantas de vivero de calidad.</w:t>
      </w:r>
    </w:p>
    <w:p w:rsidR="00FE0907" w:rsidRDefault="00FE0907" w:rsidP="00FE0907">
      <w:pPr>
        <w:pStyle w:val="TextoNormal"/>
      </w:pPr>
      <w:r>
        <w:t>La Generalidad reclama la gestión de estas dotaciones, sin perjuicio de la "facultad de control estatal del empleo de los recursos presupuestados" para verificar que las operaciones de compraventa de semillas subvencionadas se refieren efectivamente a semillas certificadas.</w:t>
      </w:r>
    </w:p>
    <w:p w:rsidR="00FE0907" w:rsidRDefault="00FE0907" w:rsidP="00FE0907">
      <w:pPr>
        <w:pStyle w:val="TextoNormal"/>
      </w:pPr>
      <w:r>
        <w:t>En efecto, corresponde a las Comunidades Autónomas la gestión de estas ayudas, conforme a la normativa estatal básica y sin perjuicio de la colaboración con el Estado para el control del destino de las subvenciones, a través de las formas que prevén las disposiciones en vigor (y, ante todo, el art.  153 de la Ley General Presupuestaria). Dicho sea sin perjuicio de que concurran los motivos excepcionales que legitiman la gestión centralizada de subvenciones en materia de agricultura, a los que nos hemos referido en fundamentos jurídicos precedentes.  Sólo en este último supuesto, que debería ser suficientemente justificado, la gestión centralizada de las ayudas en cuestión, encomendadas a un Organismo Autónomo estatal, podría considerarse respetuosa del orden constitucional de competencias. En caso contrario, la intermediación de un Organismo como el Instituto Nacional de Semillas y Plantas de Vivero, carecería de toda justificación, tratándose de recursos que de los Presupuestos Generales del Estado deben pasar a los de las Comunidades Autónomas, para Transferencias directas a las mismas para los fines indicados.</w:t>
      </w:r>
    </w:p>
    <w:p w:rsidR="00FE0907" w:rsidRDefault="00FE0907" w:rsidP="00FE0907">
      <w:pPr>
        <w:pStyle w:val="TextoNormal"/>
      </w:pPr>
      <w:r>
        <w:t>En este recurso, sin embargo, no es posible examinar si existe o no justificación suficiente para estimar que la gestión centralizada es posible y no invade las competencias de las Comunidades Autónomas, pues ello puede depender también de lo que dispongan las normas reguladoras de las ayudas, que no son objeto de impugnación aquí.  Nuestro fallo, por tanto, no puede ser de inconstitucionalidad en cuanto que las partidas incluyan supuestos que legitimen la gestión centralizada de las ayudas, por lo que su consignación presupuestaria en favor de un Organismo Autónomo estatal no resulta inconstitucional.</w:t>
      </w:r>
    </w:p>
    <w:p w:rsidR="00FE0907" w:rsidRDefault="00FE0907" w:rsidP="00FE0907">
      <w:pPr>
        <w:pStyle w:val="TextoNormal"/>
      </w:pPr>
      <w:r>
        <w:lastRenderedPageBreak/>
        <w:t>f) Organismo 106 (Servicio de Extensión Agraria), Programa 542 F (Investigación y Experimentación Agraria y Pesquera), Concepto 485: Transferencias Corrientes a familias e instituciones sin fines de lucro para ayudas para la capacitación profesional agraria: cursos breves y cursos para la incorporación de agricultores jóvenes; Concepto 486: idem, para becas para el acceso a las enseñanzas homologadas de capacitación agraria; Concepto 488, idem para fomento de la contabilidad de explotaciones agrarias; Concepto 489, idem para ayudas a la formación ocupacional de la mujer; Programa 712 A (Organización en común de la producción y comercialización agraria y pesquera), Concepto 480: Transferencias Corrientes a familias e instituciones sin fines de lucro para ayudas a agrupaciones de ayuda mutua y sustitución; Concepto 482, idem a las Agrupaciones de Agricultura para la gestión de explotaciones; Concepto 483: idem para becas para asistencia a cursos de formación y perfeccionamiento de gerentes de empresas agrarias; Concepto 484: idem para becas para asistencia a cursos de cooperativismo y comercialización; Concepto 782: Transferencias de Capital a familias e instituciones sin fines de lucro para acciones comunitarias de interés socio-económico y acciones cooperativas de jóvenes del sector agrario; Concepto 783: Idem para ayudas al desarrollo cooperativo y comunitario en zonas no de montaña ni equiparables; Concepto 784: Idem para ayudas a la integración cooperativa de la juventud; Concepto 785: Idem para ayudas al empleo en el cooperativismo rural; Programa 712 D (Mejora de la estructura productiva agraria y pesquera), Concepto 481: Transferencias Corrientes a familias e instituciones sin fines de lucro, para ayudas para la capacitación profesional agraria: cursos para incorporación de agricultures jóvenes; Concepto 487: Idem para becas para jóvenes agricultores en relación con su formación e incorporación a los programas de la CEE; Concepto 772: Transferencias del Capital a empresas privadas para ayudas a agricultores jóvenes para su incorporación e instalación.</w:t>
      </w:r>
    </w:p>
    <w:p w:rsidR="00FE0907" w:rsidRDefault="00FE0907" w:rsidP="00FE0907">
      <w:pPr>
        <w:pStyle w:val="TextoNormal"/>
      </w:pPr>
      <w:r>
        <w:t>g) Organismo 108 (Instituto de Relaciones Agrarias), Programa 712 A (Organización en común de la producción y comercialización agraria y pesquera), Concepto 482: Transferencias Corrientes a instituciones sin fines de lucro, a Organizaciones Profesionales Agrarias y otras entidades asociativas.</w:t>
      </w:r>
    </w:p>
    <w:p w:rsidR="00FE0907" w:rsidRDefault="00FE0907" w:rsidP="00FE0907">
      <w:pPr>
        <w:pStyle w:val="TextoNormal"/>
      </w:pPr>
      <w:r>
        <w:t>h) Organismo 109 (Instituto Nacional de Reforma y Desarrollo Agrario), Programa 712 D (Mejora de la estructura productiva agraria y pesquera), Concepto 771: Transferencias de Capital a empresas privadas para ayudas con destino a la modernización de explotaciones; Concepto 776: Idem para compensación de rentas por limitaciones naturales en zonas de montaña (I.C.M.)  y otras zonas desfavorecidas; Concepto 777: Idem para compensación de rentas por limitación de producción.</w:t>
      </w:r>
    </w:p>
    <w:p w:rsidR="00FE0907" w:rsidRDefault="00FE0907" w:rsidP="00FE0907">
      <w:pPr>
        <w:pStyle w:val="TextoNormal"/>
      </w:pPr>
      <w:r>
        <w:t>i) Organismo 203 (Instituto Nacional para la Conservación de la Naturaleza), Programa 533 A (Protección y mejora del medio natural), Concepto 770: Transferencias de Capital a empresas privadas para ayudas complementarias en zonas sensibles; Concepto 780: Idem a familias e instituciones sin fines de lucro para trabajos de conservación de suelos agrícolas, lucha contra la erosión y prevención de incendios.</w:t>
      </w:r>
    </w:p>
    <w:p w:rsidR="00FE0907" w:rsidRDefault="00FE0907" w:rsidP="00FE0907">
      <w:pPr>
        <w:pStyle w:val="TextoNormal"/>
      </w:pPr>
      <w:r>
        <w:t xml:space="preserve">Todas estas ayudas, relativas a aspectos de la política agraria sobre algunos de los cuales versaron las SSTC 95 y 96/1986, corresponde gestionarlas a las Comunidades Autónomas, conforme a la normativa básica del Estado y a su propia normativa de desarrollo (aparte, claro está, la normativa de la CEE), y sólo si concurren los motivos excepcionales a que en aquellas Sentencias se aludía y en ésta se reiteran podría legitimarse su gestión centralizada.  Esta posibilidad debe justificarse suficientemente, pues, en caso contrario, debe cuestionarse la conformidad con la Constitución y los Estatutos de Autonomía de la gestión encomendada a un Organismo estatal como es el Servicio de Extensión Agraria, aunque actúe sólo como entidad pagadora e intermediaria de los pagos de las obligaciones </w:t>
      </w:r>
      <w:r>
        <w:lastRenderedPageBreak/>
        <w:t>reconocidas por las Comunidades Autónomas, en vez de la Transferencia de recursos a los Servicios correspondientes a las , tal y como declaramos en las referidas SSTC 95 y 96/1986.</w:t>
      </w:r>
    </w:p>
    <w:p w:rsidR="00FE0907" w:rsidRDefault="00FE0907" w:rsidP="00FE0907">
      <w:pPr>
        <w:pStyle w:val="TextoNormal"/>
      </w:pPr>
      <w:r>
        <w:t>A la vista de las partidas presupuestarias no cabe excluir que comprendan casos en que la gestión centralizada resulte justificada, por lo que no procede declarar su inconstitucionalidad.</w:t>
      </w:r>
    </w:p>
    <w:p w:rsidR="00FE0907" w:rsidRDefault="00FE0907" w:rsidP="00FE0907">
      <w:pPr>
        <w:pStyle w:val="TextoNormal"/>
      </w:pPr>
      <w:r>
        <w:t>j) Organismo 205 (Fondo de Ordenación y Regulación de Producciones y Precios Agrarios), Programa 715 A (Regulación de Producciones y de Mercados Agrario y Pesquero), Concepto 470: Transferencias Corrientes a empresas privadas para subvenciones a la producción agraria.</w:t>
      </w:r>
    </w:p>
    <w:p w:rsidR="00FE0907" w:rsidRDefault="00FE0907" w:rsidP="00FE0907">
      <w:pPr>
        <w:pStyle w:val="TextoNormal"/>
      </w:pPr>
      <w:r>
        <w:t>Se refiere esta partida presupuestaria a las subvenciones procedentes (en su práctica totalidad) del FEOGA-Sección Garantía de la CEE, que integran el Presupuesto del FORPPA como Transferencias Corrientes del Exterior. La queja de la Generalidad de Cataluña reside, en este caso, en que la reglamentación estatal de estas ayudas asigna la facultad de proceder a su pago efectivo a un Organismo estatal, el SENPA, en vez de a las Comunidades Autónomas.  De ahí que la Generalidad haya interpuesto varios conflictos de competencia contra disposiciones del Estado que instrumentan el pago de primas o indemnizaciones con cargo a estos recursos. De ello se deduce que no se puede dejar en manos del FORPPA "la facultad discreccional de actuar centralizadamente como viene haciendo por medio del SENPA o, eventualmente, utilizar las Administraciones de las Comunidades Autónomas", sino que se debe determinar que los destinatarios de la partidas sean las Comunidades Autónomas.</w:t>
      </w:r>
    </w:p>
    <w:p w:rsidR="00FE0907" w:rsidRDefault="00FE0907" w:rsidP="00FE0907">
      <w:pPr>
        <w:pStyle w:val="TextoNormal"/>
      </w:pPr>
      <w:r>
        <w:t>La presente impugnación carece de fundamento sin perjuicio de lo que el Tribunal Constitucional decida en cada uno de los conflictos planteados. La partida presupuestaria, en sí misma considerada, no predetermina que el pago de las ayudas en cuestión haya de realizarse por el SENPA o por las Comunidades Autónomas, y menos aún que el FORPPA tenga la potestad discreccional de actuar a través de uno u otras. También en este supuesto la Generalidad impugna la partida de una manera preventiva o cautelar con fundamento en los reproches que dirige a la normativa reguladora de las ayudas. Pero este tipo de alegaciones no pueden examinarse en el presente recurso, sino en aquellos otros procesos constitucionales que tengan por objeto dichas normas.</w:t>
      </w:r>
    </w:p>
    <w:p w:rsidR="00FE0907" w:rsidRDefault="00FE0907" w:rsidP="00FE0907">
      <w:pPr>
        <w:pStyle w:val="TextoNormal"/>
      </w:pPr>
      <w:r>
        <w:t>H) De la SECCIÓN 23 (MINISTERIO DE TRANSPORTES TURISMO Y COMUNICACIONES).</w:t>
      </w:r>
    </w:p>
    <w:p w:rsidR="00FE0907" w:rsidRDefault="00FE0907" w:rsidP="00FE0907">
      <w:pPr>
        <w:pStyle w:val="TextoNormal"/>
      </w:pPr>
      <w:r>
        <w:t>Servicio 05 (Dirección General de Transportes Terrestres), Programa 513 C (Ordenación e Inspección del Transportes Terrestre), Concepto 771: Transferencias de Capital a empresas privadas, para ayudas para subvencionar el tipo de interés en los créditos para la renovación del parque de vehículos destinados al servicio público de transporte por carretera, en las condiciones que se determinen reglamentariamente.</w:t>
      </w:r>
    </w:p>
    <w:p w:rsidR="00FE0907" w:rsidRDefault="00FE0907" w:rsidP="00FE0907">
      <w:pPr>
        <w:pStyle w:val="TextoNormal"/>
      </w:pPr>
      <w:r>
        <w:t>La impugnación tiene un carácter preventivo o cautelar por lo que debe desestimarse.</w:t>
      </w:r>
    </w:p>
    <w:p w:rsidR="00FE0907" w:rsidRDefault="00FE0907" w:rsidP="00FE0907">
      <w:pPr>
        <w:pStyle w:val="TextoNormal"/>
      </w:pPr>
      <w:r>
        <w:t xml:space="preserve">En efecto, en materia de transportes terrestres por carretera, el art.  149.1.21ª C.E.  distribuye las competencias entre el Estado y las Comunidades Autónomas según transcurran o no por el territorio de más de una Comunidad Autónoma, aparte la reserva de competencias exclusivas al Estado sobre tráfico y circulación de vehículos a motor, que engloba también lo relativo a las condiciones que deben llenar los vehículos que circulan, en función de las garantías de seguridad en la circulación (STC 59/1985, fundamento jurídico 3º).  La Generalidad de Cataluña alega que la partida presupuestaria impugnada no especifica que las subvenciones previstas estén destinadas al transporte de competencia estatal y no al de competencia de las Comunidades Autónomas y de ello deduce la necesidad de </w:t>
      </w:r>
      <w:r>
        <w:lastRenderedPageBreak/>
        <w:t>territorializarlas.  Pero es obvio que la hipótesis de que las ayudas puedan destinarse a transportes de competencia de la Generalidad no puede servir para declarar la inconstitucionalidad de la partida presupuestaria.  Antes al contrario, es preciso partir de la presunción de constitucionalidad de la decisión impugnada, sin perjuicio de lo que pueda resultar de la reglamentación a la que la propia partida se remite.</w:t>
      </w:r>
    </w:p>
    <w:p w:rsidR="00FE0907" w:rsidRDefault="00FE0907" w:rsidP="00FE0907">
      <w:pPr>
        <w:pStyle w:val="TextoNormal"/>
      </w:pPr>
      <w:r>
        <w:t>I) De la SECCIÓN 24 (MINISTERIO DE CULTURA).</w:t>
      </w:r>
    </w:p>
    <w:p w:rsidR="00FE0907" w:rsidRDefault="00FE0907" w:rsidP="00FE0907">
      <w:pPr>
        <w:pStyle w:val="TextoNormal"/>
      </w:pPr>
      <w:r>
        <w:t>a) Servicio 04 (Dirección General de Bellas Artes y Archivos), Programa 453 A (Museos), Concepto 761: Transferencias de Capital a Corporaciones Locales: sistema español de museos.</w:t>
      </w:r>
    </w:p>
    <w:p w:rsidR="00FE0907" w:rsidRDefault="00FE0907" w:rsidP="00FE0907">
      <w:pPr>
        <w:pStyle w:val="TextoNormal"/>
      </w:pPr>
      <w:r>
        <w:t>La Generalidad de Cataluña, al impugnar las partidas presupuestarias correspondientes al Ministerio de Cultura, parte de la idea de que el Estado sólo puede fomentar la cultura en aquellos casos en que esté mínimamente justificada la intervención de la Administración central, debiendo corresponder el resto de la acción de fomento a la Generalidad, en el territorio de Cataluña, conforme a los arts.  9.4, 9.5, 9.6, 9.31 y 11.7 del E.A.C.  Pero, según reiterada doctrina de este Tribunal (SSTC 84/1983, 49/1984, 153/1985, 157/1985, 17/1991), del art. 149.2 C.E. deriva la concurrencia de los distintos Poderes Públicos en el fomento de la cultura, por lo que al Estado le compete una función de apoyo en este campo, no excluyente de la que puedan realizar las Comunidades Autónomas.</w:t>
      </w:r>
    </w:p>
    <w:p w:rsidR="00FE0907" w:rsidRDefault="00FE0907" w:rsidP="00FE0907">
      <w:pPr>
        <w:pStyle w:val="TextoNormal"/>
      </w:pPr>
      <w:r>
        <w:t>En concreto, el Estado tiene competencia para apoyar económicamente los museos que integran el sistema español de museos y que son de la titularidad de las Corporaciones Locales o sean gestionados por éstas. Nada hay que oponer, pues, desde el punto de vista del orden constitucional de competencias a esta partida presupuestaria, sin que sea el consistente argumento en contrario de que la gestión del único museo de titularidad estatal existente en Cataluña, al decir de la Generalidad, haya sido transferida a ésta última, dado que la partida presupuestaria no se refiere y no tiene por qué referirse a ese museo.</w:t>
      </w:r>
    </w:p>
    <w:p w:rsidR="00FE0907" w:rsidRDefault="00FE0907" w:rsidP="00FE0907">
      <w:pPr>
        <w:pStyle w:val="TextoNormal"/>
      </w:pPr>
      <w:r>
        <w:t>b) Servicio 08 (Dirección General del Libro y Bibliotecas), Programa 455 D (Promoción del libro y publicaciones culturales), Concepto 471: Transferencias Corrientes a empresas privadas para Fondo de promoción del libro: a empresas editoriales para compensar el precio del papel (Ley 9/1975); Concepto 472: Idem Fondo de promoción del libro: ayudas a la edición en castellano de obras escritas en otras lenguas oficiales españolas; Concepto 473: Idem Fondo de promoción del libro: ayudas a los distintos sectores relacionados con el libro; Concepto 770: Transferencias de Capital a empresas privadas para apoyar proyectos innovadores y de renovación tecnológica de empresas privadas del libro; Concepto 780: Transferencias de Capital a familias e instituciones sin fines de lucro: Fondo de promoción del libro: para la adquisición de medios de promoción del libro y la lectura.</w:t>
      </w:r>
    </w:p>
    <w:p w:rsidR="00FE0907" w:rsidRDefault="00FE0907" w:rsidP="00FE0907">
      <w:pPr>
        <w:pStyle w:val="TextoNormal"/>
      </w:pPr>
      <w:r>
        <w:t>Las razones expuestas en el epígrafe anterior sirven también para desestimar la impugnación de estas partidas, sin que sean óbice a esta conclusión las competencias que la Generalidad de Cataluña tiene en materia de industria (art.  12.2 E.A.C.), en relación con la importancia que la industria editorial de Cataluña tiene en este sector de producción, pues sin duda, el título prevalente, por la finalidad de las ayudas previstas, es el de cultura.  Por lo demás, las partidas impugnadas no impiden por sí mismas la colaboración de la Generalidad de Cataluña en la promoción del libro, en ejercicio de sus propias competencias, y tampoco descartan de por sí toda intervención de la Generalidad en la gestión de las subvenciones del Estado.</w:t>
      </w:r>
    </w:p>
    <w:p w:rsidR="00FE0907" w:rsidRDefault="00FE0907" w:rsidP="00FE0907">
      <w:pPr>
        <w:pStyle w:val="TextoNormal"/>
      </w:pPr>
      <w:r>
        <w:t>c) Organismo 108 (Instituto de la Cinematografía y de las Artes Audiovisuales), Programa 456 C (Cinematografía), Concepto 471: Transferencias Corrientes a empresas privadas: Fondo de Protección a la Cinematografía.</w:t>
      </w:r>
    </w:p>
    <w:p w:rsidR="00FE0907" w:rsidRDefault="00FE0907" w:rsidP="00FE0907">
      <w:pPr>
        <w:pStyle w:val="TextoNormal"/>
      </w:pPr>
      <w:r>
        <w:lastRenderedPageBreak/>
        <w:t>Además de los argumentos expuestos en relación con las partidas del epígrafe anterior recuerda la Generalidad, respecto de ésta, que el apartado B-2 del Real Decreto 1.010/1981, de 27 de febrero, de Transferencia de Servicios, dispone que "en cuanto al Fondo de Protección a la Cinematografía, mientras se mantenga la actual normativa que lo rige, se transfiere a la Generalidad el porcentaje, que se determinará por Convenio, de la parte del Fondo destinada a subvencionar películas de especial calidad y especiales para menores".  Alega ahora la Generalidad que ese Convenio no ha sido celebrado núnca, lo que priva de eficacia a la Transferencias y por esa razón "como mínimo debe solicitar la territorialización de las partidas dichas de acuerdo a criterios objetivos".</w:t>
      </w:r>
    </w:p>
    <w:p w:rsidR="00FE0907" w:rsidRDefault="00FE0907" w:rsidP="00FE0907">
      <w:pPr>
        <w:pStyle w:val="TextoNormal"/>
      </w:pPr>
      <w:r>
        <w:t>No obstante, es necesario tener en cuenta que, como se deduce de las SSTC 149/1985 y 157/1985, el Estado ostenta competencia de intervención y fomento, en el orden cinematográfico, por lo que no se cuestiona la gestión unitaria del Fondo de Protección a la Cinematografía, que el Real Decreto 1.010/1981 reserva al Estado, si bien con la obligación de realizar con la Generalidad el Convenio a que alude el apartado B-2 referido, mientras se mantuviera la misma normativa reguladora del Fondo.  A falta de dicho Convenio nada hay que oponer a la constitucionalidad de la partida impugnada, único objeto de este recurso, a la que no se puede imputar lo que la Generalidad de Cataluña considera un incumplimiento del Real Decreto 1.010/1981.</w:t>
      </w:r>
    </w:p>
    <w:p w:rsidR="00FE0907" w:rsidRDefault="00FE0907" w:rsidP="00FE0907">
      <w:pPr>
        <w:pStyle w:val="TextoNormal"/>
      </w:pPr>
      <w:r>
        <w:t>d) Organismo 207 (Instituto Nacional de las Artes Escénicas y de la Música), Programa 456 A (Música), Concepto 751: Transferencias de Capital a Comunidades Autónomas para la construcción de auditorios de música.</w:t>
      </w:r>
    </w:p>
    <w:p w:rsidR="00FE0907" w:rsidRDefault="00FE0907" w:rsidP="00FE0907">
      <w:pPr>
        <w:pStyle w:val="TextoNormal"/>
      </w:pPr>
      <w:r>
        <w:t>Reclama la Generalidad que estas subvenciones sean territorializadas y que su concesión le corresponda en Cataluña, sin perjuicio de la normativa general estatal que deba regirlas.  Pero esta impugnación no se comprende, pues precisamente lo que se deduce de la partida recurrida es la transferencia de los recursos a las Comunidades Autónomas, para el indicado fin.</w:t>
      </w:r>
    </w:p>
    <w:p w:rsidR="00FE0907" w:rsidRDefault="00FE0907" w:rsidP="00FE0907">
      <w:pPr>
        <w:pStyle w:val="TextoNormal"/>
      </w:pPr>
      <w:r>
        <w:t>Es más, esta partida constituye una forma de cooperación entre el Estado y las Comunidades Autónomas para el ejercicio de competencias que son concurrentes y dirigidas a objetivos comunes de promoción de la cultura, cooperación que, según doctrina reiterada de este Tribunal, resulta altamente conveniente cuando se trata de llevar a cabo medidas de fomento, en ésta y en otras materias en que el Estado y las Comunidades Autónomas ostentan competencias.</w:t>
      </w:r>
    </w:p>
    <w:p w:rsidR="00FE0907" w:rsidRDefault="00FE0907" w:rsidP="00FE0907">
      <w:pPr>
        <w:pStyle w:val="TextoNormal"/>
      </w:pPr>
      <w:r>
        <w:t>J) De la SECCIÓN 26 (MINISTERIO DE SANIDAD Y CONSUMO).</w:t>
      </w:r>
    </w:p>
    <w:p w:rsidR="00FE0907" w:rsidRDefault="00FE0907" w:rsidP="00FE0907">
      <w:pPr>
        <w:pStyle w:val="TextoNormal"/>
      </w:pPr>
      <w:r>
        <w:t>a) Servicio 01 (Ministerio y Subsecretaria), Programa 411 A (Dirección y Servicios Generales de Sanidad), Concepto 226.04: Gastos en bienes corrientes y servicios, para apoyar y colaborar en los gastos que ocasiones el Plan de prevención de enfermedades infecto-contagiosas y drogradicción en instituciones penitenciarias y otras, mediante Convenios con los Ministerios de Justicia y Defensa; Concepto 226.07: Idem para la inclusión de la educación para la salud en el curriculum de formación de docentes y discentes mediante Convenio con el Ministerio de Educación y Ciencia.</w:t>
      </w:r>
    </w:p>
    <w:p w:rsidR="00FE0907" w:rsidRDefault="00FE0907" w:rsidP="00FE0907">
      <w:pPr>
        <w:pStyle w:val="TextoNormal"/>
      </w:pPr>
      <w:r>
        <w:t xml:space="preserve">Reclama la Generalidad la gestión de estos fondos en Cataluña, ya que tiene transferidos tanto los Servicios sanitarios como los penitenciarios y educativos, y aduce también que se la ha ignorado en la asignación de estos fondos.  Sin duda, la gestión de los recursos públicos destinados a los Servicios transferidos corresponde a la Generalidad de Cataluña. No obstante, como dijéramos respecto del Concepto 480 del Programa 144 A del Ministerio de Justicia (Servicio 04 de la Sección 13), relacionado con el 226.04, según indica la representación de la Generalidad, es preciso recordar que el Estado mantiene la titularidad y gestión de los servicios sanitarios, penitenciarios y educativos en buena parte </w:t>
      </w:r>
      <w:r>
        <w:lastRenderedPageBreak/>
        <w:t>del territorio nacional. Por eso, las partidas en sí no vulneran competencia alguna de la Comunidad Autónoma, pues han de entenderse referidas a los Servicios de competencia estatal, sin que sea posible deducir de su enunciado que afecten a los Servicios transferidos. En cuanto a la queja de que la Generalidad no recibe fondos por estos Conceptos, no puede dirigirse contra las referidas partidas presupuestarias, sino que atañe más bien al problema general de la financiación de las Comunidades Autónomas, que no corresponde examinar aquí.</w:t>
      </w:r>
    </w:p>
    <w:p w:rsidR="00FE0907" w:rsidRDefault="00FE0907" w:rsidP="00FE0907">
      <w:pPr>
        <w:pStyle w:val="TextoNormal"/>
      </w:pPr>
      <w:r>
        <w:t>b) Servicio 01, Programa 411 A, Concepto 483: Transferencias a familias e instituciones sin fines de lucro para becas para formación y perfeccionamiento sanitario y bolsas de viaje y estudios para el intercambio personal e institucional de información en materia sanitaria.</w:t>
      </w:r>
    </w:p>
    <w:p w:rsidR="00FE0907" w:rsidRDefault="00FE0907" w:rsidP="00FE0907">
      <w:pPr>
        <w:pStyle w:val="TextoNormal"/>
      </w:pPr>
      <w:r>
        <w:t>La Generalidad de Cataluña demanda que se tengan en cuenta las competencias de las Comunidades Autónomas a la hora de asignar estas becas. Pero, de nuevo, hay que hacer observar que esa demanda sería atendible si las becas en cuestión se dirigieran también a aquellas Comunidades Autónomas que tienen transferidos los servicios de sanidad, siendo así que el enunciado de la partida no permite confirmar este extremo.</w:t>
      </w:r>
    </w:p>
    <w:p w:rsidR="00FE0907" w:rsidRDefault="00FE0907" w:rsidP="00FE0907">
      <w:pPr>
        <w:pStyle w:val="TextoNormal"/>
      </w:pPr>
      <w:r>
        <w:t>c) Servicio 02 (Secretaria General Técnica), Programa 411 (citado), Concepto 481: Transferencias a familias e instituciones sin fines de lucro para becas y bolsas de viaje motivadas por actividades de cooperación e intercambio con otros países en materia sanitaria.</w:t>
      </w:r>
    </w:p>
    <w:p w:rsidR="00FE0907" w:rsidRDefault="00FE0907" w:rsidP="00FE0907">
      <w:pPr>
        <w:pStyle w:val="TextoNormal"/>
      </w:pPr>
      <w:r>
        <w:t>Puede aplicarse a este Concepto lo dicho en el epígrafe anterior, con el añadido de que, en este caso, se halla también en juego la actividad de cooperación internacional al desarrollo y, por tanto, las competencias del Estado que derivan del art.  149.1.3ª C.E.</w:t>
      </w:r>
    </w:p>
    <w:p w:rsidR="00FE0907" w:rsidRDefault="00FE0907" w:rsidP="00FE0907">
      <w:pPr>
        <w:pStyle w:val="TextoNormal"/>
      </w:pPr>
      <w:r>
        <w:t>d) Servicio 02, Programa 126 F (Publicaciones).</w:t>
      </w:r>
    </w:p>
    <w:p w:rsidR="00FE0907" w:rsidRDefault="00FE0907" w:rsidP="00FE0907">
      <w:pPr>
        <w:pStyle w:val="TextoNormal"/>
      </w:pPr>
      <w:r>
        <w:t>La Generalidad impugna, en términos vagos, todos los créditos de este Programa en el citado Servicio y, según parece, a falta de alegaciones específicas, porque dice no recibir fondos para estas asignaciones. La impugnación carece manifiestamente de fundamento, pues de nuevo tiene como base la idea de la pretendida insuficiencia de la financiación autonómica.  Pero, sobre esta base argumental, carece de toda lógica impugnar partidas presupuestarias que el Estado destina a sus propios Servicios.</w:t>
      </w:r>
    </w:p>
    <w:p w:rsidR="00FE0907" w:rsidRDefault="00FE0907" w:rsidP="00FE0907">
      <w:pPr>
        <w:pStyle w:val="TextoNormal"/>
      </w:pPr>
      <w:r>
        <w:t>e) Servicio 07. (Dirección General de Farmacia y Productos Sanitarios), Programa 413 B (Educación y Control de Medicamentos y Productos Sanitarios), Conceptos 442 y 483.</w:t>
      </w:r>
    </w:p>
    <w:p w:rsidR="00FE0907" w:rsidRDefault="00FE0907" w:rsidP="00FE0907">
      <w:pPr>
        <w:pStyle w:val="TextoNormal"/>
      </w:pPr>
      <w:r>
        <w:t>Estos Conceptos que se impugnan en la demanda no existen en los Presupuestos Generales del Estado para 1989.</w:t>
      </w:r>
    </w:p>
    <w:p w:rsidR="00FE0907" w:rsidRDefault="00FE0907" w:rsidP="00FE0907">
      <w:pPr>
        <w:pStyle w:val="TextoNormal"/>
      </w:pPr>
      <w:r>
        <w:t>f) Servicio 09 (Dirección General de Planificación Sanitaria), Programa 412 G (Acciones sanitarias especiales), Concepto 226.04: Gastos de bienes corrientes y servicios, para toda clase de gastos, incluso de personal, que originen actuaciones relacionadas con la promoción de estilos de vida sanos; Concepto 226.07: Idem, para gastos que origine la realización de propuestas, estudios y acciones de información e intervención preventiva que ocasione la lucha contra el cáncer; Concepto 227.07: Idem, trabajos realizados por otras empresas, para toda clase de gastos que origine la realización de actuaciones para combatir enfermedades infecciosas, tuberculosis y de transmisión sexual, orientadas a vacunaciones.  Campañas de prevención y atención a grupos de alto riesgo y en especial a enfermedades cardiovasculares.</w:t>
      </w:r>
    </w:p>
    <w:p w:rsidR="00FE0907" w:rsidRDefault="00FE0907" w:rsidP="00FE0907">
      <w:pPr>
        <w:pStyle w:val="TextoNormal"/>
      </w:pPr>
      <w:r>
        <w:t>Las alegaciones relativas a estas partidas son exactamente las mismas, genéricamente realizadas, a las vertidas sobre las de los epígrafes anteriores. Por los mismos fundamentos generales, asímismo, su impugnación debe ser desestimada.</w:t>
      </w:r>
    </w:p>
    <w:p w:rsidR="00FE0907" w:rsidRDefault="00FE0907" w:rsidP="00FE0907">
      <w:pPr>
        <w:pStyle w:val="TextoNormal"/>
      </w:pPr>
      <w:r>
        <w:lastRenderedPageBreak/>
        <w:t>g) Servicio 09, Programa 412 G, Conceptos 484 a 489: Transferencias a familias e instituciones sin fines de lucro para subvenciones con destino a financiación de trasplantes de órganos, Cruz Roja, instituciones que atiendan a enfermos del SIDA e información, prevención, detección y tratamiento del SIDA, promoción de donación de sangre y programa de vigilancia de malformaciones congénitas, así como enfermedades de transmisión sexual.</w:t>
      </w:r>
    </w:p>
    <w:p w:rsidR="00FE0907" w:rsidRDefault="00FE0907" w:rsidP="00FE0907">
      <w:pPr>
        <w:pStyle w:val="TextoNormal"/>
      </w:pPr>
      <w:r>
        <w:t>Hemos de confirmar ahora lo ya declarado en el fundamento jurídico 12 respecto a la impugnación de las partidas equivalentes de los Presupuestos Generales del Estado para 1988.</w:t>
      </w:r>
    </w:p>
    <w:p w:rsidR="00FE0907" w:rsidRDefault="00FE0907" w:rsidP="00FE0907">
      <w:pPr>
        <w:pStyle w:val="TextoNormal"/>
      </w:pPr>
      <w:r>
        <w:t>h) Servicio 09, Programa 412 G, Concepto 781: Transferencias de Capital a familias e instituciones sin fines de lucro, para construcción, acondicionamiento y equipamiento de hospitales dependientes de instituciones sin fines de lucro.</w:t>
      </w:r>
    </w:p>
    <w:p w:rsidR="00FE0907" w:rsidRDefault="00FE0907" w:rsidP="00FE0907">
      <w:pPr>
        <w:pStyle w:val="TextoNormal"/>
      </w:pPr>
      <w:r>
        <w:t>Respecto de esta partida hay que llegar a la misma conclusión que ya expusimos en el fundamento jurídico 12 sobre la partida equivalente de los Presupuestos Generales del Estado para 1988.</w:t>
      </w:r>
    </w:p>
    <w:p w:rsidR="00FE0907" w:rsidRDefault="00FE0907" w:rsidP="00FE0907">
      <w:pPr>
        <w:pStyle w:val="TextoNormal"/>
      </w:pPr>
      <w:r>
        <w:t>i) Servicio 09, Programa 412 G, Concepto 751: Transferencias de Capital a Comunidades Autónomas, para construcción, acondicionamiento, remodelación, mejora y equipamiento de centros regionales de hemoterapia y centros de hemodiálisis públicos.</w:t>
      </w:r>
    </w:p>
    <w:p w:rsidR="00FE0907" w:rsidRDefault="00FE0907" w:rsidP="00FE0907">
      <w:pPr>
        <w:pStyle w:val="TextoNormal"/>
      </w:pPr>
      <w:r>
        <w:t>En este caso la Generalidad de Cataluña cuestiona que se haya especificado con excesivo detalle el destino de las transferencias, lo que produce una vulneración de sus competencias de desarrollo legislativo y ejecución en materia de sanidad interior, contempladas en el art. 17.1 del E.A.C. Sin embargo, el Estado, al que compete la responsabilidad sobre las bases y la coordinación de la política sanitaria en su conjunto, en virtud del art.  149.1.16º C.E., puede planificar actuaciones generales o especiales garantizando su ejecución mediante la aportación de fondos destinados a esos fines genéricos, aunque ello suponga interferir la planificación que las propias Comunidades Autónomas puedan llevar a cabo en su propio ámbito de competencia, siempre que no se sobrepasen las reservadas al Estado.</w:t>
      </w:r>
    </w:p>
    <w:p w:rsidR="00FE0907" w:rsidRDefault="00FE0907" w:rsidP="00FE0907">
      <w:pPr>
        <w:pStyle w:val="TextoNormal"/>
      </w:pPr>
      <w:r>
        <w:t>En lo que se refiere a la previsión de transferencias para centros regionales de hemoterapia y hemodiálisis, no se puede decir que el Estado haya excedido al ámbito de sus competencias, pues, por una parte, la trascendencia de acciones sanitarias especiales para ese objeto justifica la adopción de decisiones básicas estatales al respecto y, por otra, la partida presupuestaria deja en manos de las Comunidades Autónomas un amplio margen de decisión para concretar el destino específico de las transferencias.</w:t>
      </w:r>
    </w:p>
    <w:p w:rsidR="00FE0907" w:rsidRDefault="00FE0907" w:rsidP="00FE0907">
      <w:pPr>
        <w:pStyle w:val="TextoNormal"/>
      </w:pPr>
      <w:r>
        <w:t>j) Servicio 09, Programa 413 A (Planificación sanitaria), Concepto 442: Transferencias Corrientes a empresas públicas y otros entes públicos: subvenciones a centros docentes dependientes del Ministerio de Educación y Ciencia y Sanidad y Consumo, con objeto de promover el desarrollo de cursos de estomatólogos, odontólogos e incrementar la formación de higienistas y protésicos dentales; Concepto 483: idem, para toda clase de gastos, incluso de personal, que origine la formación continuada de personal sanitario, llevada a cabo mediante Convenios entre el Ministerio de Sanidad y Consumo y el Consejo General de Colegios Oficiales de Médicos, o Sociedades científicas o cualquiera otra institución privada sin ánimo de lucro.</w:t>
      </w:r>
    </w:p>
    <w:p w:rsidR="00FE0907" w:rsidRDefault="00FE0907" w:rsidP="00FE0907">
      <w:pPr>
        <w:pStyle w:val="TextoNormal"/>
      </w:pPr>
      <w:r>
        <w:t xml:space="preserve">La Generalidad considera procedente la territorialización de la gestión de estas partidas.  No obstante, es obvio que la primera no afecta a las competencias de Cataluña, pues se destina a centros dependientes de la Administración del Estado.  En cuanto a la segunda, sería procedente asignar la gestión de las subvenciones a la Generalidad cuando tengan </w:t>
      </w:r>
      <w:r>
        <w:lastRenderedPageBreak/>
        <w:t>como ámbito el territorio de Cataluña, algo que no resulta de la partida presupuestaria en si misma considerada.</w:t>
      </w:r>
    </w:p>
    <w:p w:rsidR="00FE0907" w:rsidRDefault="00FE0907" w:rsidP="00FE0907">
      <w:pPr>
        <w:pStyle w:val="TextoNormal"/>
      </w:pPr>
      <w:r>
        <w:t>k) Servicio 09, Programa 413 A, Concepto 421: Transferencias Corrientes al INSALUD para toda clase de gastos, incluso de personal, que ocasione la detección de anticuerpos del virus de inmunodeficiencia humana así como del citado virus, mediante Convenio con la Dirección General de Planificación Sanitaria del Ministerio de Sanidad y Consumo.  (Se distingue entre servicios gestionados directamente -Subconcepto 01- y servicios con gestión transferida -Subconcepto 02-); Concepto 422; idem para toda clase de gastos, incluso de personal, que origine el Plan de Prevención de Minusvalías (con la misma distinción de Subconceptos); Concepto 423: idem, para toda clase de gastos, incluso de personal, que origine el Plan de Atención al Embarazo (con la misma distinción de Subconceptos); Concepto 424: idem, para el Programa de diagnóstico prenatal (con idéntica distinción de Subconceptos); Concepto 425: idem para el Programa de Acción contra la Hepatitis B, así como Area Neonatal y del Embarazo y Grupos de Riesgo (con idéntica distinción de Subconceptos); Concepto 426: idem, para asistencia sanitaria a domicilio (con la misma distinción de Subconceptos); Concepto 427: Idem, para formación continuada del personal sanitario (con la misma distinción de Subconceptos); Concepto 428: Idem, para el Plan de Salud Buco-dental (con la misma distinción de Subconceptos); Concepto 429: Idem para los Planes de Prevención y Control de Enfermedades Cardiovasculares y Cáncer.  (Distinguiendo en uno y otro Plan los Servicios gestionados directamente -Subconceptos 01 y 11- y los Servicios con gestión transferida -Subconceptos 02 y 12-).</w:t>
      </w:r>
    </w:p>
    <w:p w:rsidR="00FE0907" w:rsidRDefault="00FE0907" w:rsidP="00FE0907">
      <w:pPr>
        <w:pStyle w:val="TextoNormal"/>
      </w:pPr>
      <w:r>
        <w:t>La impugnación de estas partidas se apoya sustancialmente en los mismos fundamentos jurídicos que la de los Conceptos equivalentes de los Presupuestos Generales del Estado para 1988.</w:t>
      </w:r>
    </w:p>
    <w:p w:rsidR="00FE0907" w:rsidRDefault="00FE0907" w:rsidP="00FE0907">
      <w:pPr>
        <w:pStyle w:val="TextoNormal"/>
      </w:pPr>
      <w:r>
        <w:t>Como dijimos respecto de estos últimos y es preciso reiterar ahora, el Estado ostenta en la materia el título de intervención que le confiere el art.  149.1.16ª y 17ª C.E., siempre que no exceda de las bases y coordinación de la sanidad.  Del examen de las partidas presupuestarias, que se refieren a determinados planes y programas de acciones sanitarias especiales, obviamente sin indicar su extensión y alcance, no es posible prejuzgar que el Estado se haya extralimitado en el ejercicio de sus competencias, en cuando a la adopción de tales programas. De donde se sigue que la consignación de recursos presupuestarios específicamente destinados a su financiación no vulnera el orden constitucional y estatutario de competencias.</w:t>
      </w:r>
    </w:p>
    <w:p w:rsidR="00FE0907" w:rsidRDefault="00FE0907" w:rsidP="00FE0907">
      <w:pPr>
        <w:pStyle w:val="TextoNormal"/>
      </w:pPr>
      <w:r>
        <w:t>La única excepción a esa regla viene constituida por el Concepto 427, relativo a gastos de toda clase, incluso de personal, para formación continuada de personal sanitario. Más que ante la financiación específica de una acción sanitaria especial, nos encontramos aquí -Subconcepto 02- con una partida referida al funcionamiento regular de servicios transferidos, en el que la consignación presupuestaria centralizada a un órgano de la Administración estatal, el INSALUD en este caso, como una mera instancia de intermediación financiera vulnera las competencias de la Generalidad de Cataluña y por ello debe declararse inconstitucional.</w:t>
      </w:r>
    </w:p>
    <w:p w:rsidR="00FE0907" w:rsidRDefault="00FE0907" w:rsidP="00FE0907">
      <w:pPr>
        <w:pStyle w:val="TextoNormal"/>
      </w:pPr>
      <w:r>
        <w:t>Por lo que se refiere a las demás partidas de este Capítulo el problema planteado, aquél sobre el que insiste la representación de la Generalidad, es el de las competencias para la gestión de las Transferencias impugnadas y, más en concreto, el de cómo deben realizarse esas transferencias. La Generalidad impugna que se lleve a cabo por intermediación del INSALUD y mediante Convenios con la Dirección General de Planificación Sanitaria del Ministerio de Sanidad y Consumo.</w:t>
      </w:r>
    </w:p>
    <w:p w:rsidR="00FE0907" w:rsidRDefault="00FE0907" w:rsidP="00FE0907">
      <w:pPr>
        <w:pStyle w:val="TextoNormal"/>
      </w:pPr>
      <w:r>
        <w:lastRenderedPageBreak/>
        <w:t>Sobre el primer argumento hay que dar la razón a la Generalidad de Cataluña.  Sin duda la gestión de los recursos en cuestión, en el ámbito territorial de Cataluña, corresponde a la Generalidad, en virtud de las competencias que ha asumido por disposición del art.  17 del E.A.C.  Indiscutible esta premisa, que el tenor de los propios Conceptos presupuestarios vienen a reconocer, al distinguir entre Servicios gestionados directamente por el INSALUD y Servicios transferidos, no se entiende por qué las Transferencias se destinan al INSALUD en vez de a la entidad gestora de la Comunidad Autónoma, para que ésta, en ejercicio de su autonomía, las gestione como estime procedente, respetando la unidad de Caja de la Seguridad Social, su finalidad y la normativa estatal básica. La intermediación del INSALUD, aparte de plantear problemas de eficacia administrativa, a las que el recurso de la Generalidad alude, invade las competencias de la Comunidad Autónoma para la gestión de las dotaciones que le corresponden por tales Conceptos, en conexión con las potestades de autoorganización de sus Servicios. De ahí que estas partidas, en concreto los Subconceptos de las mismas relativos a los Servicios transferidos, deban considerarse en sí mismas contrarias al orden de competencias.</w:t>
      </w:r>
    </w:p>
    <w:p w:rsidR="00FE0907" w:rsidRDefault="00FE0907" w:rsidP="00FE0907">
      <w:pPr>
        <w:pStyle w:val="TextoNormal"/>
      </w:pPr>
      <w:r>
        <w:t>En cambio, no puede ser estimada la alegación que objeta la consignación efectiva de los créditos mediante Convenio con el Ministerio de Sanidad y Consumo.  Sin duda, ésta no es la única forma de poner a disposición de la Generalidad los fondos que le corresponden y, como es evidente, no puede utilizarse la exigencia de Convenio para privar a la Generalidad de sus competencias de gestión.  Pero en una materia en que el Estado tiene reservadas competencias sobre las bases y la coordinación, la fórmula del Convenio puede ser válida y útil para asegurar la acción conjunta de las instituciones estatales y autonómicas. Siempre, claro es, que los Convenios se ajusten a los principios y límites que hemos resumido con carácter general en el fundamento jurídico 10º.</w:t>
      </w:r>
    </w:p>
    <w:p w:rsidR="00FE0907" w:rsidRDefault="00FE0907" w:rsidP="00FE0907">
      <w:pPr>
        <w:pStyle w:val="TextoNormal"/>
      </w:pPr>
      <w:r>
        <w:t>l) Servicio 10 (Delegación del Gobierno para el Plan Nacional sobre Drogas), Programa 313 G (Plan Nacional sobre Drogas), Concepto 453: Transferencias a Comunidades Autónomas para toda clase de gastos derivados del sistema estatal de información sobre toxicomanías; Concepto 454.01: Idem para toda clase de gastos de desarrollo de programas de prevención para colectivos de alto riesgo en medios socio-educativos para menores de 18 años; Concepto 454.02: Idem, para programas de rehabilitación en medios socio-laborales para mayores de 18 años; Concepto 455: Idem, para toda clase de gastos derivados del mantenimiento de unidades de desintoxicación de drogadictos; Concepto 456: Idem, para toda clase de gastos derivados del desarrollo de programas de rehabilitación de reclusos toxicómanos.</w:t>
      </w:r>
    </w:p>
    <w:p w:rsidR="00FE0907" w:rsidRDefault="00FE0907" w:rsidP="00FE0907">
      <w:pPr>
        <w:pStyle w:val="TextoNormal"/>
      </w:pPr>
      <w:r>
        <w:t>La impugnación de todas estas partidas se funda en la consideración de que se ha expresado con excesivo detalle, incluso a nivel de Subconcepto, la finalidad de las partidas previstas, lo que excede de las competencias del Estado sobre las bases de la sanidad y supone una invasión de las competencias de desarrollo legislativo y ejecución de la Comunidad Autónoma de Cataluña.  Ahora bien, el Plan Nacional sobre Drogas, cuya existencia y validez en términos generales no cuestiona la recurrente, se desglosa lógicamente en un conjunto de programas que forman un todo inescindible con los propios objetivos del Plan, máxime si se tiene en cuenta la trascendencia y dificultad que entraña la lucha contra la droga.  En este sentido, no puede decirse que las especificación de aquellos Programas, es decir, su mero desglose, al que acompaña naturalmente la correspondiente financiación específica, constituya una extralimitación de las competencias del Estado sobre las bases y -no se olvide- la coordinación de la sanidad.  Dicho sea sin prejuzgar el desarrollo normativo que de los Programas se pueda hacer en ejecución de dichas partidas, por lo que el recurso de inconstitucionalidad debe ser desestimado en estos aspectos.</w:t>
      </w:r>
    </w:p>
    <w:p w:rsidR="00FE0907" w:rsidRDefault="00FE0907" w:rsidP="00FE0907">
      <w:pPr>
        <w:pStyle w:val="TextoNormal"/>
      </w:pPr>
      <w:r>
        <w:lastRenderedPageBreak/>
        <w:t>ll) Servicio 10, Programa 313 G, Concepto 401: Transferencias Corrientes a familias e instituciones sin fines de lucro, para organizaciones no gubernamentales sin ánimo de lucro, para el desarrollo de Programas de ámbito estatal en el marco de las prioridades del Plan Nacional sobre Drogas.</w:t>
      </w:r>
    </w:p>
    <w:p w:rsidR="00FE0907" w:rsidRDefault="00FE0907" w:rsidP="00FE0907">
      <w:pPr>
        <w:pStyle w:val="TextoNormal"/>
      </w:pPr>
      <w:r>
        <w:t>Entiende la Generalidad de Cataluña que esta partida debe ser territorializada en favor de las Comunidades Autónomas con competencias de ejecución en materia de sanidad. En principio habría que darle la razón, si no fuera porque las subvenciones van destinadas al desarrollo de Programas "de ámbito estatal".  Evidentemente, no basta con calificar de esta manera un Programa por el hecho de que se desarrolle en todo o en buena parte del territorio nacional, si puede igualmente desarrollarse en el ámbito de cada Comunidad Autónoma, para atraer las competencias de fomento a la órbita del Estado. Si así fuera se podría producir una alteración artificial del orden de competencias atribuyendo a cualquier Programa esa calificación.  Pero es también evidente que existen Programas que, por su naturaleza o características intrínsecas, no admiten las compartimentación de su gestión en cada Comunidad Autónoma, o en los que su gestión descentralizada supone graves riesgos de ineficacia para el logro de los objetivos propuestos.  En estos casos excepcionales los Programas "de ámbito estatal" forman parte de las competencias básicas del Estado, o, en todo caso, desbordan las propias de las Comunidades Autónomas.  Por estas razones y dado que no es posible deducir de la partida presupuestaria mayores precisiones, se impone declarar su constitucionalidad y desestimar la impugnación.</w:t>
      </w:r>
    </w:p>
    <w:p w:rsidR="00FE0907" w:rsidRDefault="00FE0907" w:rsidP="00FE0907">
      <w:pPr>
        <w:pStyle w:val="TextoNormal"/>
      </w:pPr>
      <w:r>
        <w:t>m) Servicio 10, Programa 313 G, Concepto 422: Transferencias Corrientes al INSALUD, para toda clase de gastos, incluso de personal, que originen las unidades de desintoxicación en Servicios transferidos.</w:t>
      </w:r>
    </w:p>
    <w:p w:rsidR="00FE0907" w:rsidRDefault="00FE0907" w:rsidP="00FE0907">
      <w:pPr>
        <w:pStyle w:val="TextoNormal"/>
      </w:pPr>
      <w:r>
        <w:t>Por las mismas razones expuestas en el anterior epígrafe k), procede declarar que esta partida presupuestaria es contraria al orden constitucional de competencias.</w:t>
      </w:r>
    </w:p>
    <w:p w:rsidR="00FE0907" w:rsidRDefault="00FE0907" w:rsidP="00FE0907">
      <w:pPr>
        <w:pStyle w:val="TextoNormal"/>
      </w:pPr>
      <w:r>
        <w:t>n) Servicio 11 (Secretaria General de Asistencia Sanitaria), Programa 412 F (Dirección y coordinación de la asistencia sanitaria), Concepto 421: Transferencias Corrientes al INSALUD para gastos que origine la adscripción, puesta en marcha y funcionamiento de sus servicios de asistencia psiquiátrica y salud mental (hospitalarios y extrahospitalarios) (distinguiendo entre Servicios gestionados directamente -Subconcepto 421.10- y Servicios de gestión transferida -Subconcepto 421.02-); Concepto 423: Idem, para todos los gastos que origine la asistencia religiosa católica en sus centros hospitalarios conforme al Acuerdo suscrito entre los Ministerio de Justicia y Sanidad y Consumo y la Conferencia Episcopal Española (con la misma distinción de Subconceptos); Concepto 427: Idem, para todos los gastos, incluso de personal, que origine la protección radiológica y la puesta en marcha de unidades de T.P. radiológica (con la misma diferenciación de Subconceptos).</w:t>
      </w:r>
    </w:p>
    <w:p w:rsidR="00FE0907" w:rsidRDefault="00FE0907" w:rsidP="00FE0907">
      <w:pPr>
        <w:pStyle w:val="TextoNormal"/>
      </w:pPr>
      <w:r>
        <w:t>En los Conceptos 421 y 427 nos encontramos no con partidas destinadas a desarrollar programas incluídos en la planificación sanitaria, sino con transferencias destinadas al funcionamiento regular de los Servicios de la Seguridad Social que, en parte, han sido transferidos a las Comunidades Autónomas.  Por ello, la consignación presupuestaria centralizada en favor del INSALUD, como órgano de mera intermediación financiera para la distribución de los fondos a los Servicios transferidos a la Generalidad de Cataluña, es contraria al orden de competencias y, por ello, inconstitucional.</w:t>
      </w:r>
    </w:p>
    <w:p w:rsidR="00FE0907" w:rsidRDefault="00FE0907" w:rsidP="00FE0907">
      <w:pPr>
        <w:pStyle w:val="TextoNormal"/>
      </w:pPr>
      <w:r>
        <w:t xml:space="preserve">En lo que respecta al Concepto 423, el condicionamiento finalista que en esta partida se establece (asistencia religiosa católica en los centros hospitalarios) es constitucionalmente legítimo (art. 16.3 C.E.). Lo que es reprochable, desde la perspectiva del orden constitucional de competencias, es la intermediación del INSALUD para la distribución de los fondos a los servicios que han sido transferidos a las Comunidades Autónomas, en este </w:t>
      </w:r>
      <w:r>
        <w:lastRenderedPageBreak/>
        <w:t>caso a Cataluña.  Además, estas dotaciones deberán integrarse en la denominada financiación incondicionada de las Comunidades Autónomas en aquellos casos en que normativamente se haya establecido la citada asistencia como obligación propia dentro del régimen general de prestación del servicio sanitario, por tratarse de dotaciones destinadas a la cobertura del funcionamiento regular de los Servicios.</w:t>
      </w:r>
    </w:p>
    <w:p w:rsidR="00FE0907" w:rsidRDefault="00FE0907" w:rsidP="00FE0907">
      <w:pPr>
        <w:pStyle w:val="TextoNormal"/>
      </w:pPr>
      <w:r>
        <w:t>Por estas razones, como declarábamos en el fundamento jurídico 12 respecto de las partidas equivalentes de los Presupuestos Generales del Estado para 1988, las partidas presupuestarias mencionadas han de declararse inconstitucionales.</w:t>
      </w:r>
    </w:p>
    <w:p w:rsidR="00FE0907" w:rsidRDefault="00FE0907" w:rsidP="00FE0907">
      <w:pPr>
        <w:pStyle w:val="TextoNormal"/>
      </w:pPr>
      <w:r>
        <w:t>ñ) Servicio 11, Programa 412 F, Concepto 422: Transferencias Corrientes al INSALUD para todos los gastos, incluso personal, que origine la asistencia sanitaria de los afectados por el síndrome tóxico; Concepto 424: Idem, al INSALUD para investigación sanitaria F.I.S.S.S.; Concepto 425: Idem, al INSALUD para todos los gastos, incluso de personal, que origine la investigación sanitaria sobre el síndrome tóxico y materias relacionadas.  F.I.S.S.S.</w:t>
      </w:r>
    </w:p>
    <w:p w:rsidR="00FE0907" w:rsidRDefault="00FE0907" w:rsidP="00FE0907">
      <w:pPr>
        <w:pStyle w:val="TextoNormal"/>
      </w:pPr>
      <w:r>
        <w:t>Al igual que ya dijimos respecto de partidas equivalentes de los Presupuestos para 1988, se trata de partidas presupuestarias para el desarrollo de programas de investigación y asistencia sanitaria conexas a un Plan nacional de asistencia a los afectados por el denominado "síndrome tóxico" en que, por su naturaleza y características, resulta justificada, de acuerdo con nuestra doctrina, su consignación centralizada en los Presupuestos Generales del Estado, tanto para asegurar su plena efectividad dentro de la ordenación básica y de coordinación de la Sanidad como para garantizar iguales posibilidades de obtención y disfrute por parte de sus potenciales destinatarios en todo el territorio nacional.</w:t>
      </w:r>
    </w:p>
    <w:p w:rsidR="00FE0907" w:rsidRDefault="00FE0907" w:rsidP="00FE0907">
      <w:pPr>
        <w:pStyle w:val="TextoNormal"/>
      </w:pPr>
      <w:r>
        <w:t>Otra cosa es que la Generalidad pretenda una financiación adicional de sus servicios de asistencia sanitaria por estos conceptos. Pero, sin entrar a conocer si esa financiación adicional es o no jurídicamente procedente, lo que no compete dilucidar a este Tribunal, es obvio que su ausencia no puede imputarse a unas partidas presupuestarias mediante las que el Estado ejerce legítimamente sus competencias dentro de las bases y coordinación general de la sanidad (art. 149.1.16ª C.E.).</w:t>
      </w:r>
    </w:p>
    <w:p w:rsidR="00FE0907" w:rsidRDefault="00FE0907" w:rsidP="00FE0907">
      <w:pPr>
        <w:pStyle w:val="TextoNormal"/>
      </w:pPr>
      <w:r>
        <w:t>K) De la SECCIÓN 27 (MINISTERIO DE ASUNTOS SOCIALES).</w:t>
      </w:r>
    </w:p>
    <w:p w:rsidR="00FE0907" w:rsidRDefault="00FE0907" w:rsidP="00FE0907">
      <w:pPr>
        <w:pStyle w:val="TextoNormal"/>
      </w:pPr>
      <w:r>
        <w:t>a) Servicio 01 (Ministerio, Subsecretaria y Servicios Generales), Programa 313 L (Servicios sociales del Estado), Concepto 481: Transferencias a familias e instituciones sin fines de lucro para los fines de interés social regulados en el Real Decreto 825/1988, de 15 de julio.</w:t>
      </w:r>
    </w:p>
    <w:p w:rsidR="00FE0907" w:rsidRDefault="00FE0907" w:rsidP="00FE0907">
      <w:pPr>
        <w:pStyle w:val="TextoNormal"/>
      </w:pPr>
      <w:r>
        <w:t>La consignación presupuestaria a que se refiere este Concepto específico responde a la asignación tributaria establecida legalmente (Ley 33/1987, de 23 de diciembre, de Presupuestos Generales del Estado para 1988, Disposición adicional quinta, apartado 1) constituida por un porcentaje, fijado en cada Ley de Presupuestos, de la cuota íntegra del Impuesto sobre la Renta de las Personas Físicas y que ha de destinarse "a fines religiosos y a otros fines de interés social que se determinarán reglamentariamente" de acuerdo con la voluntad manifestada por sujetos pasivos en su declaración del impuesto.</w:t>
      </w:r>
    </w:p>
    <w:p w:rsidR="00FE0907" w:rsidRDefault="00FE0907" w:rsidP="00FE0907">
      <w:pPr>
        <w:pStyle w:val="TextoNormal"/>
      </w:pPr>
      <w:r>
        <w:t>Las materias a que se refieren estas ayudas o subvenciones se incluyen, por expresa prescripción legal, en el Concepto de asistencia social, sobre el que las Comunidades Autónomas han asumido competencias exclusivas, pero nada impide, ciertamente, que el Estado destine una parte de sus recursos a la asistencia social, máxime si ésta es la voluntad expresada por los contribuyentes como sucede en este caso con los recursos procedentes del I.R.P.F. destinados a los fines de interés social que regula el Real Decreto 825/1988, de 15 de julio.</w:t>
      </w:r>
    </w:p>
    <w:p w:rsidR="00FE0907" w:rsidRDefault="00FE0907" w:rsidP="00FE0907">
      <w:pPr>
        <w:pStyle w:val="TextoNormal"/>
      </w:pPr>
      <w:r>
        <w:lastRenderedPageBreak/>
        <w:t>Es evidente que el Estado puede intervenir en este campo cuando le habiliten para ello otros títulos competenciales específicos.  Por ejemplo el que atañe a las relaciones internacionales (art.  149.1.3 C.E.), cuando se trata de programas internacionales de ayuda. De hecho, una parte de los recursos a que se refiere el Real Decreto 825/1988 se destina a programas de cooperación internacional al desarrollo (art. 2, segundo párrafo). Pero estos recursos, conforme a lo dispuesto en el art.  3.1 del citado Real Decreto, se consignan en el Presupuesto del Ministerio de Asuntos Exteriores (Sección 12, Servicio 03, Programa 134A, Concepto 481 de los Presupuestos Generales para 1989, que no ha sido impugnado). La partida a que ahora nos referimos está destinada, en cambio, por la directa remisión que hace el Real Decreto 825/1988, a "programas de cooperación y voluntariado sociales desarrollados por la Cruz Roja Española y otras organizaciones no gubernamentales y entidades sociales, siempre que tengan ámbito estatal y carezcan de fín de lucro, dirigidos a ancianos, disminuídos físicos, psíquicos o sensoriales, personas incapacitadas para el trabajo o incursas en toxicomanía o drogodependencia, marginados sociales y en general actividades de solidaridad social ante situaciones de necesidad".</w:t>
      </w:r>
    </w:p>
    <w:p w:rsidR="00FE0907" w:rsidRDefault="00FE0907" w:rsidP="00FE0907">
      <w:pPr>
        <w:pStyle w:val="TextoNormal"/>
      </w:pPr>
      <w:r>
        <w:t>Del tenor mismo de la disposición reglamentaria a la que se remite la partida presupuestaria impugnada, se desprende que se trata de programas o planes de ayudas que, por su naturaleza y objetivos y por el carácter de las instituciones o entidades receptoras de las ayudas, tienen una dimensión de ámbito nacional no vinculados a una política de la acción gubernamental, lo que justifica su consignación centralizada en los Presupuestos Generales del Estado; y ello tanto por las dificultades de regionalizar o territorializar subvenciones o ayudas dirigidas a fines de interés social como las que se especifican en el citado Real Decreto, conexos lógicamente, como debe ser, al desarrollo de programas o planes nacionales que por sus dimensiones o por sus efectos sólo pueden realizarse en el ámbito estatal, como por la necesidad de asegurar su plena efectividad y para garantizar las mismas posibilidades de obtención y disfrute por parte de los potenciales destinatarios en todo el territorio nacional.  Por ello debe ser desestimada la impugnación y declarada la constitucionalidad de la partida.</w:t>
      </w:r>
    </w:p>
    <w:p w:rsidR="00FE0907" w:rsidRDefault="00FE0907" w:rsidP="00FE0907">
      <w:pPr>
        <w:pStyle w:val="TextoNormal"/>
      </w:pPr>
      <w:r>
        <w:t>b) Servicio 01, Programa 313 L, Concepto 486: Transferencia a familias e instituciones sin fines de lucro para financiación de Programas mediante Convenios-Programas.</w:t>
      </w:r>
    </w:p>
    <w:p w:rsidR="00FE0907" w:rsidRDefault="00FE0907" w:rsidP="00FE0907">
      <w:pPr>
        <w:pStyle w:val="TextoNormal"/>
      </w:pPr>
      <w:r>
        <w:t>Entiende la Generalidad de Cataluña que la materia de asistencia social es competencia exclusiva de la Comunidad Autónoma por lo que no está justificado asignar los recursos presupuestarios para subvenciones destinadas a esa finalidad a un órgano de la Administración del Estado, debiendo territorializarse los créditos correspondientes. Sin embargo, como declaró este Tribunal en la STC 146/1986 (fundamento jurídico 7º) puede ser legítima alguna intervención estatal directa en la gestión de la concesión de ayudas en materia de asistencia social, pero ello "sólo en la medida en que los programas correspondientes, por su carácter estatal, no pudieran "regionalizarse" en su gestión". Es decir, en aquellos casos en que el ámbito del programa por su naturaleza, efectos y dimensión desborde las posibilidades de actuación de las Comunidades Autónomas, de forma que sólo puedan conseguirse razonablemente sus objetivos mediante una gestión centralizada por parte de órganos de la Administración del Estado.  No basta, sin embargo, para justificar constitucionalmente la centralización de estas subvenciones, la mera calificación como estatal del Programa, sino que, al tratarse de una excepción a la regla de la competencia autonómica exclusiva en materia de asistencia social, la intervención estatal ha de estar debidamente justificada en la imposibilidad de la consecución del objetivo previsto sin esa gestión centralizada.</w:t>
      </w:r>
    </w:p>
    <w:p w:rsidR="00FE0907" w:rsidRDefault="00FE0907" w:rsidP="00FE0907">
      <w:pPr>
        <w:pStyle w:val="TextoNormal"/>
      </w:pPr>
      <w:r>
        <w:lastRenderedPageBreak/>
        <w:t>En el presente caso, del carácter genérico de la partida presupuestaria no cabe deducir esa excepcionalidad constitucionalmente exigible al destino de la partida impugnada, ni ello se puede deducir tampoco del contexto en la que se enmarca, ni por el Abogado del Estado se ofrecen datos que lleven a la conclusión de que tal restricción resultaría implícita de la propia rúbrica presupuestaria. Por ello, ha de declararse inconstitucional, por contrario al orden competencial, la presente partida en la medida en que no incluye únicamente Programas que exijan una gestión centralizada y justifiquen por ello la consignación directa de las subvenciones en favor de organismos de la Administración del Estado.</w:t>
      </w:r>
    </w:p>
    <w:p w:rsidR="00FE0907" w:rsidRDefault="00FE0907" w:rsidP="00FE0907">
      <w:pPr>
        <w:pStyle w:val="TextoNormal"/>
      </w:pPr>
      <w:r>
        <w:t>c) Servicio 01, Programa 313 L, Concepto 781: Transferencias de Capital a familias e instituciones sin fines de lucro para la supresión de barreras arquitectónicas.</w:t>
      </w:r>
    </w:p>
    <w:p w:rsidR="00FE0907" w:rsidRDefault="00FE0907" w:rsidP="00FE0907">
      <w:pPr>
        <w:pStyle w:val="TextoNormal"/>
      </w:pPr>
      <w:r>
        <w:t>En aplicación, asímismo, de los fundamentos expuestos en el anterior epígrafe b), se debe concluir que esta partida supone una extralimitación de las competencias del Estado y vulnera las competencias de la Generalidad de Cataluña en materia de asistencia social, pues parece evidente que no existe impedimento para la descentralización de Programas destinados a la supresión de barreras arquitectónicas.  El Estado carece, pues, de competencias en este aspecto, por lo que ha de declararse la inconstitucionalidad de la partida presupuestaria.</w:t>
      </w:r>
    </w:p>
    <w:p w:rsidR="00FE0907" w:rsidRDefault="00FE0907" w:rsidP="00FE0907">
      <w:pPr>
        <w:pStyle w:val="TextoNormal"/>
      </w:pPr>
      <w:r>
        <w:t>d) Servicio 03 (Dirección General de Acción Social), Programa 313 L, Concepto 451: Transferencias Corrientes a Comunidades Autónomas para el desarrollo de prestaciones básicas de servicios sociales de las Corporaciones Locales, mediante Convenios-Programa con las Comunidades Autónomas; Concepto 457: Idem a Comunidades Autónomas para proyectos propios o concertados con Corporaciones Locales e instituciones sin fines de lucro en desarrollo de Programas piloto para situaciones de necesidad.</w:t>
      </w:r>
    </w:p>
    <w:p w:rsidR="00FE0907" w:rsidRDefault="00FE0907" w:rsidP="00FE0907">
      <w:pPr>
        <w:pStyle w:val="TextoNormal"/>
      </w:pPr>
      <w:r>
        <w:t>Estas partidas prevén la intervención del Estado, mediante Convenios-Programa con las Comunidades Autónomas o mediante subvenciones condicionadas en un campo en el que la competencia exclusiva de las Comunidades Autónomas en materia de asistencia social concurre con la competencia básica del Estado sobre el régimen local (STC 214/1989).  Por consiguiente, como ha quedado dicho, la vía del Convenio-Programa, como fórmula cooperativa para articular la actuación de las diversas Administraciones públicas, no supone un condicionamiento constitucionalmente ilegítimo que invada las competencias de las Comunidades Autónomas, en este caso la de Cataluña, por lo que las partidas son constitucionales.</w:t>
      </w:r>
    </w:p>
    <w:p w:rsidR="00FE0907" w:rsidRDefault="00FE0907" w:rsidP="00FE0907">
      <w:pPr>
        <w:pStyle w:val="TextoNormal"/>
      </w:pPr>
      <w:r>
        <w:t>e) Servicio 03, Programa 313 L, Concepto 486: Transferencias Corrientes a familias e instituciones sin fines de lucro, para financiar Programas estatales e internacionales.</w:t>
      </w:r>
    </w:p>
    <w:p w:rsidR="00FE0907" w:rsidRDefault="00FE0907" w:rsidP="00FE0907">
      <w:pPr>
        <w:pStyle w:val="TextoNormal"/>
      </w:pPr>
      <w:r>
        <w:t>Conforme a lo expuesto en los epígrafes anteriores, esta partida no puede estimarse, en sí misma, contraria al orden constitucional de competencias.  Naturalmente, no se prejuzga con ello la legitimidad de la gestión estatal de estas subvenciones, que depende de que los programas a que van destinadas no puedan regionalizarse en su gestión, lo que habrá de quedar justificado en cada caso. Pero el Concepto presupuestario, ceñido a "Programas estatales e internacionales" debe declararse conforme al orden constitucional de competencias. Esta declaración es aún más fuerte en el caso del Subconcepto 02 de esta partida (para Programas de refugiados y asilados concertados con Cruz Roja y Comisión Española de Ayudas al Refugiado), en virtud de las competencias que reserva al Estado el art. 149.1.2º C.E.</w:t>
      </w:r>
    </w:p>
    <w:p w:rsidR="00FE0907" w:rsidRDefault="00FE0907" w:rsidP="00FE0907">
      <w:pPr>
        <w:pStyle w:val="TextoNormal"/>
      </w:pPr>
      <w:r>
        <w:t>f) Organismo 208 (Instituto de la Juventud), Programa 455 A (Promoción y Servicios a la Juventud), Concepto 226.09: Gastos diversos en bienes corrientes y servicios: otros gastos.</w:t>
      </w:r>
    </w:p>
    <w:p w:rsidR="00FE0907" w:rsidRDefault="00FE0907" w:rsidP="00FE0907">
      <w:pPr>
        <w:pStyle w:val="TextoNormal"/>
      </w:pPr>
      <w:r>
        <w:lastRenderedPageBreak/>
        <w:t>La Generalidad de Cataluña impugna esta partida, que es el principal capítulo de los gastos del Instituto de la Juventud, porque, a pesar de su apariencia, no resulta aventurado entender que a través de ella se atiende a actividades tales como vacaciones, ayudas, premio o becas, que interfieran las competencias de la Comunidad Autónoma.  Se funda esta impugnación en el art.  9.26 del E.A.C., que atribuye a la Comunidad Autónoma de Cataluña competencia exclusiva sobre "juventud".</w:t>
      </w:r>
    </w:p>
    <w:p w:rsidR="00FE0907" w:rsidRDefault="00FE0907" w:rsidP="00FE0907">
      <w:pPr>
        <w:pStyle w:val="TextoNormal"/>
      </w:pPr>
      <w:r>
        <w:t>Un título competencial tan genérico e indeterminado como el señalado, que obviamente tiene relación con el art.  48 C.E., según el cual "los Poderes Públicos promoverán las condiciones para la participación libre y eficaz de la juventud en el desarrollo político, social, económico y cultural", habilita a la Generalidad para llevar a cabo actuaciones tendentes a ese objetivo, siempre que no invada otras competencias del Estado.  Pero no puede considerarse un obstáculo para que el propio Estado persiga ese mismo objetivo constitucional, a lo que está también obligado, ejercitando sus propias competencias sectoriales, en la medida en que puedan ser utilizadas para la "promoción de la juventud". En este sentido, es evidente que el Estado tiene algunos títulos competenciales -desde las relaciones internacionales a la legislación civil y laboral, desde los servicios educativos a los culturales o inclusive servicios sociales que no fueran regionalizables, etc.- a través de los que puede desarrollar lo que podríamos definir como su política de promoción de la juventud. Por lo demás, la partida se destina a la financiación de gastos corrientes del Organismo. De ahí que la impugnación deba ser desestimada.</w:t>
      </w:r>
    </w:p>
    <w:p w:rsidR="00FE0907" w:rsidRDefault="00FE0907" w:rsidP="00FE0907">
      <w:pPr>
        <w:pStyle w:val="TextoNormal"/>
      </w:pPr>
      <w:r>
        <w:t>g) Organismo 208, Programa 455 A, Concepto 481: Transferencias Corrientes a asociaciones juveniles y entidades de ámbito nacional prestadoras de servicios a la juventud; Concepto 781: Transferencias de Capital asociaciones juveniles de ámbito nacional prestadoras de servicios a la juventud.</w:t>
      </w:r>
    </w:p>
    <w:p w:rsidR="00FE0907" w:rsidRDefault="00FE0907" w:rsidP="00FE0907">
      <w:pPr>
        <w:pStyle w:val="TextoNormal"/>
      </w:pPr>
      <w:r>
        <w:t>En opinión de la Generalidad, estas Transferencias vulneran su competencia establecida en el art.  9.26 del E.A.C., porque es contraria a la "natural articulación" de los movimientos juveniles, que habría de ir "de abajo a arriba", financiándose las entidades superiores con las aportaciones voluntarias de los grupos de base. En cambio, con estas subvenciones se potencia la "creación de infraestructuras centralizadas", cuyos gastos no alcanzan a financiar las actividades de los niveles inferiores, situación que se agrava porque las subvenciones que el Estado concede a las organizaciones juveniles suelen ser muy superiores a las que pueden otorgar las Comunidades Autónomas.</w:t>
      </w:r>
    </w:p>
    <w:p w:rsidR="00FE0907" w:rsidRDefault="00FE0907" w:rsidP="00FE0907">
      <w:pPr>
        <w:pStyle w:val="TextoNormal"/>
      </w:pPr>
      <w:r>
        <w:t>Pero toda esta argumentación de la Generalidad cae por su base porque, como hemos dicho, no son sólo las Comunidades Autónomas las que pueden establecer su política de la juventud, sino también el Estado, siempre que no interfiera el ejercicio de las competencias autonómicas.  De estas competencias no se deduce necesariamente el modelo de articulación de los movimientos juveniles que la Generalidad considera "natural". Y tampoco se ve en qué medida las ayudas a las asociaciones de ámbito estatal interfieren o menoscaban el ejercicio de las competencias autonómicas, salvo que se trate de ayudas destinadas al fomento de actividades o servicios determinados que se reconduzcan a esa esfera de competencias, algo que los Conceptos presupuestarios recurridos no indican. Por tanto, la impugnación también debe desestimarse en este punto.</w:t>
      </w:r>
    </w:p>
    <w:p w:rsidR="00FE0907" w:rsidRDefault="00FE0907" w:rsidP="00FE0907">
      <w:pPr>
        <w:pStyle w:val="TextoNormal"/>
      </w:pPr>
    </w:p>
    <w:p w:rsidR="00FE0907" w:rsidRDefault="00FE0907" w:rsidP="00FE0907">
      <w:pPr>
        <w:pStyle w:val="TextoNormal"/>
      </w:pPr>
      <w:r w:rsidRPr="00FE0907">
        <w:rPr>
          <w:rStyle w:val="NumeroAFNegritaCaracter"/>
        </w:rPr>
        <w:t>14</w:t>
      </w:r>
      <w:r>
        <w:t xml:space="preserve">. Impugna la Generalidad de Cataluña dos preceptos del articulado de las Leyes de Presupuestos Generales del Estado para 1988 y 1989 (arts.  55 y 45, respectivamente, que con idéntico contenido normativo, disponen lo siguiente: "Durante 1988 (1989), las pensiones asistenciales que, en virtud de la Ley de 21 de julio de 1969 y del Real Decreto 2.620/1981, de 24 de julio, puedan reconocerse con cargo a créditos de acción social, a </w:t>
      </w:r>
      <w:r>
        <w:lastRenderedPageBreak/>
        <w:t>quienes reúnan los requisitos legales establecidos, se fijarán en la cuantía de 17.200,- (19.400,-) pesetas íntegras mensuales, abonándose dos pagas extraordinarias del mismo importe que se devengarán en los meses de junio y diciembre.</w:t>
      </w:r>
    </w:p>
    <w:p w:rsidR="00FE0907" w:rsidRDefault="00FE0907" w:rsidP="00FE0907">
      <w:pPr>
        <w:pStyle w:val="TextoNormal"/>
      </w:pPr>
      <w:r>
        <w:t>Podrán ser beneficiarios en las ayudas por ancianidad, quienes hayan cumplido 68 (67) años de edad, sin perjuicio del cumplimiento de los requisitos establecidos".</w:t>
      </w:r>
    </w:p>
    <w:p w:rsidR="00FE0907" w:rsidRDefault="00FE0907" w:rsidP="00FE0907">
      <w:pPr>
        <w:pStyle w:val="TextoNormal"/>
      </w:pPr>
      <w:r>
        <w:t>Entiende la representación de la Generalidad de Cataluña que los mencionados preceptos vulneran la competencia exclusiva plena de Cataluña en materia de "Asistencia Social" asumida por virtud del art. 9.25 E.A.C., sin que le quede al Estado ninguna facultad normativa o ejecutiva, por lo que al fijar una cuantía a las prestaciones mensuales así como el límite de edad de los beneficiarios, han invadido su competencia y, en consecuencia, el Estado debe transferir directamente a la Generalidad de Cataluña la parte necesaria de los créditos presupuestarios habilitados para que sea la Comunidad Autónoma la que efectue el pago individualizado a los beneficiarios.</w:t>
      </w:r>
    </w:p>
    <w:p w:rsidR="00FE0907" w:rsidRDefault="00FE0907" w:rsidP="00FE0907">
      <w:pPr>
        <w:pStyle w:val="TextoNormal"/>
      </w:pPr>
      <w:r>
        <w:t>Aceptando que tales pensiones se incluyen en la materia de "asistencia social", entendida como el conjunto de acciones y técnicas de protección que queden fuera del sistema de la Seguridad Social (STC 146/1986, fundamento jurídico 2º) y que la referida materia es competencia exclusiva de la Comunidad Autónoma de Cataluña (arts. 148.1.20ª C.E. y 9.25 E.A.C.)  y dado que la simple habilitación de créditos en los Presupuestos Generales del Estado -según doctrina reiterada- no constituye un título competencial propio y universal que autorice al Estado a invadir la competencia exclusiva autonómica, ni a ejercer una competencia paralela o concurrente sobre la misma materia asumida en exclusiva por la Comunidad Autónoma, es preciso determinar si existe algún título competencial o algún precepto constitucional que habilite al Estado para esta concreta intervención en la materia de asistencia social.</w:t>
      </w:r>
    </w:p>
    <w:p w:rsidR="00FE0907" w:rsidRDefault="00FE0907" w:rsidP="00FE0907">
      <w:pPr>
        <w:pStyle w:val="TextoNormal"/>
      </w:pPr>
      <w:r>
        <w:t>Ya hemos advertido en los fundamentos jurídicos anteriores que la inexistencia de un título competencial basado en el "poder de gastar" no impide al Estado el ejercicio de toda acción social o económica mediante la vía subvencional canalizando sus recursos financieros al fomento de programas generales o de acciones singulares, para lo que puede estar legitimado constitucionalmente por virtud de otros títulos competenciales en razón a la función a la que el Estado -junto a los demás Poderes Públicos- viene compelido por el art. 9.2 C.E. de promoción de la igualdad sustancial del individuo y de los grupos en que se integra, reafirmando la igualdad como valor superior de nuestro ordenamiento (art. 1.1 C.E.).  Máxime cuando se trata, como es aquí el caso, de medidas prestacionales tendentes a asegurar un "mínimo vital" para los ciudadanos que garantice la uniformidad de las condiciones de vida, lo que se inserta lógicamente en las condiciones básicas de la igualdad de todos los españoles en el ejercicio de los derechos constitucionales, que el art.  149.1.1ª atribuye al Estado como competencia exclusiva.</w:t>
      </w:r>
    </w:p>
    <w:p w:rsidR="00FE0907" w:rsidRDefault="00FE0907" w:rsidP="00FE0907">
      <w:pPr>
        <w:pStyle w:val="TextoNormal"/>
      </w:pPr>
      <w:r>
        <w:t>Examinando desde esta doctrina el presente supuesto hemos de concluir que las facultades normativas en materia de pensiones asistenciales aquí impugnadas encuentran claro apoyo competencial -como señala el Abogado del Estado- en el art.  149.1.1ª, en conexión con el art. 50 ambos de la Constitución, que habilitan al Estado para establecer normativamente los principios básicos que garanticen la igualdad en las posiciones jurídicas fundamentales de los españoles, en el presente caso, asegurando, con carácter general, una pensión asistencial mínima e idéntica para todos, lo que se justifica, además, por las propias limitaciones económicas que harían inviable, desde la consideración misma del principio de solidaridad, una configuración diversificada de las condiciones de edad de los beneficiarios y de la cuantía de tales pensiones asistenciales en el territorio nacional.</w:t>
      </w:r>
    </w:p>
    <w:p w:rsidR="00FE0907" w:rsidRDefault="00FE0907" w:rsidP="00FE0907">
      <w:pPr>
        <w:pStyle w:val="TextoNormal"/>
      </w:pPr>
      <w:r>
        <w:lastRenderedPageBreak/>
        <w:t>Cosa distinta será el modo en que hayan de ejecutarse y gestionarse los fondos presupuestarios destinados a tales ayudas, que habrá de hacerse en todo caso -como ya se ha dejado dicho- respetando las competencias autonómicas exclusivas sobre la materia, mediante una distribución de tales fondos del Estado entre todas las Comunidades Autónomas conforme a módulos o criterios objetivos de reparto o bien mediante Acuerdos o a Convenios singulares ajustados a la Constitución.</w:t>
      </w:r>
    </w:p>
    <w:p w:rsidR="00FE0907" w:rsidRDefault="00FE0907" w:rsidP="00FE0907">
      <w:pPr>
        <w:pStyle w:val="TextoNormal"/>
      </w:pPr>
    </w:p>
    <w:p w:rsidR="00FE0907" w:rsidRDefault="00FE0907" w:rsidP="00FE0907">
      <w:pPr>
        <w:pStyle w:val="TextoNormal"/>
      </w:pPr>
      <w:r w:rsidRPr="00FE0907">
        <w:rPr>
          <w:rStyle w:val="NumeroAFNegritaCaracter"/>
        </w:rPr>
        <w:t>15</w:t>
      </w:r>
      <w:r>
        <w:t>. La Disposición adicional decimosegunda de la Ley de Presupuestos Generales del Estado para 1988 da nueva redacción al art. 20.1 de la Ley 6/1977, de 4 de enero, sobre Fomento de la Minería, estableciendo que podrán otorgarse determinadas subvenciones por "el Ministerio de Industria y Energía, previo informe favorable del Ministerio de Economía y Hacienda, y dentro de las cantidades que para esta finalidad se les asignen en los Presupuestos Generales del Estado, y sin perjuicio de lo que establezcan las Leyes de Presupuestos sobre procedimientos de gestión presupuestaria...".  Entiende la representación de la Generalidad de Cataluña que siendo el otorgamiento de esas subvenciones un típico acto ejecutivo y tratándose de subvenciones destinadas a industrias sometidas a la legislación de minas, dada la competencia que Cataluña ostenta en las materias de "régimen minero y energético" y de "industria" (art.  10.5 y 12.1.2), debe declararse la inconstitucionalidad de la referida Disposición adicional decimosegunda.</w:t>
      </w:r>
    </w:p>
    <w:p w:rsidR="00FE0907" w:rsidRDefault="00FE0907" w:rsidP="00FE0907">
      <w:pPr>
        <w:pStyle w:val="TextoNormal"/>
      </w:pPr>
      <w:r>
        <w:t>El otorgamiento de subvenciones a las empresas mineras en los términos que prevé el art. 20.1 de la Ley 6/1977 en su nueva redacción es, en efecto, un acto ejecutivo que, en principio, de acuerdo con lo dispuesto en los arts.  10.5 y 12.1.2 del E.A.C., a la Generalidad correspondería efectuar respecto de las empresas mineras que desarrollen su actividad en el ámbito territorial de la referida Comunidad Autónoma.  No obstante, el reconocimiento de la competencia autonómica para la gestión y otorgamiento de las subvenciones, una vez que no consta que concurra ninguna de las circunstancias que excepcionalmente posibilitan que el Estado retenga la competencia de ejecución -por todas, STC 201/1988, fundamento jurídico 4º-, no significa que la previsión impugnada deba ser declarada inconstitucional.  En primer lugar, porque no todas las Comunidades Autónomas han podido asumir las competencias que en las referidas materias de minería e industria corresponden a Cataluña, lo que, en todo caso, determinaría únicamente la ineficacia y no aplicabilidad directa del precepto impugnado en su ámbito territorial, pero en modo alguno su inconstitucionalidad; y, en segundo lugar, porque la propia Disposición adicional decimosegunda, tras atribuir genéricamente al Ministro de Industria el otorgamiento de las subvenciones, no deja de puntualizar que ese otorgamiento lo es "sin perjuicio de lo que establezcan las Leyes de Presupuestos sobre procedimientos de gestión presupuestaria".  Procedimientos de gestión presupuestaria que, de acuerdo con lo dispuesto en el art. 123 de la propia Ley de Presupuestos para 1988, añadiendo un nuevo Título IX a la Ley 11/1977, de 4 de enero, General Presupuestaria, incorporan, en relación concreta a los créditos de subvenciones vinculados a servicios estatales traspasados a las Comunidades Autónomas, un conjunto de reglas que respetan las competencias de gestión y administración que a estas corresponden (actual art. 153 del Texto Refundido de la Ley General Presupuestaria).</w:t>
      </w:r>
    </w:p>
    <w:p w:rsidR="00FE0907" w:rsidRDefault="00FE0907" w:rsidP="00FE0907">
      <w:pPr>
        <w:pStyle w:val="TextoNormal"/>
      </w:pPr>
      <w:r>
        <w:t xml:space="preserve">En consecuencia, la Disposición adicional decimosegunda no prejuzga, sino todo lo contrario, que la competencia ejecutiva para el otorgamiento de las subvenciones para el fomento de la minería cuestionadas no corresponda a la Generalidad de Cataluña respecto de las empresas radicadas en su ámbito territorial, sin que, por lo demás, el hecho de que el ejercicio de esa competencia quede sujeta a determinadas reglas -las contenidas en el señalado art. 153 de la Ley General Presupuestaria- suscite dudas de constitucionalidad, </w:t>
      </w:r>
      <w:r>
        <w:lastRenderedPageBreak/>
        <w:t>tal como ya se expuso anteriormente reiterando la doctrina de la STC 96/1990 (fundamento jurídico 16).</w:t>
      </w:r>
    </w:p>
    <w:p w:rsidR="00FE0907" w:rsidRDefault="00FE0907" w:rsidP="00FE0907">
      <w:pPr>
        <w:pStyle w:val="TextoNormal"/>
      </w:pPr>
    </w:p>
    <w:p w:rsidR="00FE0907" w:rsidRDefault="00FE0907" w:rsidP="00FE0907">
      <w:pPr>
        <w:pStyle w:val="TextoNormal"/>
      </w:pPr>
      <w:r w:rsidRPr="00FE0907">
        <w:rPr>
          <w:rStyle w:val="NumeroAFNegritaCaracter"/>
        </w:rPr>
        <w:t>16</w:t>
      </w:r>
      <w:r>
        <w:t>. Finalmente, se impugna también la Disposición final primera en su último inciso ("...  y a las Leyes promulgadas con posterioridad al 4 de enero de 1977") de la Ley de Presupuestos Generales del Estado para 1988, por cuanto tal previsión no se ajustaría, a juicio de la Generalidad de Cataluña, a los requisitos establecidos en el art. 82 de la C.E., entre los que se prevé que la delegación deberá ser otorgada "para una materia concreta" con determinación del "ámbito normativo a que se refiere el contenido de la delegación".  Y, asímismo, la autorización al Gobierno para adaptar el nuevo Texto Refundido de la Ley General Presupuestaria "a la Constitución y a las leyes promulgadas con posterioridad al 4 de enero de 1977", supone un cierto grado de innovación impropio de la técnica de la delegación legislativa, que, en la medida en que suponga una autorización para innovar libremente el ordenamiento, excederá de lo permitido por la C.E.</w:t>
      </w:r>
    </w:p>
    <w:p w:rsidR="00FE0907" w:rsidRDefault="00FE0907" w:rsidP="00FE0907">
      <w:pPr>
        <w:pStyle w:val="TextoNormal"/>
      </w:pPr>
      <w:r>
        <w:t>El art. 82.3 y 5 C.E. establece, en efecto, que la delegación legislativa -en este caso, para refundir varios textos legales en uno solo- "habrá de otorgarse al Gobierno (...)  para materia concreta ..." y "...determinará el ámbito normativo a que se refiere el contenido de la delegación, especificando si se circunscribe a la mera formulación de un texto único o si se incluye la de regularizar, aclarar y armonizar los textos legales que han de ser refundidos". Pues bien, la Disposición final primera impugnada -que prorrogó durante el ejercicio de 1988 la autorización al Gobierno contenida en la Disposición final tercera de la Ley 21/1986, de 23 de diciembre, de Presupuestos Generales del Estado para 1987, "haciéndola extensiva a las modificaciones introducidas en esta Ley, así como la adaptación del nuevo Texto Refundido a la Constitución y a las Leyes promulgadas con posterioridad al 4 de enero de 1977"- no supone extralimitación alguna de los señalados requisitos a los que queda condicionada la técnica de la delegación legislativa, al ser incuestionable que la autorización dada al Gobierno queda circunscrita a "materia concreta" y no supone, sin embargo, autorización alguna para innovar libremente el ordenamiento.</w:t>
      </w:r>
    </w:p>
    <w:p w:rsidR="00FE0907" w:rsidRDefault="00FE0907" w:rsidP="00FE0907">
      <w:pPr>
        <w:pStyle w:val="TextoNormal"/>
      </w:pPr>
      <w:r>
        <w:t>Que se trata de "materia concreta" es evidente, tal como se desprende inequívocamente de la rúbrica con que se acompaña la propia Disposición final primera ("Refundición de la Ley General Presupuestaria"), siendo, pues, el contenido material -actual o futuro- de dicha Ley -que, en términos generales, encuentra su punto de referencia en la materia de "Hacienda General y Deuda del Estado" a la que se refiere el art.  149.1.14º C.E.- precisión suficiente, al remitir a un sector delimitado de intervención legislativa y administrativa que no puede ser tachado de equívoco o indefinido por su amplitud y generalidad.</w:t>
      </w:r>
    </w:p>
    <w:p w:rsidR="00FE0907" w:rsidRDefault="00FE0907" w:rsidP="00FE0907">
      <w:pPr>
        <w:pStyle w:val="TextoNormal"/>
      </w:pPr>
      <w:r>
        <w:t xml:space="preserve">Y por lo que respecta a la posibilidad de innovar libremente el ordenamiento, consecuencia de los términos en que se ha otorgado la autorización al Gobierno, tampoco cabe entender que con la expresión "adaptación del nuevo Texto Refundido a la Constitución y a las Leyes promulgadas con posterioridad al 4 de enero de 1977" se haya venido a sancionar efectivamente esa posibilidad, en cuyo caso, en efecto, habría que estimarla inconstitucional.  Es cierto -y así se reconoce expresamente en el preámbulo del Real Decreto Legislativo 1.091/1988, de 23 de septiembre, por el que, en uso de la autorización cuestionada, se aprobó el Texto Refundido de la Ley General Presupuestaria- que la Disposición final primera de la Ley de Presupuestos Generales del Estado para 1988 no solo prorrogó la autorización prevista en la Disposición final tercera de la Ley 21/1986, de 23 de diciembre, de Presupuestos Generales del Estado para 1987, para elaborar un Texto Refundido de la Ley General Presupuestaria de 4 de enero de 1977, "al que se incorporarán, con autorización para regularizar, actualizar y armonizar, las disposiciones legales vigentes de </w:t>
      </w:r>
      <w:r>
        <w:lastRenderedPageBreak/>
        <w:t>carácter permanente en materia de gestión presupuestaria contenidas en las Leyes anuales de Presupuestos posteriores a la entrada en vigor de la citada Ley General Presupuestaria", sino que, a la vez, amplió esa autorización, haciéndola extensiva, además, a "la adaptación del nuevo Texto Refundido a la Constitución y a las Leyes promulgadas con posterioridad al 4 de enero de 1977". De este modo -según se relata en el mismo Preámbulo-, a la vista del dictamen del Consejo de Estado de 24 de septiembre de 1987, que estimó que el anteproyecto de Texto Refundido elaborado excedía de los límites de la autorización inicialmente otorgada por la Ley de Presupuestos Generales del Estado para 1987, se optó por ampliar la autorización a fín de que la misma se extendiese cuanto fuese necesario para que la actualización de la Ley General Presupuestaria pudiera tener el alcance que requería, dotándola así de la necesaria cobertura legal. Por ello, en la Disposición final primera que se impugna, la inicial autorización al Gobierno se completó con la referencia a la "adaptación del nuevo Texto Refundido a la Constitución y a las Leyes promulgadas con posterioridad al 4 de enero de 1977".</w:t>
      </w:r>
    </w:p>
    <w:p w:rsidR="00FE0907" w:rsidRDefault="00FE0907" w:rsidP="00FE0907">
      <w:pPr>
        <w:pStyle w:val="TextoNormal"/>
      </w:pPr>
      <w:r>
        <w:t>Hubo, por tanto, ampliación de la autorización al Gobierno, pero no menos cierto es que no puede concluirse que la misma infringiera el art.  82.5 C.E., ya que dicha ampliación -mediante la expresión ahora impugnada- únicamente lo fue por relación a las Leyes objeto de refundición, que no quedaron ya, pues, ceñidas a las disposiciones de las Leyes anuales de Presupuestos, sino a todas las disposiciones relativas a la materia propia de una Ley General Presupuestaria, aun cuando estuviesen contenidas en cualesquiera otras Leyes.  Habría bastado, además, con tal precisión, sin necesidad de recurrir a la expresión que se impugna, para evitar las dudas que sobre su constitucionalidad se han planteado, porque no es aceptable entender que el término "adaptación a la Constitución" encierra un alcance distinto a los términos utilizados por el art.  82.5 C.E. -"regularizar, aclarar y armonizar"-, que, siendo entre sí sustancialmente equivalentes, permiten, incluso, en la tarea refundidora, introducir normas adicionales y complementarias a las que son estrictamente objeto de refundición, siempre que sea necesario para colmar lagunas, precisar su sentido o, en fin, lograr la coherencia y sistemática del Texto único Refundido.</w:t>
      </w:r>
    </w:p>
    <w:p w:rsidR="00FE0907" w:rsidRDefault="00FE0907" w:rsidP="00FE0907">
      <w:pPr>
        <w:pStyle w:val="TextoNormal"/>
      </w:pPr>
      <w:r>
        <w:t>Que el resultado último deba ser, además, un Texto Refundido adaptado a la Constitución es, pues, una precisión que, en todo caso, podrá merecer el calificativo de innecesaria por supérflua -máxime si se tiene en cuenta que difícilmente se puede lograr esa adaptación procediendo a la regularización, aclaración o armonización de las disposiciones objeto de la refundición si éstas no se acomodan y ajustan, en si mismas consideradas, a aquélla-, pero que en modo alguno cabrá tacharla, por tal motivo, de inconstitucional, al no ser admisible, de otra parte, la apriorística interpretación de que el objetivo de lograr un Texto Refundido adaptado a la Constitución venga a dotar al Gobierno de facultades en orden a "innovar libremente el ordenamiento", lo que, en su caso, si así fuese y efectivamente se hubiere materializado en el ejercicio por el Gobierno de la autorización otorgada, habría supuesto un exceso de los límites materiales previstos por el art.  82.5 C.E. a la delegación legislativa. Por ello, si se prescinde del uso que de la autorización se haya hecho, no es posible sostener la inconstitucionalidad de una previsión que sólo lo sería de aceptar la hipotética interpretación en la que la Generalidad de Cataluña trata de apoyar su pretensión.</w:t>
      </w:r>
    </w:p>
    <w:p w:rsidR="00FE0907" w:rsidRDefault="00FE0907" w:rsidP="00FE0907">
      <w:pPr>
        <w:pStyle w:val="TextoNormal"/>
      </w:pPr>
    </w:p>
    <w:p w:rsidR="00FE0907" w:rsidRDefault="00FE0907" w:rsidP="00FE0907">
      <w:pPr>
        <w:pStyle w:val="TextoNormal"/>
      </w:pPr>
      <w:r w:rsidRPr="00FE0907">
        <w:rPr>
          <w:rStyle w:val="NumeroAFNegritaCaracter"/>
        </w:rPr>
        <w:t>17</w:t>
      </w:r>
      <w:r>
        <w:t xml:space="preserve">. Por último, es imprescindible, antes de pronunciar el fallo, precisar el alcance concreto que debe atribuirse a la declaración de inconstitucionalidad de determinadas partidas presupuestarias contenida en los fundamentos jurídicos 12 y 13 de esta Sentencia. La anulación de tales partidas presupuestarias podría suponer graves perjuicios y perturbaciones, </w:t>
      </w:r>
      <w:r>
        <w:lastRenderedPageBreak/>
        <w:t>también en Cataluña, a los intereses generales, afectando a situaciones jurídicas consolidadas, y particularmente a la política económica y financiera del Estado.  Por otra parte, dichas partidas presupuestarias se refieren a ejercicios económicos ya cerrados y que han agotado sus efectos. Dadas las anteriores circunstancias y como ya se hiciera en la STC 75/1989, la pretensión de la Generalidad de Cataluña puede estimarse satisfecha mediante la declaración de inconstitucionalidad de aquellas partidas presupuestarias que han invadido sus competencias, sin necesidad de anular los citados preceptos presupuestarios ni menos todavía las subvenciones ya concedidas al amparo de los mismos. Por todo ello, el alcance de los efectos generales de la declaración de inconstitucionalidad acordada se limita a los futuros ejercicios presupuestarios posteriores a la fecha de publicación de esta Sentencia en el "Boletín Oficial del Estado".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parcialmente los recursos de inconstitucionalidad interpuestos por la Generalidad de Cataluña contra determinados preceptos y partidas presupuestarias de las Leyes 33/1987, de 23 de diciembre y 37/1988, de 28 de diciembre, de Presupuestos Generales del Estado para 1988 y 1989 y, en consecuencia:</w:t>
      </w:r>
    </w:p>
    <w:p w:rsidR="00FE0907" w:rsidRDefault="00FE0907" w:rsidP="00FE0907">
      <w:pPr>
        <w:pStyle w:val="TextoNormal"/>
      </w:pPr>
      <w:r>
        <w:t>1º Declarar inconstitucionales, con los efectos que se indican en el fundamento jurídico 17, por invadir las competencias que corresponden a la Generalidad de Cataluña, las partidas presupuestarias correspondientes al estado de gastos:</w:t>
      </w:r>
    </w:p>
    <w:p w:rsidR="00FE0907" w:rsidRDefault="00FE0907" w:rsidP="00FE0907">
      <w:pPr>
        <w:pStyle w:val="TextoNormal"/>
      </w:pPr>
      <w:r>
        <w:t>- De los Presupuestos Generales del Estado para 1988:</w:t>
      </w:r>
    </w:p>
    <w:p w:rsidR="00FE0907" w:rsidRDefault="00FE0907" w:rsidP="00FE0907">
      <w:pPr>
        <w:pStyle w:val="TextoNormal"/>
      </w:pPr>
      <w:r>
        <w:t>A) De la SECCIÓN 26 (MINISTERIO DE SANIDAD Y CONSUMO):</w:t>
      </w:r>
    </w:p>
    <w:p w:rsidR="00FE0907" w:rsidRDefault="00FE0907" w:rsidP="00FE0907">
      <w:pPr>
        <w:pStyle w:val="TextoNormal"/>
      </w:pPr>
      <w:r>
        <w:t>a) Del Servicio 09, Programa 413 A, art.  42, en los términos contenidos en el fundamento jurídico 12, apartado A), f).</w:t>
      </w:r>
    </w:p>
    <w:p w:rsidR="00FE0907" w:rsidRDefault="00FE0907" w:rsidP="00FE0907">
      <w:pPr>
        <w:pStyle w:val="TextoNormal"/>
      </w:pPr>
      <w:r>
        <w:t>b) Del Servicio 11, Programa 412 F, art.  42, en los términos contenidos en el fundamento jurídico 12, apartado A), h).</w:t>
      </w:r>
    </w:p>
    <w:p w:rsidR="00FE0907" w:rsidRDefault="00FE0907" w:rsidP="00FE0907">
      <w:pPr>
        <w:pStyle w:val="TextoNormal"/>
      </w:pPr>
      <w:r>
        <w:t>- De los Presupuestos Generales del Estado para 1989:</w:t>
      </w:r>
    </w:p>
    <w:p w:rsidR="00FE0907" w:rsidRDefault="00FE0907" w:rsidP="00FE0907">
      <w:pPr>
        <w:pStyle w:val="TextoNormal"/>
      </w:pPr>
      <w:r>
        <w:t>A) De la SECCIÓN 18 (MINISTERIO DE EDUCACIÓN Y CIENCIA):</w:t>
      </w:r>
    </w:p>
    <w:p w:rsidR="00FE0907" w:rsidRDefault="00FE0907" w:rsidP="00FE0907">
      <w:pPr>
        <w:pStyle w:val="TextoNormal"/>
      </w:pPr>
      <w:r>
        <w:t>a) Del Servicio 06, Programa 422 D, el Concepto 442, en los términos contenidos en el fundamento jurídico 13, apartado D), e).</w:t>
      </w:r>
    </w:p>
    <w:p w:rsidR="00FE0907" w:rsidRDefault="00FE0907" w:rsidP="00FE0907">
      <w:pPr>
        <w:pStyle w:val="TextoNormal"/>
      </w:pPr>
      <w:r>
        <w:t>B) De la SECCIÓN 26 (MINISTERIO DE SANIDAD Y CONSUMO):</w:t>
      </w:r>
    </w:p>
    <w:p w:rsidR="00FE0907" w:rsidRDefault="00FE0907" w:rsidP="00FE0907">
      <w:pPr>
        <w:pStyle w:val="TextoNormal"/>
      </w:pPr>
      <w:r>
        <w:t>a) Del Servicio 09, Programa 413 A, los Conceptos 421.02, 422.02, 423.02, 424.02, 425.02, 426.02, 427.02, 428.02, 429.02 y 429.12, en los términos contenidos en el fundamento jurídico 13, apartado J), k).</w:t>
      </w:r>
    </w:p>
    <w:p w:rsidR="00FE0907" w:rsidRDefault="00FE0907" w:rsidP="00FE0907">
      <w:pPr>
        <w:pStyle w:val="TextoNormal"/>
      </w:pPr>
      <w:r>
        <w:t>b) Del Servicio 10, Programa 313 G, el Concepto 422, en los términos contenidos en el fundamento jurídico 13, apartado J), m).</w:t>
      </w:r>
    </w:p>
    <w:p w:rsidR="00FE0907" w:rsidRDefault="00FE0907" w:rsidP="00FE0907">
      <w:pPr>
        <w:pStyle w:val="TextoNormal"/>
      </w:pPr>
      <w:r>
        <w:t>c) Del Servicio 11, Programa 412 F, los Conceptos 421.02, 423.02 y 427.02, en los términos contenidos en el fundamento jurídico 13, apartado J), n).</w:t>
      </w:r>
    </w:p>
    <w:p w:rsidR="00FE0907" w:rsidRDefault="00FE0907" w:rsidP="00FE0907">
      <w:pPr>
        <w:pStyle w:val="TextoNormal"/>
      </w:pPr>
      <w:r>
        <w:t>C) De la SECCION 27 (MINISTERIO DE ASUNTOS SOCIALES):</w:t>
      </w:r>
    </w:p>
    <w:p w:rsidR="00FE0907" w:rsidRDefault="00FE0907" w:rsidP="00FE0907">
      <w:pPr>
        <w:pStyle w:val="TextoNormal"/>
      </w:pPr>
      <w:r>
        <w:t>a) Del Servicio 01, Programa 313 L, el Concepto 486, en los términos contenidos en el fundamento jurídico 13, apartado K), b).</w:t>
      </w:r>
    </w:p>
    <w:p w:rsidR="00FE0907" w:rsidRDefault="00FE0907" w:rsidP="00FE0907">
      <w:pPr>
        <w:pStyle w:val="TextoNormal"/>
      </w:pPr>
      <w:r>
        <w:lastRenderedPageBreak/>
        <w:t>b) Del Servicio 01, Programa 313 L, el Concepto 781, en los términos contenidos en el fundamento jurídico 13, apartado K), c).</w:t>
      </w:r>
    </w:p>
    <w:p w:rsidR="00FE0907" w:rsidRDefault="00FE0907" w:rsidP="00FE0907">
      <w:pPr>
        <w:pStyle w:val="TextoNormal"/>
      </w:pPr>
      <w:r>
        <w:t>2º Desestimar los recursos en todo lo demás.</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seis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7" w:name="SENTENCIA_1992_14"/>
      <w:r>
        <w:lastRenderedPageBreak/>
        <w:t>SENTENCIA 14/1992, de 10 de febrero de 1992</w:t>
      </w:r>
    </w:p>
    <w:bookmarkEnd w:id="17"/>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ECLI:ES:TC:1992:14</w:t>
      </w:r>
    </w:p>
    <w:p w:rsidR="00FE0907" w:rsidRDefault="00FE0907" w:rsidP="00FE0907">
      <w:pPr>
        <w:pStyle w:val="SntesisDescriptiva"/>
      </w:pPr>
    </w:p>
    <w:p w:rsidR="00FE0907" w:rsidRDefault="00FE0907" w:rsidP="00FE0907">
      <w:pPr>
        <w:pStyle w:val="SntesisDescriptiva"/>
      </w:pPr>
      <w:r>
        <w:t>Cuestión de inconstitucionalidad 1.219/1988 682/1990 701/1990 853/1990 2.382/1990 2.407/1990 2.436/1990 2.437/1990 2.438/1990 2.842/1990 1.078/1991 1.320/1991 1.472/1991 1.519/1991 1.532/1991 1.623/1991 1.885/1991 1.886/1991 1.901/1991 1.903/1991 (acumuladas). Promovidas, respectivamente, por la Audiencia Provincial de Cuenca, Juzgado de Primera Instancia, e Instrucción núm. 1 de Valls, Audiencia Provincial de Madrid, Juzgado de Primera Instancia núm. 9 de Madrid y Juzgados de Primera Instancia núms. 10 y 8 de Sevilla, en relación con el art. 1.435 de la Ley de Enjuiciamiento Civil. Voto particular</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El art. 1.435, primera frase del párrafo 4., de la Ley de Enjuiciamiento Civil no consagra un privilegio probatorio en favor de entidades de crédito, que contraríe el art. 14 de la Constitución, pues no invierte la carga de la prueba, ni otorga a la contabilidad de las mismas el carácter de documento público. Y tampoco priva al deudor de un proceso con todas las garantías probatorias, ni lo sume en indefensión por exigirle una pretendida prueba diabólica o imposible, lo que, si ocurriera, sería sin duda contrario a los apartados 1 y 2 del art. 24 de la Constitución [F.J. 3].</w:t>
      </w:r>
    </w:p>
    <w:p w:rsidR="00FE0907" w:rsidRDefault="00FE0907" w:rsidP="00FE0907">
      <w:pPr>
        <w:pStyle w:val="Extracto"/>
      </w:pPr>
    </w:p>
    <w:p w:rsidR="00FE0907" w:rsidRDefault="00FE0907" w:rsidP="00FE0907">
      <w:pPr>
        <w:pStyle w:val="Extracto"/>
      </w:pPr>
      <w:r>
        <w:t>2.</w:t>
      </w:r>
      <w:r>
        <w:tab/>
        <w:t>Las diferencias que median entre las entidades de crédito, ahorro y financiación, por un lado, y todos los restantes acreedores, por otro, incluso si éstos se reducen a quienes ostentan créditos en virtud de contratos mercantiles, son suficientes para justificar que el legislador establezca en favor de las primeras un régimen procesal especial que facilite la realización de sus créditos [F.J. 5].</w:t>
      </w:r>
    </w:p>
    <w:p w:rsidR="00FE0907" w:rsidRDefault="00FE0907" w:rsidP="00FE0907">
      <w:pPr>
        <w:pStyle w:val="Extracto"/>
      </w:pPr>
    </w:p>
    <w:p w:rsidR="00FE0907" w:rsidRDefault="00FE0907" w:rsidP="00FE0907">
      <w:pPr>
        <w:pStyle w:val="Extracto"/>
      </w:pPr>
      <w:r>
        <w:t>3.</w:t>
      </w:r>
      <w:r>
        <w:tab/>
        <w:t>Las evidentes diferencias entre las entidades de crédito y todos los restantes acreedores (tanto quienes derivan sus créditos de contratos mercantiles cuyo cumplimiento comporta una relación de cuenta corriente como cualesquiera otros) ofrecen una justificación suficiente, objetiva y razonable, a la diferencia de trato legislativo creada por el precepto cuestionado [F.J. 5].</w:t>
      </w:r>
    </w:p>
    <w:p w:rsidR="00FE0907" w:rsidRDefault="00FE0907" w:rsidP="00FE0907">
      <w:pPr>
        <w:pStyle w:val="Extracto"/>
      </w:pPr>
    </w:p>
    <w:p w:rsidR="00FE0907" w:rsidRDefault="00FE0907" w:rsidP="00FE0907">
      <w:pPr>
        <w:pStyle w:val="Extracto"/>
      </w:pPr>
      <w:r>
        <w:t>4.</w:t>
      </w:r>
      <w:r>
        <w:tab/>
        <w:t>El hecho de que el embargo preventivo es decretado «inaudita parte debitoris», no puede merecer reparo de inconstitucionalidad, pues, en sí misma considerada, la orden de embargo no es más que una medida cautelar, cuya emisión no requiere una plena certeza del derecho provisionalmente protegido, ni es forzoso tampoco que se oiga con antelación a quien la sufra [F.J. 7].</w:t>
      </w:r>
    </w:p>
    <w:p w:rsidR="00FE0907" w:rsidRDefault="00FE0907" w:rsidP="00FE0907">
      <w:pPr>
        <w:pStyle w:val="Extracto"/>
      </w:pPr>
    </w:p>
    <w:p w:rsidR="00FE0907" w:rsidRDefault="00FE0907" w:rsidP="00FE0907">
      <w:pPr>
        <w:pStyle w:val="Extracto"/>
      </w:pPr>
      <w:r>
        <w:t>5.</w:t>
      </w:r>
      <w:r>
        <w:tab/>
        <w:t>El art. 1.435 L.E.C. brinda a los Jueces un medio que permite hacer efectivo el control de admisión de las demandas ejecutivas, cuando éstas no se apoyan en un título ejecutivo que por sí solo cumpla los requisitos que dicho precepto legal es</w:t>
      </w:r>
      <w:r>
        <w:lastRenderedPageBreak/>
        <w:t>tablece, en cuanto a la liquidez de la cantidad a reclamar, por tratarse de una relación de cuenta corriente [F.J. 8].</w:t>
      </w:r>
    </w:p>
    <w:p w:rsidR="00FE0907" w:rsidRDefault="00FE0907" w:rsidP="00FE0907">
      <w:pPr>
        <w:pStyle w:val="Extracto"/>
      </w:pPr>
    </w:p>
    <w:p w:rsidR="00FE0907" w:rsidRDefault="00FE0907" w:rsidP="00FE0907">
      <w:pPr>
        <w:pStyle w:val="Extracto"/>
      </w:pPr>
      <w:r>
        <w:t>6.</w:t>
      </w:r>
      <w:r>
        <w:tab/>
        <w:t>La limitación de los medios de oposición a los que taxativamente enuncian los art. 1.464, 1.466 y 1.467 L.E.C., que es uno de los rasgos peculiares de este tipo de juicio, no causa indefensión al deudor. El abanico de excepciones y de motivos de nulidad que ofrecen estos preceptos al demandado es lo suficientemente amplio como para que éste se encuentre muy lejos de verse impedido de ejercer medios legales suficientes para su defensa [F.J. 9].</w:t>
      </w:r>
    </w:p>
    <w:p w:rsidR="00FE0907" w:rsidRDefault="00FE0907" w:rsidP="00FE0907">
      <w:pPr>
        <w:pStyle w:val="Extracto"/>
      </w:pPr>
    </w:p>
    <w:p w:rsidR="00FE0907" w:rsidRDefault="00FE0907" w:rsidP="00FE0907">
      <w:pPr>
        <w:pStyle w:val="Extracto"/>
      </w:pPr>
      <w:r>
        <w:t>7.</w:t>
      </w:r>
      <w:r>
        <w:tab/>
        <w:t>Resulta meridiano que ni el párrafo cuarto del art. 1.435 L.E.C. «per se», considerando aisladamente el precepto que enuncia su primer inciso, ni tampoco en cuanto se integra en la estructura peculiar del juicio ejecutivo, contradice en modo alguno las determinaciones dictadas por el legislador para la protección, entre otros, de los usuarios de los servicios bancarios, ni niega o coarta las facultades judiciales para guardar y hacer guardar tales determinaciones [F.J. 12].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 Regueral, don Carlos de la Vega Benayas, don Jesús Leguina Villa, don Eugenio Díaz Eimil, don Miguel Rodríguez-Piñero y Bravo-Ferrer,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las cuestiones de inconstitucionalidad acumuladas núms. 1.219/88, 682, 701, 853, 2.382, 2.407, 2.436, 2.437, 2.438, 2.842/90, 1.078, 1.320, 1.472, 1.519, 1.532, 1.623, 1.885, 1.886, 1.901, y 1.903/91, planteadas por la Audiencia Provincial de Cuenca, el Juzgado de Primera Instancia e Instrucción núm. 1 de Valls (Tarragona), la Audiencia Provincial (Sección Segunda) de Madrid, el Juzgado de Primera Instancia núm. 9 de Madrid, y los Juzgados de Primera Instancia núms. 10 y 8 de Sevilla, en relación con el art. 1.435, primera frase del párrafo 4º, de la Ley de Enjuiciamiento Civil, por vulneración de los arts. 14, 24.1, 24.2 y 51.1 de la Constitución. Han intervenido en el proceso el Fiscal General del Estado y el Abogado del Estado. Ha sido Ponente el Magistrado don Jesús Leguina Villa, quien expresa el parecer del Tribunal.</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Las cuestiones suscitadas acerca del art. 1.435, penúltimo párrafo, de la Ley de Enjuiciamiento Civil han sido planteadas por distintos órganos judiciales: </w:t>
      </w:r>
    </w:p>
    <w:p w:rsidR="00FE0907" w:rsidRDefault="00FE0907" w:rsidP="00FE0907">
      <w:pPr>
        <w:pStyle w:val="TextoNormal"/>
      </w:pPr>
      <w:r>
        <w:t xml:space="preserve">1) La cuestión registrada con el núm. 1.219/88 ha sido promovida por la Audiencia Provincial de Cuenca, mediante Auto de 30 de junio de 1988 (r. 11-88), por vulneración del art. 14 C.E. La Audiencia se encuentra conociendo de un recurso de apelación interpuesto en el litigio formalizado ante el Juzgado de Primera Instancia de Tarancón (juicio ejecutivo núm. 121-87), en el que el Banco Zaragozano reclama de los esposos Ausina y Aguado la cantidad de 364.029 pts., más doscientas mil fijadas provisionalmente para gastos y costas, con fundamento en un préstamo de 350.000 pts. otorgado por póliza de 20 de noviembre de 1986, intervenida por Corredor colegiado de Comercio. El recurso de apelación fue interpuesto contra la Sentencia de remate, dictada el 18 de diciembre de 1987. La vista se celebró el 15 junio 1988. Posteriormente la Audiencia planteó a las partes la eventual inconstitucionalidad del precepto legal, que fue informada favorablemente por el Ministerio Fiscal el 29 junio 1988. </w:t>
      </w:r>
    </w:p>
    <w:p w:rsidR="00FE0907" w:rsidRDefault="00FE0907" w:rsidP="00FE0907">
      <w:pPr>
        <w:pStyle w:val="TextoNormal"/>
      </w:pPr>
      <w:r>
        <w:t xml:space="preserve">Tras oír al Fiscal General del Estado, acerca de si el Auto de planteamiento de la cuestión especificaba y justificaba el juicio de relevancia, fue admitida a trámite por Auto del Pleno de 11 de octubre de 1988. </w:t>
      </w:r>
    </w:p>
    <w:p w:rsidR="00FE0907" w:rsidRDefault="00FE0907" w:rsidP="00FE0907">
      <w:pPr>
        <w:pStyle w:val="TextoNormal"/>
      </w:pPr>
      <w:r>
        <w:t xml:space="preserve">2) La cuestión núm. 682/90 ha sido planteada por el Juzgado de Primera Instancia e Instrucción núm. 1 de Valls (Tarragona), mediante Auto de 13 de marzo de 1990 (j.ejec. 7-90), por vulneración de los arts. 14 y 24.1 C.E. El Juzgado conoce de la demanda ejecutiva interpuesta por el Banco Bilbao Vizcaya contra los esposos Rubio y García, en reclamación de 422.325 pts. de principal y 150.000 pts. calculadas provisionalmente para gastos, en relación con un préstamo personal de un millón de pesetas otorgado mediante póliza de 13 de noviembre de 1985 intervenida por Corredor de Comercio. Dentro del plazo para dictar el Auto a que se refiere el art. 1.440, párrafo 3, de la L.E.C., el Juzgado otorgó plazo de alegaciones sobre la inconstitucionalidad del precepto legal, que fué informado favorablemente por el Ministerio Fiscal el 27 de febrero de 1990, y fue opuesto por la entidad actora por considerar extemporáneo el planteamiento de la cuestión. </w:t>
      </w:r>
    </w:p>
    <w:p w:rsidR="00FE0907" w:rsidRDefault="00FE0907" w:rsidP="00FE0907">
      <w:pPr>
        <w:pStyle w:val="TextoNormal"/>
      </w:pPr>
      <w:r>
        <w:t xml:space="preserve">La cuestión fue admitida a trámite por providencia de 26 marzo 1990. </w:t>
      </w:r>
    </w:p>
    <w:p w:rsidR="00FE0907" w:rsidRDefault="00FE0907" w:rsidP="00FE0907">
      <w:pPr>
        <w:pStyle w:val="TextoNormal"/>
      </w:pPr>
      <w:r>
        <w:t xml:space="preserve">3) La cuestión núm. 701/90 ha sido planteada por el Juzgado de Primera Instancia e Instrucción núm. 1 de Valls (Tarragona) mediante Auto de 13 de marzo de 1990 (j.ejec. 13-90), por vulneración de los arts. 14 y 24.1 C.E. El Juzgado conoce de la demanda ejecutiva interpuesta por el Banco Bilbao Vizcaya contra los esposos Escuer y Camacho, en reclamación de 289.561 pts. de principal, 115.206 pts. de intereses y 200.000 pts. calculadas provisionalmente para gastos, en relación con un préstamo personal de 400.000 pts. otorgado mediante póliza de 31 de julio de 1985 intervenida por Corredor de Comercio. El Auto de planteamiento de la cuestión fue dictado, previo informe favorable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26 de marzo de 1990. </w:t>
      </w:r>
    </w:p>
    <w:p w:rsidR="00FE0907" w:rsidRDefault="00FE0907" w:rsidP="00FE0907">
      <w:pPr>
        <w:pStyle w:val="TextoNormal"/>
      </w:pPr>
      <w:r>
        <w:t xml:space="preserve">4) La cuestión núm. 853/90 ha sido planteada por el Juzgado de Primera Instancia e Instrucción núm. 1 de Valls (Tarragona), mediante Auto de 19 de marzo de 1990 (j.ejec. 7-90), por vulneración de los arts. 14 y 24.1 C.E. El Juzgado conoce de la demanda ejecutiva interpuesta por el Banco Hispano Americano contra los Sres. Parlade y Tous, en reclamación de 524.179 pts. de principal y 175.000 pts. calculadas provisionalmente para intereses y costas, en relación con un préstamo de 500.000 pts. otorgado mediante póliza </w:t>
      </w:r>
      <w:r>
        <w:lastRenderedPageBreak/>
        <w:t xml:space="preserve">de 10 de marzo de 1988 intervenida por Corredor de Comercio. El Auto de planteamiento de la cuestión fué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fué admitida a trámite por providencia de 4 de abril de 1990. </w:t>
      </w:r>
    </w:p>
    <w:p w:rsidR="00FE0907" w:rsidRDefault="00FE0907" w:rsidP="00FE0907">
      <w:pPr>
        <w:pStyle w:val="TextoNormal"/>
      </w:pPr>
      <w:r>
        <w:t xml:space="preserve">5) La cuestión núm. 2.382/90 ha sido planteada por el Juzgado de Primera Instancia e Instrucción núm. 1 de Valls (Tarragona), mediante Auto de 8 de octubre de 1990 (j.ejec. 60-90), por vulneración de los arts. 14 y 24.1 C.E. El Juzgado conoce de la demanda ejecutiva interpuesta por el Banco Bilbao Vizcaya contra los esposos Mata y Solé, en reclamación de 2.033.538 pts. de principal y 626.844 pts. de intereses y costas, en relación con un préstamo personal de 2.100.000 pts., otorgado mediante póliza de 30 de junio de 1989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29 de octubre de 1990. </w:t>
      </w:r>
    </w:p>
    <w:p w:rsidR="00FE0907" w:rsidRDefault="00FE0907" w:rsidP="00FE0907">
      <w:pPr>
        <w:pStyle w:val="TextoNormal"/>
      </w:pPr>
      <w:r>
        <w:t xml:space="preserve">6) La cuestión núm. 2.407/90 ha sido planteada por el Juzgado de Primera Instancia e Instrucción núm. 1 de Valls (Tarragona), mediante Auto de 9 de octubre de 1990 (j.ejec. 86-90), por vulneración de los arts. 14 y 24.1 CE. El Juzgado conoce de la demanda ejecutiva interpuesta por el Banco Santander contra los esposos Navarro y Casares, y otro, en reclamación de 504.324 pts. de principal y 350.000 pts. de costas e intereses pactados, en relación con un préstamo personal de 500.000 pts. otorgado mediante póliza de 25 de febrero de 1989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29 de octubre de 1990. </w:t>
      </w:r>
    </w:p>
    <w:p w:rsidR="00FE0907" w:rsidRDefault="00FE0907" w:rsidP="00FE0907">
      <w:pPr>
        <w:pStyle w:val="TextoNormal"/>
      </w:pPr>
      <w:r>
        <w:t xml:space="preserve">7) La cuestión núm. 2.436/90 ha sido planteada por el Juzgado de Primera Instancia e Instrucción núm. 1 de Valls (Tarragona), mediante Auto de 15 de octubre de 1990 (j.ejec. 99-90), por vulneración de los arts. 14 y 24.1 C.E. El Juzgado conoce de la demanda ejecutiva interpuesta por el Banco Bilbao Vizcaya contra el Sr. Mata Rodríguez y otro, en reclamación de 1.108.703 pts. de principal, 35.551 pts. de intereses y 400.000 pts. calculadas provisionalmente para gastos, en relación con un préstamo personal de 1.600.000 pts. otorgado mediante póliza de 13 de octubre de 1987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29 de octubre de 1990. </w:t>
      </w:r>
    </w:p>
    <w:p w:rsidR="00FE0907" w:rsidRDefault="00FE0907" w:rsidP="00FE0907">
      <w:pPr>
        <w:pStyle w:val="TextoNormal"/>
      </w:pPr>
      <w:r>
        <w:t xml:space="preserve">8) La cuestión núm. 2.437/90 ha sido planteada por el Juzgado de Primera Instancia e Instrucción núm. 1 de Valls (Tarragona), mediante Auto de 15 de octubre de 1990 (j.ejec. 161-90), por vulneración de los arts. 14 y 24.1 C.E. El Juzgado conoce de la demanda ejecutiva interpuesta por Banca Catalana contra los Sres. Solé y Padilla, en reclamación de 476.308 pts., en concepto de principal pendiente de pago, más los intereses de demora pactados y las costas que se produzcan fijados provisionalmente en 150.000 pts., en relación con un préstamo personal para la adquisición de un vehículo de 1.150.000 pts. otorgado mediante póliza de 19 de junio de 1986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lastRenderedPageBreak/>
        <w:t xml:space="preserve">La cuestión fue admitida a trámite por providencia de 29 de octubre de 1990. </w:t>
      </w:r>
    </w:p>
    <w:p w:rsidR="00FE0907" w:rsidRDefault="00FE0907" w:rsidP="00FE0907">
      <w:pPr>
        <w:pStyle w:val="TextoNormal"/>
      </w:pPr>
      <w:r>
        <w:t xml:space="preserve">9) La cuestión núm. 2.438/90 ha sido planteada por el Juzgado de Primera Instancia e Instrucción núm. 1 de Valls, mediante Auto de 15 de octubre de 1990 (j.ejec. 176-90), por vulneración de los arts. 14 y 24.1 C.E. El Juzgado conoce de la demanda ejecutiva interpuesta por Renault Financiaciones S.A. contra el Sr. Requena y la Sra. Rubio, en reclamación de 1.557.375 pts. más 650.000 pts. fijadas provisionalmente como intereses y costas, en relación con un préstamo de financiación para la adquisición de un vehículo,por importe de 1.400.000 pts., otorgado mediante póliza de 30 de octubre de 1988 con intervención de un Agente de Cambio y Bolsa. El Auto de planteamiento fue dictado, previo informe del Ministerio Fiscal, en el trámite para dictar el Auto a que se refiere el art. 1.440, párrafo 3, de la L.E.C. </w:t>
      </w:r>
    </w:p>
    <w:p w:rsidR="00FE0907" w:rsidRDefault="00FE0907" w:rsidP="00FE0907">
      <w:pPr>
        <w:pStyle w:val="TextoNormal"/>
      </w:pPr>
      <w:r>
        <w:t xml:space="preserve">La cuestión fue admitida a trámite por providencia de 12 de noviembre de 1990. </w:t>
      </w:r>
    </w:p>
    <w:p w:rsidR="00FE0907" w:rsidRDefault="00FE0907" w:rsidP="00FE0907">
      <w:pPr>
        <w:pStyle w:val="TextoNormal"/>
      </w:pPr>
      <w:r>
        <w:t xml:space="preserve">10) La cuestión núm. 2.842/90 ha sido planteada por la Audiencia Provincial (Sección Segunda) de Madrid, mediante Auto de 14 de noviembre de 1990 (r. apelación 315-88), por vulneración del art. 14 C.E. La Audiencia conoce en grado de apelación del litigio entablado por Banesto contra doña Isabel Herrero Tejero, en reclamación de 136.018 pts. de principal, más intereses y costas estimados prudencialmente en la cantidad de 80.000 pts., en relación con un crédito personal de 130.000 pts. para compra de mobiliario, otorgado mediante póliza de 6 de marzo de 1987 con intervención de Agente de Cambio y Bolsa. El Auto de planteamiento de la cuestión fue dictado, previo informe del Ministerio Fiscal, en el trámite para dictar Sentencia en el recurso de apelación interpuesto contra los Autos de 14 y 29 abril 1988 del Juzgado de Primera Instancia núm. 4 de Madrid (j.ejec. 433-88), que denegaron la ejecución solicitada por Banesto, por ser ilíquida la cantidad (arts. 1.440 y 1.467.2 L.E.C. y arts. 1214 y 1228 C.C). </w:t>
      </w:r>
    </w:p>
    <w:p w:rsidR="00FE0907" w:rsidRDefault="00FE0907" w:rsidP="00FE0907">
      <w:pPr>
        <w:pStyle w:val="TextoNormal"/>
      </w:pPr>
      <w:r>
        <w:t xml:space="preserve">La cuestión fue admitida a trámite por providencia de 14 de enero de 1991. </w:t>
      </w:r>
    </w:p>
    <w:p w:rsidR="00FE0907" w:rsidRDefault="00FE0907" w:rsidP="00FE0907">
      <w:pPr>
        <w:pStyle w:val="TextoNormal"/>
      </w:pPr>
      <w:r>
        <w:t xml:space="preserve">11) La cuestión núm. 1.078/91 ha sido planteada por el Juzgado de Primera Instancia núm. 9 de Madrid, mediante Auto de 20 de mayo de 1991 (j.ejec. 609-90), por vulneración de los arts. 14, 24.1 y 24.2 (proceso con las debidas garantías) C.E. El Juzgado conoce de la demanda ejecutiva interpuesta por el Banco Hispano Americano contra doña Matilde Grau, en reclamación de 36.402.537 pts. de principal más intereses y costas, en relación con un crédito en cuenta corriente de treinta millones de pts. otorgado mediante póliza de 21 de abril de 1988,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3 de junio de 1991. </w:t>
      </w:r>
    </w:p>
    <w:p w:rsidR="00FE0907" w:rsidRDefault="00FE0907" w:rsidP="00FE0907">
      <w:pPr>
        <w:pStyle w:val="TextoNormal"/>
      </w:pPr>
      <w:r>
        <w:t xml:space="preserve">12) La cuestión núm. 1.320/91 ha sido planteada por el Juzgado de Primera Instancia e Instrucción núm. 10 de Sevilla, mediante Auto de 14 de junio de 1991 (j.ejec. 457-91), por vulneración de los arts. 14, 24.1 y 51.1 C.E. El Juzgado conoce de la demanda ejecutiva interpuesta por la Caja de Ahorros de Córdoba contra los esposos Calle y Pérez Tenorio, en reclamación de 105.482 pts. de principal y 199.514 pts. de intereses, en relación con un crédito en cuenta corriente de 500.000 pts. otorgado mediante póliza de 20 de diciembre de 1985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1 de julio de 1991. </w:t>
      </w:r>
    </w:p>
    <w:p w:rsidR="00FE0907" w:rsidRDefault="00FE0907" w:rsidP="00FE0907">
      <w:pPr>
        <w:pStyle w:val="TextoNormal"/>
      </w:pPr>
      <w:r>
        <w:t xml:space="preserve">13) La cuestión núm. 1.472/91 ha sido planteada por el Juzgado de Primera Instancia e Instrucción núm. 8 de Sevilla, mediante Auto de 29 de junio de 1991 (j.ejec. 569-91), por </w:t>
      </w:r>
      <w:r>
        <w:lastRenderedPageBreak/>
        <w:t xml:space="preserve">vulneración de los arts. 14, 24, y 51 C.E. El Juzgado conoce de la demanda ejecutiva interpuesta por Bankinter contra doña Pilar Medina Guixot, en reclamación de 4.871.130 pts. y 1.000.000 pts. de intereses, gastos y costas, en relación con un crédito en cuenta corriente de 4.000.000 pts. otorgado mediante póliza de 28 de noviembre de 1988 intervenida por Corredor de Comercio. El Auto de planteamiento de la cuestión fue dictado, previo informe del Ministerio Fiscal, en el trámite para dictar el Auto a que se refiere el art. 1.440, párrafo 3, de la L.E.C. </w:t>
      </w:r>
    </w:p>
    <w:p w:rsidR="00FE0907" w:rsidRDefault="00FE0907" w:rsidP="00FE0907">
      <w:pPr>
        <w:pStyle w:val="TextoNormal"/>
      </w:pPr>
      <w:r>
        <w:t xml:space="preserve">La cuestión fue admitida a trámite por providencia de 15 de julio de 1991. </w:t>
      </w:r>
    </w:p>
    <w:p w:rsidR="00FE0907" w:rsidRDefault="00FE0907" w:rsidP="00FE0907">
      <w:pPr>
        <w:pStyle w:val="TextoNormal"/>
      </w:pPr>
      <w:r>
        <w:t xml:space="preserve">14) La cuestión núm. 1.519/91 ha sido planteada por el Juzgado de Primera Instancia e Instrucción núm. 10 de Sevilla, mediante Auto de 25 de junio de 1991 (a. 504-91-4), por vulneración de los arts. 14, 24.1 y 51.1 C.E. El Juzgado conoce de la demanda ejecutiva interpuesta por la Caja de Ahorros San Fernando de Sevilla contra los esposos Díaz y Reales, en reclamación de 11.661.226 pts. de principal y 661.226 pts. de intereses y costas en relación con un contrato de cuenta de crédito de 10.000.000 pts., con la finalidad de construir chalets en la playa de Matalascañas, otorgado mediante póliza de 18 de septiembre de 1989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15 de julio de 1991. </w:t>
      </w:r>
    </w:p>
    <w:p w:rsidR="00FE0907" w:rsidRDefault="00FE0907" w:rsidP="00FE0907">
      <w:pPr>
        <w:pStyle w:val="TextoNormal"/>
      </w:pPr>
      <w:r>
        <w:t xml:space="preserve">15) La cuestión núm. 1.532/91 ha sido planteada por el Juzgado de Primera Instancia e Instrucción núm. 10 de Sevilla, mediante Auto de 25 de junio de 1991 (a. 521-91-2), por vulneración de los arts. 14, 24.1 y 51.1 C.E. El Juzgado conoce de la demanda ejecutiva interpuesta por Banesto contra los Sres. Moreno y Moreno, en reclamación de cuatro millones de pts. de principal, 429.042 pts. de intereses comisiones y gastos en relación con un crédito personal de cuatro millones de pts. para atenciones de su negocio, otorgado mediante póliza de 11 de mayo de 1990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19 de julio de 1991. </w:t>
      </w:r>
    </w:p>
    <w:p w:rsidR="00FE0907" w:rsidRDefault="00FE0907" w:rsidP="00FE0907">
      <w:pPr>
        <w:pStyle w:val="TextoNormal"/>
      </w:pPr>
      <w:r>
        <w:t xml:space="preserve">16) La cuestión núm. 1.623/91 ha sido planteada por el Juzgado de Primera Instancia e Instrucción núm. 10 de Sevilla, mediante Auto de 6 de julio de 1991 (j.ejec. 356-91-1), por vulneración de los arts. 14, 24.1 y 51.1 C.E. El Juzgado conoce de la demanda ejecutiva interpuesta por el Banco Exterior de España contra la entidad Servicios y Asistencias Andaluzas, S.A., y los esposos Pino y Durán, en reclamación de 2.582.441 pts. de principal, y un millón y medio de pts. de intereses y costas en relación con un contrato de negociación de letras de cambio y otros documentos similares, y a la concesión de anticipos hasta un máximo de 3.000.000 pts., otorgado mediante póliza de 10 de octubre de 1990 intervenida por Corredor de Comercio. El Auto de planteamiento de la cuestión fue dictado, previa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16 de septiembre de 1991. </w:t>
      </w:r>
    </w:p>
    <w:p w:rsidR="00FE0907" w:rsidRDefault="00FE0907" w:rsidP="00FE0907">
      <w:pPr>
        <w:pStyle w:val="TextoNormal"/>
      </w:pPr>
      <w:r>
        <w:t xml:space="preserve">17) La cuestión núm. 1.885/91 ha sido planteada por el Juzgado de Primera Instancia e Instrucción núm. 8 de Sevilla, mediante Auto de 11 de septiembre de 1991 (j.ejec. 442-91), por vulneración de los arts. 14, 24 y 51 C.E. El Juzgado conoce de la demanda ejecutiva interpuesta por el Banco de Santander contra el Sr. Bello Travesedo, en reclamación de 214.000 pts. de principal, 73.906 pts. de intereses, comisiones, y 140.000 pts. fijadas </w:t>
      </w:r>
      <w:r>
        <w:lastRenderedPageBreak/>
        <w:t xml:space="preserve">provisionalmente para costas e intereses sucesivos, en relación con un crédito en cuenta corriente de 250.000 pts., otorgado mediante póliza de 13 de julio de 1989 intervenida por Corredor de Comercio. El Auto de planteamiento de la cuestión fue dictado, previo informe del Ministerio Fiscal, en el trámite para dictar el Auto a que se refiere el art. 1.440, párrafo 3, de la L.E.C. </w:t>
      </w:r>
    </w:p>
    <w:p w:rsidR="00FE0907" w:rsidRDefault="00FE0907" w:rsidP="00FE0907">
      <w:pPr>
        <w:pStyle w:val="TextoNormal"/>
      </w:pPr>
      <w:r>
        <w:t xml:space="preserve">La cuestión fue admitida a trámite por providencia de 30 de septiembre de 1991. </w:t>
      </w:r>
    </w:p>
    <w:p w:rsidR="00FE0907" w:rsidRDefault="00FE0907" w:rsidP="00FE0907">
      <w:pPr>
        <w:pStyle w:val="TextoNormal"/>
      </w:pPr>
      <w:r>
        <w:t xml:space="preserve">18) La cuestión núm. 1.886/91 ha sido planteada por el Juzgado de Primera Instancia e Instrucción núm. 8 de Sevilla, mediante Auto de 11 de septiembre de 1991 (j.ejec. 659-91), por vulneración de los arts. 14, 24 y 51 C.E. El Juzgado conoce de la demanda ejecutiva interpuesta por la Caja de Ahorros de Huelva y Sevilla contra la Carpintería Aljarafe S.L. y las Sras. Alcaide y Fernández, en reclamación de 4.606.214 pts. de principal, y 606.214 pts. de intereses y costas, en relación con un crédito para el descuento de documentos y efectos, hasta 5.000.000 pts., otorgado mediante póliza de 28 de abril de 1989 intervenida por Corredor de Comercio. El Auto de planteamiento de la cuestión fue dictado, previa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30 de septiembre de 1991. </w:t>
      </w:r>
    </w:p>
    <w:p w:rsidR="00FE0907" w:rsidRDefault="00FE0907" w:rsidP="00FE0907">
      <w:pPr>
        <w:pStyle w:val="TextoNormal"/>
      </w:pPr>
      <w:r>
        <w:t xml:space="preserve">19) La cuestión núm. 1.901/91 ha sido planteada por el Juzgado de Primera Instancia e Instrucción núm. 10 de Sevilla, mediante Auto de 2 de septiembre de 1991 (j.ejec. 547-91-1), por vulneración de los arts. 14, 24.1 y 51.1 C.E. El Juzgado conoce de la demanda ejecutiva interpuesta por la Caja Rural de Sevilla contra los esposos Ayala y Praena, en reclamación de 5.248.793 pts. de principal, y 2.500.000 pts. de intereses y costas, en relación con un crédito en cuenta corriente de 5.000.000 pts., para atenciones agrícolas, otorgado mediante póliza de 24 de mayo de 1990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 xml:space="preserve">La cuestión fue admitida a trámite por providencia de 30 de septiembre de 1991. </w:t>
      </w:r>
    </w:p>
    <w:p w:rsidR="00FE0907" w:rsidRDefault="00FE0907" w:rsidP="00FE0907">
      <w:pPr>
        <w:pStyle w:val="TextoNormal"/>
      </w:pPr>
      <w:r>
        <w:t xml:space="preserve">20) La cuestión núm. 1.903/91 ha sido planteada por el Juzgado de Primera Instancia e Instrucción núm. 8 de Sevilla, mediante Auto de 10 de septiembre de 1991 (j.ejec. 342-91), por vulneración de los arts. 14, 24 y 51 C.E. El Juzgado conoce de la demanda ejecutiva interpuesta por el Banco Urquijo contra Andaluza de Agroquímicos, S.A., en reclamación de 1.985.896 pts. de principal, y 374.745 pts. de intereses más 800.000 pts. calculadas para intereses, gastos y costas, en relación con un contrato de negociación y descuento de documentos, con un crédito por un máximo de dos millones de pts., otorgado mediante póliza de 13 de febrero de 1989 intervenida por Corredor de Comercio. El Auto de planteamiento de la cuestión fue dictado, previo informe del Ministerio Fiscal y oposición por parte de la entidad actora, en el trámite para dictar el Auto a que se refiere el art. 1.440, párrafo 3, de la L.E.C. </w:t>
      </w:r>
    </w:p>
    <w:p w:rsidR="00FE0907" w:rsidRDefault="00FE0907" w:rsidP="00FE0907">
      <w:pPr>
        <w:pStyle w:val="TextoNormal"/>
      </w:pPr>
      <w:r>
        <w:t>La cuestión fue admitida a trámite por providencia de 30 de septiembre de 1991.</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Mediante Auto de 22 de mayo de 1990, el Pleno acordó acumular las cuestiones de inconstitucionalidad registradas con los núms. 682/90, 701/90 y 803/90, planteadas por el Juzgado de Primera Instancia e Instrucción núm. 1 de Valls, a la registrada con el núm. 1.219/88, planteada por la Audiencia Provincial de Cuenca, a tenor de lo dispuesto por el art. 83 LOTC. </w:t>
      </w:r>
    </w:p>
    <w:p w:rsidR="00FE0907" w:rsidRDefault="00FE0907" w:rsidP="00FE0907">
      <w:pPr>
        <w:pStyle w:val="TextoNormal"/>
      </w:pPr>
      <w:r>
        <w:t xml:space="preserve">Mediante Auto de 23 de abril de 1991, el Pleno acordó acumular a las mencionadas las cuestiones registradas con los núms. 2.382, 2.407, 2.436, 2.437, 2.438 y 2.842/90. </w:t>
      </w:r>
    </w:p>
    <w:p w:rsidR="00FE0907" w:rsidRDefault="00FE0907" w:rsidP="00FE0907">
      <w:pPr>
        <w:pStyle w:val="TextoNormal"/>
      </w:pPr>
      <w:r>
        <w:lastRenderedPageBreak/>
        <w:t>Igualmente, por Auto de 29 de octubre de 1991 fueron acumuladas las cuestiones de inconstitucionalidad núms. 1.078, 1.320, 1.472, 1.519, 1.532, 1.623, 1.885, 1.886, 1.901 y 1.903/91, por resultar evidente la conexión objetiva que existía entre todos los asuntos, promovidos en relación con el mismo precepto de la Ley de Enjuiciamiento Civil, siendo coincidentes los artículos de la Constitución que se estiman infringidos --sin que se alterara básicamente dicha coincidencia porque alguno de los Autos de planteamiento incluyeran también el art. 51.1 C.E como violado--, siendo también sustancialmente similares los razonamientos utilizados por cada uno de los órganos judiciales proponentes. Lo que justificaba la unidad de tramitación y decisión de los procesos constitucionales, conforme dispone el art. 83 LOTC.</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fundamentación de los diversos Autos que plantean las cuestiones de inconstitucionalidad puede ser sistematizada en los términos siguientes: </w:t>
      </w:r>
    </w:p>
    <w:p w:rsidR="00FE0907" w:rsidRDefault="00FE0907" w:rsidP="00FE0907">
      <w:pPr>
        <w:pStyle w:val="TextoNormal"/>
      </w:pPr>
      <w:r>
        <w:t xml:space="preserve">1) La Audiencia Provincial de Cuenca cuestiona el penúltimo párrafo del art. 1.435 L.E.C., tal y como ha sido redactado por la Ley 34/1984, de 6 agosto, de Reforma Urgente de la Ley de Enjuiciamiento Civil, por la posible vulneración del art. 14 de la Constitución. </w:t>
      </w:r>
    </w:p>
    <w:p w:rsidR="00FE0907" w:rsidRDefault="00FE0907" w:rsidP="00FE0907">
      <w:pPr>
        <w:pStyle w:val="TextoNormal"/>
      </w:pPr>
      <w:r>
        <w:t xml:space="preserve">Tras examinar la jurisprudencia contradictoria de otras Salas y órganos judiciales al respecto, expone que el mencionado precepto legal concede a las entidades bancarias o de crédito un privilegio de hacer prueba por sí mismas en el juicio ejecutivo, del cual no gozan las demás personas físicas o jurídicas. Así en el supuesto legal que se cuestiona, la liquidez de la cantidad reclamada por el actor, siempre que éste sea una entidad de crédito, ahorro o financiación, resulta de la certificación que emiten dos empleados suyos y que fijan un saldo de acuerdo con lo que consta en sus libros, certificación que viene cotejada por Corredor colegiado de Comercio por examen de esos mismos libros. Esa desigualdad favorable a las entidades de crédito se traduce en una desviación del onus probandi que, conforme al art. 1.214 del Código Civil, incumbe al que reclama el cumplimiento de las obligaciones, disponiendo el art. 48.1 del Código de Comercio que los libros de comercio sólo hacen prueba contra los propios comerciantes que los hayan confeccionado. Por el contrario, en virtud del penúltimo párrafo del art. 1.435 de la Ley de Enjuiciamiento Civil, tratándose de un proceso monitorio documental, no es necesario que el actor pruebe el saldo que resulta contra el demandado, sin que baste un pacto privado entre las partes que suponga inversión de la carga de la prueba, pues las normas procesales probatorias son de orden público y de imposible pacto en contrario. </w:t>
      </w:r>
    </w:p>
    <w:p w:rsidR="00FE0907" w:rsidRDefault="00FE0907" w:rsidP="00FE0907">
      <w:pPr>
        <w:pStyle w:val="TextoNormal"/>
      </w:pPr>
      <w:r>
        <w:t xml:space="preserve">2) El Juzgado de Primera Instancia e Instrucción núm. 1 de Valls (Tarragona) entiende que el art. 1.435, penúltimo párrafo, primera frase, de la L.E.C. (pues la frase final de ese mismo párrafo, que se refiere a las cuentas con garantía hipotecaria, queda al margen de la cuestión), vulnera los arts. 14 y 24.1 Constitución. </w:t>
      </w:r>
    </w:p>
    <w:p w:rsidR="00FE0907" w:rsidRDefault="00FE0907" w:rsidP="00FE0907">
      <w:pPr>
        <w:pStyle w:val="TextoNormal"/>
      </w:pPr>
      <w:r>
        <w:t xml:space="preserve">El precepto cuestionado rompe la igualdad que establece el art. 14 C.E, porque las entidades de crédito, ahorro y financiación se ven privilegiadas en el cobro de sus créditos, sin razón objetiva que lo justifique. La desigualdad se produce respecto a las demás entidades y ciudadanos, porque en la normativa general que ordena la contratación entre particulares (pues las entidades de crédito no son entes públicos) rige el principio de igualdad absoluta (arts. 1.256 y 1.115 C.C.). No se cuestiona su intervención como tercero (así el art. 51 de la Ley Cambiaria y del Cheque de 1985, a los efectos del protesto de letras), sino cuando ellas determinan el saldo que se les adeuda. Otras entidades, igualmente serias y solventes, no pueden hacerlo: subraya el contraste que ofrece el proceso de fijación de saldos de las cuentas corrientes con garantía hipotecaria (arts. 153 y 131 de la Ley Hipotecaria), que a </w:t>
      </w:r>
      <w:r>
        <w:lastRenderedPageBreak/>
        <w:t xml:space="preserve">pesar de disfrutar de una garantía superior ofrecen mayores garantías para el deudor, al permitir que éste alegue error o falsedad, que ha de ser determinado, previa comparecencia, por el Juez. La desigualdad se produce, asimismo, respecto al particular que contrata con las entidades de crédito: éste no puede hacer lo propio para reclamar el saldo resultante a su favor que se derive de la misma póliza, acudiendo a un juicio ejecutivo previa intervención del Corredor de Comercio, debiendo acudir al reconocimiento previsto por el art. 1.430 L.E.C. </w:t>
      </w:r>
    </w:p>
    <w:p w:rsidR="00FE0907" w:rsidRDefault="00FE0907" w:rsidP="00FE0907">
      <w:pPr>
        <w:pStyle w:val="TextoNormal"/>
      </w:pPr>
      <w:r>
        <w:t xml:space="preserve">El Auto razona que el art. 1.435 L.E.C. quebranta asimismo el art. 24.1 C.E, en cuanto prohíbe la indefensión. Ello es así porque es preciso despachar la ejecución, y llevar a cabo el embargo si no se paga, por una cantidad líquida que resulta exclusivamente de las manifestaciones de la actora, sin oír al demandado. Tales manifestaciones son la única prueba de la existencia de la deuda, y no sólo de su cuantía, porque una liquidación correcta del saldo de la cuenta puede entrañar un saldo nulo, o incluso deudor para el supuesto acreedor. Es cierto que en un momento posterior el ejecutado puede oponerse, pero el embargo subsistirá. La intervención del fedatario mercantil no evita la indefensión denunciada. Primero, porque al acreditar que la liquidación se ha practicado en la forma pactada por las partes en el título ejecutivo se incurre en una petición de principio, porque es evidente que la liquidación ha sido efectuada por la propia entidad bancaria. Y que conste que si el saldo coincide con el que aparece en la cuenta abierta al deudor adolece de igual problema, porque no hay una comprobación de que las partidas --cuyo saldo final se certifica-- reflejan la realidad de los movimientos de la cuenta corriente. De nuevo la situación contrasta con las previsiones del art. 153 L.H. (y 245 R.H.). Sin que una interpretación alternativa del art. 1.435 L.E.C., para adecuarlo a la Constitución, pueda evitar la indefensión: porque una comprobación judicial (en la línea de la Orden Ministerial de 21 de abril de 1950, art. 2), directa o mediante fedatario mercantil, y la exigencia de que la certificación bancaria contenga con el máximo detalle las partidas que llevan al saldo, no impide que la realidad de las operaciones reflejadas se apoyen en la sola palabra de la actora. </w:t>
      </w:r>
    </w:p>
    <w:p w:rsidR="00FE0907" w:rsidRDefault="00FE0907" w:rsidP="00FE0907">
      <w:pPr>
        <w:pStyle w:val="TextoNormal"/>
      </w:pPr>
      <w:r>
        <w:t xml:space="preserve">Por otra parte, no vale afirmar que el deudor se avino contractualmente a la situación denunciada, pues ésta viene impuesta por un contrato de adhesión, al que se acogen todas las entidades privilegiadas sin excepción. </w:t>
      </w:r>
    </w:p>
    <w:p w:rsidR="00FE0907" w:rsidRDefault="00FE0907" w:rsidP="00FE0907">
      <w:pPr>
        <w:pStyle w:val="TextoNormal"/>
      </w:pPr>
      <w:r>
        <w:t xml:space="preserve">Por último, los Autos del Juzgado de Valls razonan la relevancia de la cuestión suscitada, así como el momento procesal elegido para plantearlo. Si el párrafo 4 del art. 1.435 L.E.C. es nulo, el Juez debe dictar Auto denegando la ejecución; si por el contrario es válido, deberá dar lugar al despacho (arts. 1.440.3 y 1.467.2 L.E.C). En este último supuesto el ejecutado podrá alegar la iliquidez del título ejecutivo, pero su alegato deberá ser desestimado inexorablemente. Podrá, eso sí, alegar pluspetición (art. 1.466 L.E.C.), pero ello será en el seno del limitado debate que permite la Ley antes de dictar Sentencia de remate, lo cual resulta ajeno a la indefensión denunciada, que se centra en el embargo inaudita parte y el sometimiento a un juicio ejecutivo. Estas observaciones justifican que se haya suscitado la cuestión antes de resolver sobre el despacho de ejecución, a la vista de la demanda presentada por la entidad ejecutante, pues era el último momento en que se podía plantear sin privilegiar indebidamente a la actora, ni causar indefensión al ejecutado. </w:t>
      </w:r>
    </w:p>
    <w:p w:rsidR="00FE0907" w:rsidRDefault="00FE0907" w:rsidP="00FE0907">
      <w:pPr>
        <w:pStyle w:val="TextoNormal"/>
      </w:pPr>
      <w:r>
        <w:t xml:space="preserve">3) La Audiencia Provincial (Sección Segunda) de Madrid entiende que el párrafo 4 del art. 1.435 L.E.C. puede vulnerar el art. 14 Constitución. Antes de razonar este aserto, no deja de mostrar su censura al Juzgado a quo, que había dictado Auto denegando la ejecución solicitada por la entidad apelante, porque el control de constitucionalidad de las leyes vigentes es de carácter concentrado; no obstante entiende procedente elevar directamente </w:t>
      </w:r>
      <w:r>
        <w:lastRenderedPageBreak/>
        <w:t xml:space="preserve">la cuestión de inconstitucionalidad, porque la Audiencia que conoce de un asunto en apelación se encuentra en la misma situación que el Juzgador a quo. </w:t>
      </w:r>
    </w:p>
    <w:p w:rsidR="00FE0907" w:rsidRDefault="00FE0907" w:rsidP="00FE0907">
      <w:pPr>
        <w:pStyle w:val="TextoNormal"/>
      </w:pPr>
      <w:r>
        <w:t xml:space="preserve">El juicio ejecutivo tiende a la rápida creación de un título puro de ejecución, invirtiendo el contradictorio; a diferencia del proceso monitorio puro, es de carácter documental: sólo se puede abrir con apoyo en alguno de los documentos taxativamente numerados por el art. 1.429 L.E.C., y para reclamar una cantidad líquida (art. 1.435). Pero el núm. 6 del art. 1.429 ofrece un supuesto en el que la deuda es ilíquida por esencia, pues comprende el principal o la parte que no ha sido devuelta todavía más los intereses, ya sean totales o parciales. El párrafo 4 del art. 1.435 ofrece un medio para liquidar la deuda en estos supuestos, en favor de determinadas entidades, que intervienen como acreedoras; destacando que la intervención del fedatario público se contrae a la documentación que le ofrecen estas últimas, que son procesalmente una parte interesada. </w:t>
      </w:r>
    </w:p>
    <w:p w:rsidR="00FE0907" w:rsidRDefault="00FE0907" w:rsidP="00FE0907">
      <w:pPr>
        <w:pStyle w:val="TextoNormal"/>
      </w:pPr>
      <w:r>
        <w:t xml:space="preserve">Esta regulación es contraria al art. 14 Constitución, porque establece una posibilidad de acceso al despacho de la ejecución en favor de las entidades que citan, y no en favor de la generalidad de las personas, en términos que resultan contrarios a la doctrina declarada por las SSTC 34/1981, 75/1983 y 166/1986. La Sección no alcanza a comprender las razones que llevan al legislador a singularizar los contratos mercantiles de estas entidades, en comparación con la regla general: regla que se cifra en que las deudas derivadas de los contratos civiles o mercantiles no tienen carácter líquido, sin que la confección de la contabilidad de ninguna de estas entidades goce de fe pública. La norma cuestionada no ha sido hecha para tutelar bienes jurídicos constitucionalmente protegidos, de carácter superior al sacrificado, pues los ejecutados se ven constreñidos a una acción cautelar, mediante el embargo de sus bienes o la consignación de la cantidad supuestamente adeudada, y a una oposición limitada. </w:t>
      </w:r>
    </w:p>
    <w:p w:rsidR="00FE0907" w:rsidRDefault="00FE0907" w:rsidP="00FE0907">
      <w:pPr>
        <w:pStyle w:val="TextoNormal"/>
      </w:pPr>
      <w:r>
        <w:t xml:space="preserve">4) El Juzgado de Primera Instancia núm. 9 de Madrid considera, en el Auto por el que plantea la cuestión de inconstitucionalidad, que la primera frase del penúltimo párrafo del art. 1.435 L.E.C. vulnera los arts. 14, 24.1 y 24.2 de la Constitución. Con carácter preliminar expone la relevancia que dicho precepto tiene para la decisión que ha de adoptar. Una vez despachada la ejecución, y habiéndose personado el ejecutado formulando oposición, y habiendo practicado la prueba pedida por ambas partes, debe dictar Sentencia de remate de conformidad con el art. 1.473 L.E.C. Dicha Sentencia ha de partir de una presunción de liquidez de la deuda, que viene establecida por el art. 1.435.4. Que se trate de una norma procesal resulta indiferente, como manifestaron las SSTC 76/1982 y 76/1990. Resulta imposible una interpretación ajustada a los principios constitucionales, en todos los supuestos y, especialmente, cuando el demandado permanece en rebeldía; pues en este caso el art. 1.462 ordena que se traigan los Autos a la vista para dictar Sentencia con la sola citación del ejecutante, resultando inevitable, dada la presunción de liquidez de la justificación de saldo, ordenar que se siga adelante con el remate de los bienes embargados. </w:t>
      </w:r>
    </w:p>
    <w:p w:rsidR="00FE0907" w:rsidRDefault="00FE0907" w:rsidP="00FE0907">
      <w:pPr>
        <w:pStyle w:val="TextoNormal"/>
      </w:pPr>
      <w:r>
        <w:t>El Juzgado entiende vulnerado el principio de igualdad en la Ley que contiene el art. 14 C.E. En primer lugar, porque el art. 1.435 ha introducido un tratamiento discriminatorio de las entidades crediticias, frente a los demás acreedores, aunque también medie con el deudor un contrato de crédito o préstamo; pues solamente ellas tienen el privilegio de establecer el saldo deudor, con presunción de liquidez, mediante certificación de dos empleados suyos --o que dicen serlo--. La acreditación del fedatario público no añade nada en la práctica, habiendo extremado las precauciones los Colegios profesionales implicados. Este privilegio no tiene justificación expresa, ni deducible del propio precepto. En segundo lugar se acentúa el privilegio, si se considera en relación con el prestatario en la misma relación jurídica: si discrepa con la entidad de crédito, y quiere reclamar una cantidad su</w:t>
      </w:r>
      <w:r>
        <w:lastRenderedPageBreak/>
        <w:t xml:space="preserve">puestamente abonada en exceso, debe obtener en un proceso declarativo su derecho adverando la liquidación que reclama. </w:t>
      </w:r>
    </w:p>
    <w:p w:rsidR="00FE0907" w:rsidRDefault="00FE0907" w:rsidP="00FE0907">
      <w:pPr>
        <w:pStyle w:val="TextoNormal"/>
      </w:pPr>
      <w:r>
        <w:t xml:space="preserve">Esta situación es completamente contraria al imperativo de defender a los consumidores y usuarios, protegiendo sus legítimos intereses económicos, que enuncia el art. 51.1 C.E, pues en la casi generalidad de los casos el prestatario es un usuario o consumidor. En desarrollo de este precepto la Ley General para la Defensa de los Consumidores y Usuarios, (Ley 26/1984, de 19 julio) establece unos derechos básicos [art. 2.1, letras d) y f)], que suponen una protección prioritaria frente a quienes suministran los bienes o servicios (arts. 2.2 y 7). Su art. 10 expresamente excluye de los contratos las cláusulas oscuras, contrarias a la buena fe y al justo equilibrio de las prestaciones, entre las que se incluyen las condiciones abusivas de crédito. El sistema de liquidación de créditos establecido por el art. 1.435 L.E.C. supone todo lo contrario, pues a la desigualdad inicial entre los contratantes añade otra a la hora de acudir al proceso. </w:t>
      </w:r>
    </w:p>
    <w:p w:rsidR="00FE0907" w:rsidRDefault="00FE0907" w:rsidP="00FE0907">
      <w:pPr>
        <w:pStyle w:val="TextoNormal"/>
      </w:pPr>
      <w:r>
        <w:t xml:space="preserve">Dado que el art. 14 no exige una parificación absoluta, sino una justificación de las desigualdades (SSTC 34/1981, 78/1983, y 103/1983), el Auto examina y descarta posibles razones de la norma cuestionada. La seguridad del tráfico mercantil es, sin duda, un principio que debe ser preservado, pero que atañe a todos los implicados en las relaciones jurídicas mercantiles, y no sólo a las entidades de crédito, ahorro o financiación. Los controles que realiza el Banco de España no ofrecen justificación suficiente, pues ni dicho control se extiende a las operaciones concretas relativas a créditos singulares, ni la existencia de un control externo puede justificar que la liquidación del saldo deudor se haga sin la presencia del primer interesado. Por último, es cierto que la esencia del crédito exige darle trámites ágiles para su realización; pero el privilegio en cuestión es absolutamente ajeno a la condición del crédito, como muestra una confrontación entre las normas de clasificación y prelación de créditos (art. 1.921 y ss. Código Civil), y las normas procesales correspondientes (especialmente el art. 153 L.H., relativo a las hipotecas que garantizan cuentas corrientes). No es, por tanto, razonable que la fijación del saldo de forma unilateral por el acreedor sea inherente al propio crédito. </w:t>
      </w:r>
    </w:p>
    <w:p w:rsidR="00FE0907" w:rsidRDefault="00FE0907" w:rsidP="00FE0907">
      <w:pPr>
        <w:pStyle w:val="TextoNormal"/>
      </w:pPr>
      <w:r>
        <w:t xml:space="preserve">El Juzgado de Madrid también entiende vulnerado el principio de defensión que enuncia el art. 24.1 Constitución, pues el art. 1.435.4 L.E.C. introduce un desequilibrio procesal que no se encuentra justificado en modo alguno y es irrazonable (STC 3/1983), además de suponer una inversión del principio equilibrador que propugnan el art. 51.1 C.E y la Ley de Defensa del Consumidor. La originaria desventaja que existe en la relación jurídico material entre las entidades de crédito y sus clientes se agrava en el proceso, a causa del precepto cuestionado; pues éste permite que aquéllas accedan a un tipo de proceso privilegiado, y permite un embargo preventivo para garantizar una "liquidación" fijada unilateralmente por una de las partes (en contravención de la Ley de Defensa del Consumidor y del art. 1.256 Código Civil). En el momento de decidir sobre el despacho de la ejecución, el juzgador ni tiene datos de hecho para contrastar la veracidad de los datos contables del acreedor, ni cuenta con un conocimiento especializado de contabilidad y matemática financiera. Una vez despachada la ejecución, el demandado ha de vigilar la realidad del saldo contable y la corrección de las operaciones efectuadas por el demandante, en el seno de un proceso sumario. Eso cuando media oposición a la ejecución, pues en caso de rebeldía el art. 1.462 L.E.C. vuelve ineludible prácticamente que se siga la ejecución adelante, dando un último espaldarazo a la liquidación unilateral del saldo. </w:t>
      </w:r>
    </w:p>
    <w:p w:rsidR="00FE0907" w:rsidRDefault="00FE0907" w:rsidP="00FE0907">
      <w:pPr>
        <w:pStyle w:val="TextoNormal"/>
      </w:pPr>
      <w:r>
        <w:t xml:space="preserve">Por último, el Auto de planteamiento razona que el precepto cuestionado vulnera el derecho a un proceso con todas las garantías, contenido en el art. 24.2 C.E, y su equivalente derecho a un proceso equitativo del Convenio Europeo de Derechos Humanos (STEDH, </w:t>
      </w:r>
      <w:r>
        <w:lastRenderedPageBreak/>
        <w:t xml:space="preserve">caso Golder, de 21 febrero 1975). No se pone en duda ni la necesidad de dar seguridad al tráfico mercantil y potenciar los derechos de crédito, ni tampoco el encauzamiento por la vía del juicio ejecutivo de otros títulos enumerados en el art. 1429 LEC. Pero cuando se trata de pólizas de crédito con pacto de liquidez la situación cambia. Se deja el nacimiento de un título ejecutivo al arbitrio de una de las partes, título ejecutivo que abre el camino a un tipo de juicio, el ejecutivo, en el que el legislador ha otorgado al acreedor una clara posición de preeminencia: el demandado queda sometido a embargo si no paga, por resolución dictada sin audiencia del deudor; y a un proceso sumario, en que sus medios de defensa quedan limitados ex lege, y con un exiguo término probatorio, más reducido incluso que el del juicio verbal. </w:t>
      </w:r>
    </w:p>
    <w:p w:rsidR="00FE0907" w:rsidRDefault="00FE0907" w:rsidP="00FE0907">
      <w:pPr>
        <w:pStyle w:val="TextoNormal"/>
      </w:pPr>
      <w:r>
        <w:t xml:space="preserve">Así pues, si el demandado no se opone a la ejecución, verá dictada una Sentencia de remate que contemplará como líquido lo que no puede serlo por principio. Y si se opone, se encontrará en una situación procesal de subordinación, porque: a) en el juicio ejecutivo hay una inversión de la posición de las partes en el proceso, y también de la carga probatoria; no es suficiente rechazar los hechos alegados por el actor, sino que hay que alegar --y probar-- las excepciones; b) el actor es quien tiene el derecho a las últimas alegaciones, a aportar documentos y proponer prueba, mientras que el demandado carece de la posibilidad de contradecir los datos introducidos por el demandante porque no hay trámite para ello; c) el término probatorio es tan sólo de diez días, normalmente insuficiente para demostrar que los cálculos del demandante no son correctos --no es líquida la obligación-- o que se ha excedido en el importe de la reclamación. No vale remitirse al juicio declarativo que contempla el art. 1.479 L.E.C., porque una jurisprudencia reiterada impide que en el segundo se debatan los medios de oposición que pudieran emplearse en el juicio ejecutivo, incluyendo los contemplados en los arts. 1.467 y 1.466 L.E.C., que producen el efecto de cosa juzgada; simultáneamente, el juicio de ejecución ofrece unos estrechos márgenes de cognición, que impiden declaraciones de derecho. </w:t>
      </w:r>
    </w:p>
    <w:p w:rsidR="00FE0907" w:rsidRDefault="00FE0907" w:rsidP="00FE0907">
      <w:pPr>
        <w:pStyle w:val="TextoNormal"/>
      </w:pPr>
      <w:r>
        <w:t xml:space="preserve">5) El Juzgado de Primera Instancia núm. 10 de Sevilla sostiene la inconstitucionalidad del párrafo 4, primera frase, del art. 1.435 L.E.C. por vulnerar los arts. 14, 24.1, y 51.1 de la Constitución. Con carácter preliminar justifica la pertinencia del momento elegido para plantear la cuestión, en la fase de despacho de la ejecución, por ser preciso determinar ahora si la cantidad reclamada es o no líquida (arts. 1.440.3 y 1.467.2, último inciso, L.E.C.), como autoriza la doctrina de la STC 76/1982. </w:t>
      </w:r>
    </w:p>
    <w:p w:rsidR="00FE0907" w:rsidRDefault="00FE0907" w:rsidP="00FE0907">
      <w:pPr>
        <w:pStyle w:val="TextoNormal"/>
      </w:pPr>
      <w:r>
        <w:t xml:space="preserve">El Auto sostiene, en primer lugar, que el precepto cuestionado rompe el derecho a la igualdad en la Ley (STC 34/1981) que ostenta un valor preeminente (STC 8/1986), en cuanto faculta a las entidades de crédito para determinar unilateralmente la liquidez de las obligaciones derivadas de los contratos mercantiles que implican la existencia de una relación de cuenta corriente entre la entidad crediticia y el cliente, a los efectos de constituir un título ejecutivo apto para que sea despachada ejecución en un juicio ejecutivo. Ello lo obtiene permitiéndoles efectuar una liquidación unilateral, tanto en la fijación de las partidas del "debe" y del "haber", como las operaciones aritméticas por las que se llega al saldo. Liquidación que no es propiamente tal, porque excluye a la otra parte, siendo así que una verdadera liquidación requiere la intervención de las dos partes de la relación. Se confunde así cantidad líquida con cantidad determinada. </w:t>
      </w:r>
    </w:p>
    <w:p w:rsidR="00FE0907" w:rsidRDefault="00FE0907" w:rsidP="00FE0907">
      <w:pPr>
        <w:pStyle w:val="TextoNormal"/>
      </w:pPr>
      <w:r>
        <w:t xml:space="preserve">La intervención del fedatario, prevista por el artículo, es muy limitada: 1) al acreditar que la liquidación se ha hecho en la forma pactada se ciñe al mero procedimiento seguido para hacerlo, según la interpretación dada por el Consejo General Bancario que es seguida por las entidades crediticias y por buena parte de los corredores de comercio y los agentes de cambio y bolsa; aun cuando se refiriera a la adecuación y exactitud de las operaciones </w:t>
      </w:r>
      <w:r>
        <w:lastRenderedPageBreak/>
        <w:t xml:space="preserve">matemáticas realizadas con base en los tipos pactados, seguiría partiendo de la documentación suministrada por el banco; 2) la coincidencia de saldo no añade garantía alguna, porque la contabilidad de la entidad crediticia es documentación privada. Como consecuencia, la Ley otorga un privilegio a estas entidades, permitiéndoles constituir títulos ejecutivos gracias a una liquidación ficticia, realizada unilateralmente por ellas a partir de sus documentos privados. Con ello logran el acceso a un procedimiento judicial privilegiado, cerrado a los otros acreedores. Y además se otorga un valor probatorio privilegiado a sus documentos contables, respecto del carácter de documento privado propio de los libros de los comerciantes (art. 31 Código de Comercio y art. 1.228 Código Civil), como si de documentos públicos se tratara. </w:t>
      </w:r>
    </w:p>
    <w:p w:rsidR="00FE0907" w:rsidRDefault="00FE0907" w:rsidP="00FE0907">
      <w:pPr>
        <w:pStyle w:val="TextoNormal"/>
      </w:pPr>
      <w:r>
        <w:t xml:space="preserve">El Auto rechaza las posibles justificaciones de este diferente trato legal. El origen en un convenio de las partes, porque se trata de un contrato de adhesión, generalizado en la práctica, y ante el que no existe libertad de contratar dada la absoluta necesidad del servicio bancario en la vida moderna. No se refuerza la posición jurídica al deudor como se afirmó en el debate parlamentario, sino todo lo contrario. La seriedad que caracteriza a este sector empresarial es insuficiente, pues lo mismo se puede predicar de otros sectores que utilizan el mismo mecanismo de cuenta corriente, y se encuentra cuarteada por la reciente historia bancaria, con crisis e irregularidades contables en diversas entidades; sin que el control del Banco de España garantice la exactitud de las concretas partidas contables de cada una de las cuentas, al ser un control administrativo destinado a asegurar la solvencia, y por razones de factibilidad. Por último, la necesidad de agilizar el tráfico mercantil podría justificar un procedimiento ágil de liquidación (p.ej., las hipotecas de máximo), pero no eliminarla sustituyéndola por una manifestación unilateral. </w:t>
      </w:r>
    </w:p>
    <w:p w:rsidR="00FE0907" w:rsidRDefault="00FE0907" w:rsidP="00FE0907">
      <w:pPr>
        <w:pStyle w:val="TextoNormal"/>
      </w:pPr>
      <w:r>
        <w:t xml:space="preserve">El Auto del Juzgado núm. 10 considera igualmente vulnerado el art. 24.1, en cuanto garantiza el derecho a justificar procesalmente las posiciones de las partes en el proceso (STC 4/1982), sin que sean aceptables restricciones no justificadas (SSTC 3/1983 y 90/1983). El juicio ejecutivo es un proceso especial y sumario, eventualmente contradictorio, en el que el demandado sufre un embargo sin ser oído, dispone de un plazo muy breve de personación,sólo puede alegar excepciones y nulidades tasadas, y probar los elementos fácticos en que se apoya esa acción de contradicción, teniendo siempre la última palabra el ejecutante. El ejecutado se encuentra con que puede que la entidad acreedora no le ponga de manifiesto las concretas partidas del debe y del haber utilizadas por ésta para fijar el saldo reclamado, a lo que no está obligada, por lo que no podría impugnarlas. Si alega el pago de partidas no recogidas, la prueba no es difícil, y además le corresponde según el art. 1.214 C.C.; pero si alega que no se ha obligado (por no haber dispuesto de la cantidad puesta a su disposición, o en cuantía distinta a la que afirma el banco, o que el documento supuestamente negociado por éste es inexistente) tendría la carga de probar la inexistencia de la obligación, para oponerse a la ejecución despachada, lo cual infringe el principio general de carga de la prueba establecida por el art. 1.214 C.C., y además supone una prueba imposible, al referirse a un hecho negativo. </w:t>
      </w:r>
    </w:p>
    <w:p w:rsidR="00FE0907" w:rsidRDefault="00FE0907" w:rsidP="00FE0907">
      <w:pPr>
        <w:pStyle w:val="TextoNormal"/>
      </w:pPr>
      <w:r>
        <w:t xml:space="preserve">Esto conlleva la vulneración del contenido esencial del derecho a la tutela judicial efectiva sin indefensión, por sufrir limitaciones que lo hacen impracticable, y lo dificultan más allá de lo razonable (STC 11/1981). Y a pesar de que el art. 1.479 L.E.C. permite abrir un juicio declarativo posterior, la reiterada interpretación del Tribunal Supremo impide que en él se debatan las causas de oposición que pudieron ser alegadas en el juicio ejecutivo, incluida la pluspetición, cerrando en definitiva toda vía judicial para hacer valer sus legítimos derechos. </w:t>
      </w:r>
    </w:p>
    <w:p w:rsidR="00FE0907" w:rsidRDefault="00FE0907" w:rsidP="00FE0907">
      <w:pPr>
        <w:pStyle w:val="TextoNormal"/>
      </w:pPr>
      <w:r>
        <w:lastRenderedPageBreak/>
        <w:t xml:space="preserve">En tercer lugar, el Auto sostiene que el art. 1.435.4 L.E.C. infringe el principio de defensa de los consumidores y usuarios que establece el art. 51.1 C.E, que obliga al legislador (SSTC 71/1982 y 18/1984). A esta conclusión se llega por cualquiera de las dos vías que existen para definir su contenido mínimo o esencial, aplicando la doctrina de la STC 11/1981. </w:t>
      </w:r>
    </w:p>
    <w:p w:rsidR="00FE0907" w:rsidRDefault="00FE0907" w:rsidP="00FE0907">
      <w:pPr>
        <w:pStyle w:val="TextoNormal"/>
      </w:pPr>
      <w:r>
        <w:t xml:space="preserve">Forma parte de la naturaleza jurídica del derecho de los consumidores y usuarios a ser protegidos en sus intereses económicos legítimos la exclusión de las cláusulas abusivas introducidas, como condiciones generales, en los contratos de adhesión. Ello de conformidad con las convicciones uniformemente admitidas por los operadores jurídicos y mostradas en el movimiento legislativo internacional atinente al Derecho de los consumidores, que se muestran en el Derecho comparado, en resoluciones del Consejo de Europa, y en nuestro país en diversas leyes. Todos estos movimientos han fraguado en una legislación protectora de los consumidores, que cristaliza en este punto considerando contrarias al ordenamiento jurídico las condiciones generales que sitúen a las partes en una evidente desigualdad en su relación contractual, que inviertan la carga de la prueba en perjuicio del consumidor, o que impliquen la previa aceptación de la indefensión en un eventual proceso judicial. Pertenece a la esfera de libre decisión del legislador establecer los sistemas de control de entre los varios posibles, pero sin duda choca con el art. 51.1 que el legislador otorgue carta de naturaleza legal a condiciones generales de la contratación como las mencionadas antes. Lo cual es especialmente cierto en el sector bancario, que es prototípico en el uso de los contratos de adhesión, como reconoce la propia Ley 26/1988, de 29 julio, arts. 48.2 a) y 5 e) y el catálogo de actividades definido en aplicación de la Ley General de Defensa de los Consumidores y Usuarios de 1984 (aprobado por Real Decreto 287/1991, de 8 marzo). </w:t>
      </w:r>
    </w:p>
    <w:p w:rsidR="00FE0907" w:rsidRDefault="00FE0907" w:rsidP="00FE0907">
      <w:pPr>
        <w:pStyle w:val="TextoNormal"/>
      </w:pPr>
      <w:r>
        <w:t xml:space="preserve">Desde la perspectiva de los intereses jurídicamente protegidos que constituyen el núcleo y médula del derecho enunciado por el art. 51.1 se alcanzan idénticas conclusiones. Pues el art. 1.435 L.E.C. da carta de naturaleza legal a una condición general de la contratación ínsita en una extendida práctica bancaria, que refuerza la posición de superioridad que a estas entidades otorga su prevalencia económica frente a los consumidores y usuarios, en un sector de la contratación de esencial importancia en la sociedad actual, al traducirse en el poder de imponerse unilateralmente sobre estos últimos. </w:t>
      </w:r>
    </w:p>
    <w:p w:rsidR="00FE0907" w:rsidRDefault="00FE0907" w:rsidP="00FE0907">
      <w:pPr>
        <w:pStyle w:val="TextoNormal"/>
      </w:pPr>
      <w:r>
        <w:t xml:space="preserve">Finalmente, el Juzgado núm. 10 de Sevilla explicita una interpretación del art. 1.435 conforme con la Constitución, que da lugar a que para despachar la ejecución se requiera una verdadera liquidación en la que el banco haya dado oportunidad al cliente de conocer los elementos determinantes del saldo (movimientos contables y operaciones de cálculo), de conformidad con la normativa general (art. 31 C.Com, art. 1.228 C.C., así como el 1.214 y, en definitiva, el 1.256). Pero explica el planteamiento de la cuestión de inconstitucionalidad por razones de prudencia (STC 19/1988), dada la línea mayoritaria de interpretación y el riesgo de manipulación de la Ley. </w:t>
      </w:r>
    </w:p>
    <w:p w:rsidR="00FE0907" w:rsidRDefault="00FE0907" w:rsidP="00FE0907">
      <w:pPr>
        <w:pStyle w:val="TextoNormal"/>
      </w:pPr>
      <w:r>
        <w:t xml:space="preserve">6) El Juzgado de Primera Instancia núm. 8 de Sevilla, en los Autos en los que plantea las cuestiones de inconstitucionalidad, considera que el art. 1.435.4, primera frase, L.E.C., vulnera, tal y como es interpretado por la jurisprudencia predominante, los arts. 14, 24.1 y 51.1 de la Constitución. </w:t>
      </w:r>
    </w:p>
    <w:p w:rsidR="00FE0907" w:rsidRDefault="00FE0907" w:rsidP="00FE0907">
      <w:pPr>
        <w:pStyle w:val="TextoNormal"/>
      </w:pPr>
      <w:r>
        <w:t xml:space="preserve">Tras justificar la procedencia de plantear la cuestión en la fase de admisión del juicio ejecutivo, de acuerdo con la doctrina de la STC 76/1982, y de anotar que lo escueto de la providencia no ha supuesto dificultades para las partes, cuya argumentación ha estado enfocada correctamente, delimita con precisión la norma cuestionada. Subraya que el precepto sólo se aplica a aquellos contratos en los que no resulta cantidad líquida alguna de la </w:t>
      </w:r>
      <w:r>
        <w:lastRenderedPageBreak/>
        <w:t xml:space="preserve">póliza (crédito en cuenta corriente, crédito para descuento de efectos, crédito documentario, afianzamientos mercantiles, etc.), y no a las demás operaciones bancarias de pasivo. Entiende que de atenerse al sentido concreto de lo que es una liquidación, esto es, un negocio bilateral posterior necesariamente a aquél que da lugar a la apertura de la cuenta, e igualmente el documento que permite fundar la reclamación en juicio acreditando de alguna manera la conformidad del deudor con el saldo, una primera lectura del art. 1.435 L.E.C. no parece plantear problema alguno de constitucionalidad ni de legalidad ordinaria; pues realizada la liquidación y, constando ésta, y por tanto la conformidad --siquiera por silencio-- del deudor en documento fehaciente, ningún problema hay para el despacho de la ejecución. El problema surge por el sentido de este precepto que ha prosperado entre los prácticos, según el cual es líquida la determinación unilateral del saldo que hace el banco por medio de una operación aritmética en base a su propia contabilidad; cuya contabilidad, al no ser preciso acuerdo alguno que fije las partidas, pese a lo dispuesto en el art. 31 C.Com. y el 1.228 C.C., vendría a hacer prueba frente al cliente, con el valor además de un documento privilegiado por cuanto es título con fuerza ejecutiva. </w:t>
      </w:r>
    </w:p>
    <w:p w:rsidR="00FE0907" w:rsidRDefault="00FE0907" w:rsidP="00FE0907">
      <w:pPr>
        <w:pStyle w:val="TextoNormal"/>
      </w:pPr>
      <w:r>
        <w:t xml:space="preserve">Para entender la cuestión se remonta a la Orden Ministerial de 21 abril 1950, que al ser extravagante (en el sentido de fuera de lo común) y de ínfimo rango dio lugar a que fuera desigualmente aplicada por los Juzgados, pero consolidó una práctica bancaria en virtud de la cual los bancos se reservaron la determinación unilateral del saldo de las cuentas, que pretende perpetuarse a través del sentido dado al art. 1.435 L.E.C. reformado en 1984. Lo cual supuso una quiebra de principios fundamentales de nuestro Derecho privado, establecida como un privilegio en favor exclusivamente de los bancos y entidades de crédito, que les permitía crear títulos de ejecución parangonables a los certificados de descubierto que emite la Hacienda Pública para abrir la vía de apremio administrativa. El Real Decreto de 15 octubre 1982 no vino sino a aumentar la confusión, por cuanto que introdujo una nueva modificación, pese a su rango, esta vez respecto del art. 1.429 L.E.C. </w:t>
      </w:r>
    </w:p>
    <w:p w:rsidR="00FE0907" w:rsidRDefault="00FE0907" w:rsidP="00FE0907">
      <w:pPr>
        <w:pStyle w:val="TextoNormal"/>
      </w:pPr>
      <w:r>
        <w:t xml:space="preserve">El nuevo texto del art. 1.435 L.E.C., dado por la reforma de 1984, vino a dividir la opinión de los prácticos. Para unos la reforma dio rango de Ley a la norma contenida en la extravagante Orden Ministerial de 1950, por lo que la determinación unilateral del saldo a partir de la propia contabilidad sería una auténtica liquidación si así se pactaba, aunque esto suponga una subversión del lenguaje. Para otros la reforma eliminó el privilegio, al exigir la práctica de una auténtica liquidación (que exige la intervención o posibilidad de intervención de las dos partes, o la intervención de un tercero práctico en la materia), que debía constar en documento fehaciente, para que se pudiese despachar ejecución. Esta segunda interpretación, defendida por el proveyente y que encuentra apoyo en los motivos del legislador expresados en la enmienda del grupo socialista del Congreso que fué acogida, no es la que ha prosperado en los Tribunales de alzada, favorables a la primera. Ello equivale a que los bancos puedan, mediante pacto (que por supuesto le es impuesto al cliente) la determinación unilateral de la deuda, y la creación de un título de ejecución mediante un certificado, al que nada añade la nota del fedatario. Pues la mención sobre la liquidación es una mera fórmula vacía que nada añade al conocimiento del Juez, y el fedatario no está en condiciones de hacer comprobación alguna, pues para ello serían precisos conocimientos contables, de matemáticas y hasta de informática, que no pertenecen a lo que es propio de su función. </w:t>
      </w:r>
    </w:p>
    <w:p w:rsidR="00FE0907" w:rsidRDefault="00FE0907" w:rsidP="00FE0907">
      <w:pPr>
        <w:pStyle w:val="TextoNormal"/>
      </w:pPr>
      <w:r>
        <w:t>El art. 1.435.4 L.E.C., así interpretado, puede vulnerar el principio de igualdad establecido por el art. 14 C.E. Deroga normas y principios fundamentales de nuestra contratación, relativas a la prueba y reguladoras del juicio ejecutivo. Sin que esa desigualdad en favor de las entidades de crédito se encuentre justificada: ni la seriedad de este sector empresa</w:t>
      </w:r>
      <w:r>
        <w:lastRenderedPageBreak/>
        <w:t xml:space="preserve">rial, ni el control administrativo sobre su solvencia, ni las necesidades de agilidad del tráfico permiten entender razonable este privilegio. Lo cual resalta del propio párrafo penúltimo del art. 1.435 L.E.C. porque, de acuerdo con su segunda frase, si se garantiza la deuda con hipoteca sí será preciso practicar la liquidación en la forma prevista por el art. 153 L.H., que es una auténtica liquidación. </w:t>
      </w:r>
    </w:p>
    <w:p w:rsidR="00FE0907" w:rsidRDefault="00FE0907" w:rsidP="00FE0907">
      <w:pPr>
        <w:pStyle w:val="TextoNormal"/>
      </w:pPr>
      <w:r>
        <w:t xml:space="preserve">Igualmente la norma puede vulnerar el derecho a la defensa reconocido en el art. 24 C.E. Ante la certificación de litis, según la cual la cuenta arroja un saldo de tantas pesetas ¿cómo puede el deudor defenderse en un juicio ejecutivo caracterizado por el despacho de ejecución a limine litis y por la inversión del contradictorio?; ¿cómo puede atacar el saldo si no se mencionan siquiera las partidas que integran la cuenta y de las que resulta tal cantidad, si no se explican siquiera las fechas del cálculo de intereses?; ¿cómo probar un hecho negativo como es el que no se ha dispuesto de tal o cual cantidad?. La limitación de las posibilidades de defensa inherente al juicio ejecutivo se convierte, con estos títulos, en imposibilidad de defenderse. Y el hecho de que pueda luego acudir el deudor al juicio declarativo no añade posibilidad alguna de defensa, ya que conforme a reiterada doctrina del Tribunal Supremo no cabe volver en el juicio declarativo posterior sobre cuestiones que pudieron discutirse en el ejecutivo. Y, además, en el juicio declarativo posterior el cliente encontraría las mismas dificultades de alegación y prueba de hechos negativos. </w:t>
      </w:r>
    </w:p>
    <w:p w:rsidR="00FE0907" w:rsidRDefault="00FE0907" w:rsidP="00FE0907">
      <w:pPr>
        <w:pStyle w:val="TextoNormal"/>
      </w:pPr>
      <w:r>
        <w:t xml:space="preserve">También se vulnera el principio general de defensa de los consumidores y usuarios recogido en el art. 51 C.E. Es un principio de rango constitucional, con el que se intenta paliar las desigualdades y asimetrías de las relaciones que crea el mercado entre las empresas y los usuarios, que se suma a los que articulan un modelo de economía social de mercado. Sirviendo la norma cuestionada, para, lejos de atajar, amparar y dar carta de naturaleza a una cláusula como la que nos ocupa, invirtiendo la carga de la prueba y dejando al arbitrio del banco la determinación del importe de la deuda y su misma existencia, se quebrantan gravemente los intereses de los consumidores. Por lo que iría contra el principio de rango constitucional que, conforme al art. 53.3 C.E, debe informar la legislación positiva y la práctica judicial. Es cierto que en concreto el cliente puede no ser un consumidor, en el sentido de destinatario final del bien o servicio; pero, en abstracto, puesto que la norma no distingue, hay que entender que todo cliente es usuario. </w:t>
      </w:r>
    </w:p>
    <w:p w:rsidR="00FE0907" w:rsidRDefault="00FE0907" w:rsidP="00FE0907">
      <w:pPr>
        <w:pStyle w:val="TextoNormal"/>
      </w:pPr>
      <w:r>
        <w:t>Podría intentarse escoger, de los dos sentidos posibles del art. 1.435, el más acorde con la Constitución (art. 5 LOPJ). Pero dada la línea acogida por los Tribunales de alzada, lo más prudente es plantear la cuestión, como expresó la Audiencia Provincial de Madrid con motivo de un recurso planteado precisamente contra un Auto dictado por este proveyente cuando era titular del Juzgado núm. 4 de Madrid. En ese sentido lo han entendido las SSTC 19/1988 y 105/1988.</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El Fiscal General del Estado, en sus informes a las distintas cuestiones de inconstitucionalidad, interesa del Tribunal que se declare que el art. 1.435, penúltimo párrafo, de la L.E.C., no es contrario a la Constitución. </w:t>
      </w:r>
    </w:p>
    <w:p w:rsidR="00FE0907" w:rsidRDefault="00FE0907" w:rsidP="00FE0907">
      <w:pPr>
        <w:pStyle w:val="TextoNormal"/>
      </w:pPr>
      <w:r>
        <w:t xml:space="preserve">Tras examinar las disposiciones que forman el antecedente del precepto cuestionado (Orden Ministerial de 21 abril 1950, y Real Decreto 2680/1982, de 15 octubre), y de manifestar que el pacto de liquidez fue declarado válido por la jurisprudencia del Tribunal Supremo y la doctrina de la DGRN antes de que fuera introducido en nuestro ordenamiento jurídico, expone su contenido. El precepto tiene su fundamento en la libertad de pacto, que en nuestro ordenamiento no tiene más limitaciones que las derivadas de la Ley, de la moral y del orden público (art. 1.255 C.C.). La libertad es uno de los valores superiores según el art. 1.1 de la Constitución, que como principio general autoriza a los ciudadanos a llevar </w:t>
      </w:r>
      <w:r>
        <w:lastRenderedPageBreak/>
        <w:t xml:space="preserve">a cabo todas las actividades que la Ley no prohíba o cuyo ejercicio no se subordine a requisitos o condiciones determinadas (STC 23/1984). En la libertad debe entenderse comprendida la libertad de pacto o autonomía negocial, que es el fundamento de las relaciones jurídico privadas. </w:t>
      </w:r>
    </w:p>
    <w:p w:rsidR="00FE0907" w:rsidRDefault="00FE0907" w:rsidP="00FE0907">
      <w:pPr>
        <w:pStyle w:val="TextoNormal"/>
      </w:pPr>
      <w:r>
        <w:t xml:space="preserve">Frente a la afirmación de que el art. 1.435 vulnera el art. 14, porque permite que en el juicio ejecutivo el actor acredite la liquidez de la deuda mediante certificación expedida por él, reservando esa facultad sólo a las entidades que menciona, el Fiscal significa que la situación jurídica de las entidades de crédito, ahorro y financiación, cuya actividad económica se desarrolla con fines sociales específicos, y se encuentra regulada e intervenida en ciertos aspectos por el Estado, no es equiparable a la de las demás personas. Por lo que el legislador puede regular de manera diferente esa actividad financiera en todas sus facetas o momentos de desarrollo, incluso a la hora de hacer efectivo el crédito por vía judicial en procedimiento ejecutivo. El negocio de fijación concertado en la póliza también encuentra su justificación en las peculiaridades del préstamo mercantil, realizado por entidades especialmente dedicadas al comercio de préstamos. </w:t>
      </w:r>
    </w:p>
    <w:p w:rsidR="00FE0907" w:rsidRDefault="00FE0907" w:rsidP="00FE0907">
      <w:pPr>
        <w:pStyle w:val="TextoNormal"/>
      </w:pPr>
      <w:r>
        <w:t xml:space="preserve">No se alcanza a ver cómo incide el razonamiento de que el pacto de liquidez supone una inversión de la carga de la prueba, y que las normas procesales son de orden público y de imposible pacto en contrario, en el principio de igualdad, hasta el punto de instar la nulidad de la voluntad popular encarnada en la norma postconstitucional. Por otra parte, no faltan razones para sostener que el art. 1.435, penúltimo párrafo, de la L.E.C. incorpora, más que un caso de inversión convencional de la prueba, una norma de autorización para que en los contratos mercantiles de préstamo concertados con las entidades de crédito se incorpore un pacto, generador de un negocio jurídico de fijación para asegurar el desenvolvimiento de una relación jurídica ya nacida --el contrato de préstamo--, determinando la liquidez y cuantía del crédito para que surta su eficacia en el proceso ejecutivo. </w:t>
      </w:r>
    </w:p>
    <w:p w:rsidR="00FE0907" w:rsidRDefault="00FE0907" w:rsidP="00FE0907">
      <w:pPr>
        <w:pStyle w:val="TextoNormal"/>
      </w:pPr>
      <w:r>
        <w:t xml:space="preserve">En relación con las supuestas infracciones del art. 24.1 y 2 C.E, que son desarrolladas en términos de desigualdad entre los participantes del proceso por lo que los argumentos deben entenderse embebidos en el art. 14 C.E, el Fiscal General del Estado no discrepa de las afirmaciones judiciales de que el despacho de la ejecución y el embargo se producen si no se paga una cantidad líquida resultante de las manifestaciones de la parte actora, sin que la intervención del fedatario mercantil evite la indefensión del deudor, por no entrañar comprobación de las partidas. Pero esta situación tiene un fundamento jurídico que no es posible desconocer, consistente en el acuerdo previo entre la entidad acreedora y el deudor, que determina el nacimiento de un negocio de fijación con el efecto de sustituir una situación incierta por otra cierta, fijando en determinado momento el quantum de la operación de crédito a fin de que la póliza adquiera plena eficacia ejecutiva. El dogma de la autonomía de la voluntad, que proclama el art. 1.255 C.C, hace posible que se realice extrajudicialmente la integración del título y la fijación de la cantidad líquida, sin que ello pueda suponer vulneración del art. 24.1 CE. </w:t>
      </w:r>
    </w:p>
    <w:p w:rsidR="00FE0907" w:rsidRDefault="00FE0907" w:rsidP="00FE0907">
      <w:pPr>
        <w:pStyle w:val="TextoNormal"/>
      </w:pPr>
      <w:r>
        <w:t xml:space="preserve">Además, la liquidez de la deuda se obtiene no solo por la certificación expedida por la entidad de crédito, sino mediante la intervención de fedatario mercantil, que supone la realización de operaciones y comprobaciones de naturaleza contable y financiera por quien no ha sido parte en el contrato de préstamo. Es preciso puntualizar también que la liquidez de la deuda no se sitúa en el proceso, sino fuera de él, en virtud del pacto previamente concertado para determinar la deuda y que adquiera eficacia ejecutiva, en términos que se ajustan a las exigencias del art. 1.273 C.C., y que no supone dejar el cumplimiento del contrato a la libre decisión de uno de los contratantes, contra la prohibición que establece el art. 1.256 C.C. </w:t>
      </w:r>
    </w:p>
    <w:p w:rsidR="00FE0907" w:rsidRDefault="00FE0907" w:rsidP="00FE0907">
      <w:pPr>
        <w:pStyle w:val="TextoNormal"/>
      </w:pPr>
      <w:r>
        <w:lastRenderedPageBreak/>
        <w:t xml:space="preserve">No hay privilegio en favor de las entidades de crédito, tanto por la peculiar característica del préstamo en pólizas intervenidas por fedatario, como por el rigor con que es exigida su contabilidad, como por el meticuloso control al que están sometidas por la Administración pública. Toda la actuación de bancos y otras entidades de crédito está sometida a inspección y control y subordinada a la política de créditos y dividendos, con inspección sobre balances y las cuentas de pérdidas y ganancias, y respaldada con graves sanciones que pueden llevar hasta la exclusión del registro de bancos. Los demás acreedores no se encuentran sometidos al mismo grado de control e intervención. La cual no es ajena a la finalidad de proteger a los usuarios y clientes, acentuada especialmente por la Ley 26/1988, desarrollada en este aspecto por la Orden Ministerial de 12 diciembre 1989. </w:t>
      </w:r>
    </w:p>
    <w:p w:rsidR="00FE0907" w:rsidRDefault="00FE0907" w:rsidP="00FE0907">
      <w:pPr>
        <w:pStyle w:val="TextoNormal"/>
      </w:pPr>
      <w:r>
        <w:t xml:space="preserve">Por otra parte, el nacimiento del título ejecutivo no se deja al arbitrio de una de las partes. Este es creado cuando ambas conciertan el contrato de préstamo, y suscriben de común acuerdo la correspondiente póliza. El pacto de liquidez se incorpora a ella, pero no con eficacia constitutiva, sino simplemente como un medio convencional de tutela del derecho de crédito ya nacido, a fin de facilitar su efectividad en vía judicial en caso de que el deudor incumpla su deber de restitución, actuando por tanto sólo cuando se lesiona el derecho de crédito incumpliendo lo pactado, y de forma menos agresiva que otros medios legales como pueden ser las acciones subrogatoria y revocatoria o pauliana, reconocidos en el art. 1.111 C.C. </w:t>
      </w:r>
    </w:p>
    <w:p w:rsidR="00FE0907" w:rsidRDefault="00FE0907" w:rsidP="00FE0907">
      <w:pPr>
        <w:pStyle w:val="TextoNormal"/>
      </w:pPr>
      <w:r>
        <w:t xml:space="preserve">En relación con el art. 51.1 C.E., el Fiscal razona que la protección de los consumidores y usuarios se obtiene mediante las leyes y disposiciones que desarrollan ese mandato constitucional. La Ley 26/1984, de 19 julio, regula con detalle los requisitos que deberán cumplir las cláusulas, condiciones o estipulaciones que con carácter general se apliquen a la oferta, promoción o venta de productos o servicios, incluyendo las exigencias de concreción, claridad, sencillez, buena fe y justo equilibrio de las prestaciones (art. 10), que rigen sin duda los negocios jurídicos en que se materializan operaciones de crédito. Lo cual no supone, empero, la eliminación de la voluntad privada autónoma. Igualmente, toda la legislación y otras disposiciones relativas a las entidades de crédito responde a esta idea de protección de los legítimos intereses de sus clientes, estableciendo obligaciones y límites en las actividades contractuales de estas entidades, además de un intenso control de la Administración. </w:t>
      </w:r>
    </w:p>
    <w:p w:rsidR="00FE0907" w:rsidRDefault="00FE0907" w:rsidP="00FE0907">
      <w:pPr>
        <w:pStyle w:val="TextoNormal"/>
      </w:pPr>
      <w:r>
        <w:t>Pero esta legislación no ha puesto en entredicho la validez del pacto sobre liquidez de la deuda, incorporado al art. 1.435 L.E.C. por la Ley 34/84, en fechas inmediatamente posteriores a la aprobación de la Ley 26/1984, General para la Defensa de Consumidores y Usuarios. Allí se armonizaron los intereses de las dos partes de las operaciones de crédito, aceptando la enmienda de un grupo parlamentario que insistió en la necesidad de reforzar la posición jurídica del deudor, cuyo derecho quedó protegido por la voluntad popular mediante la intervención del fedatario mercantil.</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Abogado del Estado, en sus alegaciones en los distintos procesos acumulados, sostiene la constitucionalidad del art. 1.435, penúltimo párrafo, primer enunciado, L.E.C. </w:t>
      </w:r>
    </w:p>
    <w:p w:rsidR="00FE0907" w:rsidRDefault="00FE0907" w:rsidP="00FE0907">
      <w:pPr>
        <w:pStyle w:val="TextoNormal"/>
      </w:pPr>
      <w:r>
        <w:t xml:space="preserve">En primer lugar, entiende que no hay privilegio que infrinja el art. 14 C.E. El concepto de privilegio, a la luz de nuestra Constitución, lleva inherente la nota de arbitrariedad; cualquier trato de favor que el legislador (o incluso el propio constituyente: STC 90/1985, fundamento jurídico 6º) establezca para una categoría limitada de sujetos jurídicos requiere una justificación teleológica congruente con la CE. Desde esta perspectiva, el art. 1.435 puede ser perfectamente justificado. La primera frase de su penúltimo párrafo singulariza a una categoría de acreedores mediante una enumeración descriptiva, que viene a coincidir </w:t>
      </w:r>
      <w:r>
        <w:lastRenderedPageBreak/>
        <w:t xml:space="preserve">con la definición legal de entidad de crédito contenida en las leyes vigentes (Real Decreto legislativo 1.298/1986, de 28 junio, art. 1.1, y Ley 26/1988, de 29 julio, art. 39.3). A la vista de la definición que contenía el precepto mencionado en su prístina dicción, la actividad de intermediación financiera, que orienta flujos de ahorro a su aplicación, está reservada a las entidades de crédito (cfr. art. 28.2 de la Ley 26/1988, así como el art. 38 de la Ley de Ordenación Bancaria de 31 diciembre 1946, los arts. 9 a 12 y 21 a 24 del Real Decreto-ley de 21 noviembre 1929, y los arts. 1 y 5 del Real Decreto 896/1987, de 28 marzo). La intermediación financiera constituye un género de tráfico cuya peculiaridad ha sido reconocida legislativamente, y que exige determinaciones del legislador que respondan adecuadamente a sus particulares problemas. Así, v.gr, para una entidad de crédito los incumplimientos de sus deudores típicos ("impagados") tienen mucha mayor transcendencia que para otro tipo de empresario; si una de estas entidades no puede recuperar sus impagados en tiempo y cuantía razonables, no es fácil que mantenga, precisamente, su crédito. Pero sus operaciones pasivas llevan aparejada la obligación de restitución, y la disminución de su crédito podría causar retiradas en masa de fondos depositados o cedidos, amenazando así la estabilidad del sistema financiero. En nada contradice a la Constitución que el legislador se proponga conceder a estas entidades medios especialmente eficaces para ejecutar a sus deudores por operaciones activas típicas de su tráfico, que se instrumentan en su práctica totalidad mediante los contratos mercantiles que contempla el art. 1.429.6 L.E.C. </w:t>
      </w:r>
    </w:p>
    <w:p w:rsidR="00FE0907" w:rsidRDefault="00FE0907" w:rsidP="00FE0907">
      <w:pPr>
        <w:pStyle w:val="TextoNormal"/>
      </w:pPr>
      <w:r>
        <w:t xml:space="preserve">Por añadidura, este trato jurídico especial no atiende solamente a los rasgos subjetivos del tipo de acreedor. Junto a ello debe tenerse en cuenta el tipo de contrato que sirve de título al derecho de crédito: apertura de crédito en cuenta corriente, descuento en cuenta corriente, y otros contratos mercantiles instrumentados mediante una relación de cuenta corriente bancaria. El art. 1.435, penúltimo párrafo, primera frase, L.E.C. no abarca cualesquiera derechos de crédito de que sean titulares los bancos y otras entidades crediticias, ni tampoco todos los contratos mercantiles bancarios: deben estar formalizados en tipos tasados de documentos públicos, e implicar la existencia de una situación de cuenta corriente entre las partes. Y no puede tacharse de caprichoso o irrazonable que el legislador haya decidido fomentar determinados tipos de contratos crediticios, persuadido de su importancia para la economía nacional, en cuanto suponen formas de financiación más funcionales y ventajosas que sus posibles alternativas (v.gr., el préstamo, o la apertura simple o por caja). </w:t>
      </w:r>
    </w:p>
    <w:p w:rsidR="00FE0907" w:rsidRDefault="00FE0907" w:rsidP="00FE0907">
      <w:pPr>
        <w:pStyle w:val="TextoNormal"/>
      </w:pPr>
      <w:r>
        <w:t xml:space="preserve">Tampoco puede decirse que en el precepto cuestionado falte una proporción razonable entre el fin perseguido (facilitar el despacho de la ejecución) y el medio utilizado: permitir a la entidad certificar la cantidad exigible, cuando así se hubiere convenido y se aporte un documento fehaciente que acredite que la liquidación se ajusta a lo convenido y que coincide con el saldo en cuenta. Con ello se facilita la admisión de la demanda ejecutiva, y por tanto el recobro del impagado por vía judicial, sin mermar por ello las garantías procesales constitucionalizadas del demandado, según se ve luego. Sin que sea suficiente una mera comprobación de que existe un régimen especial, distinto del común, pues se encuentra justificada en términos proporcionados (STC 4/1988, fundamento jurídico 5º). </w:t>
      </w:r>
    </w:p>
    <w:p w:rsidR="00FE0907" w:rsidRDefault="00FE0907" w:rsidP="00FE0907">
      <w:pPr>
        <w:pStyle w:val="TextoNormal"/>
      </w:pPr>
      <w:r>
        <w:t xml:space="preserve">Acerca del concepto de liquidación, el Abogado del Estado alega que los Autos que han dado por evidente que sólo constituye una verdadera liquidación la que se efectúa con intervención de las dos partes, han incurrido en la petición de principio que achacan al art. 1.435.4 L.E.C. El constituyente no ha empleado un concepto auténtico de liquidación que imponga un límite al legislador, por lo que dicho concepto debe obtenerse por elaboración dogmática de los datos jurídicos positivos, incluído el precepto cuestionado. El parámetro </w:t>
      </w:r>
      <w:r>
        <w:lastRenderedPageBreak/>
        <w:t xml:space="preserve">de las normas es la propia Constitución, no determinadas categorías dogmáticas apriorísticas (STC 150/1991, fundamento jurídico 3º). Por lo que para enjuiciar el ajuste al art. 14 CE de la norma cuestionada es fuerza prescindir de lo que es o no es una auténtica liquidación. </w:t>
      </w:r>
    </w:p>
    <w:p w:rsidR="00FE0907" w:rsidRDefault="00FE0907" w:rsidP="00FE0907">
      <w:pPr>
        <w:pStyle w:val="TextoNormal"/>
      </w:pPr>
      <w:r>
        <w:t xml:space="preserve">Por consiguiente, no puede conceptuarse privilegio contrario a la Constitución el que el legislador ha dado a las entidades de crédito, ahorro y financiación, en relación con cualquier otro acreedor, aunque lo sea por contratos mercantiles, que es el término de comparación que parece haber sido tenido en mente. </w:t>
      </w:r>
    </w:p>
    <w:p w:rsidR="00FE0907" w:rsidRDefault="00FE0907" w:rsidP="00FE0907">
      <w:pPr>
        <w:pStyle w:val="TextoNormal"/>
      </w:pPr>
      <w:r>
        <w:t xml:space="preserve">Lo mismo cabe decir, desde la perspectiva del art. 24.1 C.E. (tal como ha sido interpretado por las SSTC 72/1982, 93/1984 y 191/1987), cuando el término de comparación es el deudor en cuanto parte demandada del juicio ejecutivo. Con carácter previo al desarrollo de esta tesis, el Abogado del Estado recuerda que el actual art. 31 del Código de Comercio (Ley 19/1989, de 25 julio; corresponde al antiguo art. 47 C.Com., que había sido reformado por la Ley 16/1973, de 21 julio) permite que el Juez pueda conceder muy distinta apreciación a una contabilidad llevada con escrúpulo y rigor técnico que a otra con deficiencias, conforme a las reglas generales del Derecho (STS 12 de febrero de 1982 y 7 de octubre de 1986). Al art. 1.435.4 L.E.C., razonablemente interpretado, no puede imputársele que fuerce al ejecutado a probar hechos negativos. Si hubiera una serie de discrepancias fácticas entre las partes del juicio ejecutivo, la prueba de que el ejecutado dispuso de cierta cantidad o de que existe el documento que se negoció y abonó en cuenta (es decir, que los contratos bancarios se ejecutaron realmente o comenzaron realmente a ejecutarse) correspondería a la entidad de crédito ejecutante. En efecto, aquellos hechos serían constitutivos de la pretensión (STS de 25 de abril de 1990 y 25 de octubre de 1990), y sobre ellos la entidad de crédito dispondría de los elementos de prueba; en materia de reparto de la carga probatoria no se trata de aplicar "unos principios inflexibles, sino atender a la naturaleza del debate, la disponibilidad y la realidad de la prueba" (STS de 23 de septiembre de 1986, 24 de abril de 1987, 29 de mayo de 1987, 15 de junio de 1988). En todo caso, la primera frase del penúltimo párrafo del art. 1435 L.E.C. no tiene que ser interpretada forzosamente como portadora de una suerte de presunción iuris tantum de exactitud de la certificación bancaria. El precepto es una regla sobre liquidez: precisa en qué condiciones se tendrá por líquida una cantidad reclamada, al solo efecto de despachar la ejecución o negar el despacho. No merma un ápice las facultades del Juez para apreciar a quien se les sigue las consecuencias desfavorables de no levantar la carga de probar lo que le incumbía. Si el ejecutado niega, con mínima verosimilitud, haber dispuesto de la cantidad acreditada y la entidad de crédito, para quien tan sencillo es probar que sí hubo disposición, no lo prueba, nada impide al Juez considerar improbada la disposición, diga lo que diga la certificación de la entidad, precisamente porque proviene, pese al "documento fehaciente", de parte interesada. </w:t>
      </w:r>
    </w:p>
    <w:p w:rsidR="00FE0907" w:rsidRDefault="00FE0907" w:rsidP="00FE0907">
      <w:pPr>
        <w:pStyle w:val="TextoNormal"/>
      </w:pPr>
      <w:r>
        <w:t xml:space="preserve">Asimismo, subraya que el penúltimo párrafo del art. 1.435 L.E.C. representa ante todo una regla relativa al despacho de la ejecución, esto es, a la admisión de la demanda ejecutiva. De él se desprende con claridad que: (i) el recto cumplimiento del precepto cuestionado es carga que pesa sobre la entidad demandante, incluida la exigibilidad y la liquidez de la cantidad (art. 1.467.2 L.E.C.); (ii) el Juez --ex officio-- controla la regularidad en el cumplimiento de lo dispuesto por el precepto cuestionado (art. 1.440.3 L.E.C.); (iii) al deudor ejecutado le cabe oponerse y alegar el incumplimiento, o el defectuoso cumplimiento, de lo dispuesto en dicho precepto, pudiendo pedir el recibimiento a prueba y proponer la que estime oportuna para demostrar lo bien fundado de su oposición. En fin, el </w:t>
      </w:r>
      <w:r>
        <w:lastRenderedPageBreak/>
        <w:t xml:space="preserve">deudor ejecutado tiene siempre abierto el juicio declarativo ordinario en los términos del art. 1.479 L.E.C. y jurisprudencia que lo interpreta. </w:t>
      </w:r>
    </w:p>
    <w:p w:rsidR="00FE0907" w:rsidRDefault="00FE0907" w:rsidP="00FE0907">
      <w:pPr>
        <w:pStyle w:val="TextoNormal"/>
      </w:pPr>
      <w:r>
        <w:t xml:space="preserve">De todo ello se impone la conclusión de que no puede decirse en absoluto que el precepto cuestionado introduzca una desigualdad constitucionalmente impermisible entre las partes procesales. El Auto 10/1984, fundamento jurídico 2º, se limitó a afirmar que las cuestiones relativas a la debida integración del título ejecutivo no transcendían del campo de la legalidad ordinaria. Y de la importante jurisprudencia recaída sobre el procedimiento sumario de ejecución hipotecaria, donde se reitera que no viola el art. 24 C.E, se deducen numerosas razones que justifican la norma (STC 41/1981, fundamentos jurídicos 5 a 7, 64/1985, fundamento jurídico 2º, y 46/1986, fundamento jurídico 3º, así como los ATC 291/1984, fundamento jurídico 2º, 30/1985, fundamento jurídico 3º, 784/1986, y 373/1987, fundamento jurídico 2º). </w:t>
      </w:r>
    </w:p>
    <w:p w:rsidR="00FE0907" w:rsidRDefault="00FE0907" w:rsidP="00FE0907">
      <w:pPr>
        <w:pStyle w:val="TextoNormal"/>
      </w:pPr>
      <w:r>
        <w:t xml:space="preserve">Adaptando esta jurisprudencia al caso presente, y aún reconociendo que es cierto que en el supuesto del art. 153 L.H. se le da al deudor hipotecado la posibilidad de oponerse alegando error o falsedad antes de iniciar la ejecución, lo que muestra una mayor preocupación por ofrecer al deudor la posibilidad de impedir que las entidades de crédito abusen de una facultad adquirida, sí, ex contractu, pero desde una posición de evidente superioridad las más de las veces (art. 51.1 C.E. y arts. 7 y 10 de la Ley 26/1984, de 19 julio), no se puede decir que la solución del penúltimo párrafo del art. 1.435 L.E.C. sea inconstitucional. El precepto muestra más preocupación por asegurar el despacho de la ejecución, pero no por eso desiguala hasta lo constitucionalmente ilícito la posición del deudor ejecutado, atendida la estructura y la lógica interna del "juicio ejecutivo". </w:t>
      </w:r>
    </w:p>
    <w:p w:rsidR="00FE0907" w:rsidRDefault="00FE0907" w:rsidP="00FE0907">
      <w:pPr>
        <w:pStyle w:val="TextoNormal"/>
      </w:pPr>
      <w:r>
        <w:t xml:space="preserve">Es cierto que se reconoce a una de las partes, la demandante, la facultad de determinar el quantum de la ejecución con el fin de facilitar su despacho. Pero: </w:t>
      </w:r>
    </w:p>
    <w:p w:rsidR="00FE0907" w:rsidRDefault="00FE0907" w:rsidP="00FE0907">
      <w:pPr>
        <w:pStyle w:val="TextoNormal"/>
      </w:pPr>
      <w:r>
        <w:t xml:space="preserve">a) El deudor ha consentido previa y expresamente este sistema de determinación unilateral, siendo plenamente trasladables las consideraciones del fundamento jurídico 7º de la STC 41/1981. Por otro lado, es de señalar que propiamente el título ejecutivo es la escritura pública o la póliza intervenida; dentro de él se incluye la estipulación, voluntariamente pactada, sobre cómo determinar la cantidad exigible. Lo que hace el legislador es condicionar la eficacia de esa estipulación a la adición de una documentación fehaciente. Cualesquiera deudores y acreedores que no sean entidades de crédito pueden formalizar en escritura pública (art. 1.429.1 L.E.C.) pactos lícitos sobre liquidación; si los límites de la autonomía privada y el alcance de los poderes del Juez no impidieran la validez de este tipo de pactos que excluyen la previa intervención del deudor en la liquidación de las deudas, el precepto legal cuestionado aparecería bajo una luz distinta: un dispositivo de garantía impuesto por el legislador a favor de los clientes de las entidades de crédito. </w:t>
      </w:r>
    </w:p>
    <w:p w:rsidR="00FE0907" w:rsidRDefault="00FE0907" w:rsidP="00FE0907">
      <w:pPr>
        <w:pStyle w:val="TextoNormal"/>
      </w:pPr>
      <w:r>
        <w:t xml:space="preserve">b) La certificación la expide una entidad que suele llevar su contabilidad en forma más perfecta y exacta que otros empresarios, que está sujeta a normas oficiales cuyo cumpli miento vigila el Banco de España especialmente (art. 48.1 de la Ley 26/1988, Orden de 31 de marzo de 1989, y Circular del Banco de España 4/1991, de 14 de junio), y que tendrá por lo general interés en que sus certificaciones sean exactas y estén libradas regularmente, de manera que se minimice el riesgo de que el Juez deniegue el despacho de la ejecución o el deudor pueda oponer excepciones o motivos de nulidad que prosperen. Desde luego no cabe aceptar que se otorgue un valor probatorio y privilegiado a la contabilidad de las entidades de crédito por comparación con otros empresarios, atendido el actual art. 31 C.Com. (anterior art. 47). El precepto cuestionado contiene una regla sobre liquidez de la deuda, no un criterio de valoración probatoria vinculante para el Juez </w:t>
      </w:r>
    </w:p>
    <w:p w:rsidR="00FE0907" w:rsidRDefault="00FE0907" w:rsidP="00FE0907">
      <w:pPr>
        <w:pStyle w:val="TextoNormal"/>
      </w:pPr>
      <w:r>
        <w:lastRenderedPageBreak/>
        <w:t xml:space="preserve">c) Para prevenir abusos o errores, el legislador exige que la cantidad conste en un documento fehaciente que acredite que la operación de cálculo ("liquidación") se ha practicado en la forma pactada, y que el saldo coincide con el de la cuenta abierta al deudor. El legislador atribuye aquí a los Tribunales un ancho margen de interpretación para determinar quién y cómo debe expedir este documento fehaciente, cuál debe ser su contenido y qué ha de exigirse para entender suficientemente acreditada la correcta realización de la liquidación y la coincidencia del saldo. Una interpretación adecuada de este requisito, presidida por las exigencias que dimanan del art. 24.1 C.E., permitiría prevenir errores y abusos antes de despachar la ejecución tan eficazmente como pueda hacerlo el sistema de (posible) oposición previa del deudor, previsto en el art. 153 L.H. </w:t>
      </w:r>
    </w:p>
    <w:p w:rsidR="00FE0907" w:rsidRDefault="00FE0907" w:rsidP="00FE0907">
      <w:pPr>
        <w:pStyle w:val="TextoNormal"/>
      </w:pPr>
      <w:r>
        <w:t xml:space="preserve">d) Por último, el precepto cuestionado no limita las posibilidades de defensa que le caben al deudor dentro de la peculiar estructura del juicio ejecutivo: el incumplimiento o cumplimiento defectuoso de lo que dispone el art. 1.435.4 L.E.C. puede atacarlo perfectamente el deudor ejecutado en una posición prácticamente igual a la de otro deudor demandado; quedándole al final abierto el juicio ordinario, en los términos del art. 1.479 L.E.C. y jurisprudencia que lo interpreta. </w:t>
      </w:r>
    </w:p>
    <w:p w:rsidR="00FE0907" w:rsidRDefault="00FE0907" w:rsidP="00FE0907">
      <w:pPr>
        <w:pStyle w:val="TextoNormal"/>
      </w:pPr>
      <w:r>
        <w:t xml:space="preserve">El art. 1.435.4 L.E.C. tampoco infringe el art. 24.2 C.E., en el inciso que declara el derecho a un proceso con todas las garantías. La norma no redunda en la efectiva infracción de las garantías procesales constitucionalmente previstas, causando indefensión o privando de otra manera al afectado de tales garantías (STC 58/1989), perteneciendo por completo a la esfera de competencias de la jurisdicción ordinaria el juicio sobre la pertinencia de las pruebas y sobre su alcance y virtualidad (STC 142/1987). El art. 1435 LEC no impide la contradicción y, desde luego, deja incólume la posibilidad que el deudor demandado tiene de acudir al juicio ordinario conforme prevé el art. 1.479 L.E.C. </w:t>
      </w:r>
    </w:p>
    <w:p w:rsidR="00FE0907" w:rsidRDefault="00FE0907" w:rsidP="00FE0907">
      <w:pPr>
        <w:pStyle w:val="TextoNormal"/>
      </w:pPr>
      <w:r>
        <w:t xml:space="preserve">El precepto cuestionado no desdice en nada de la lógica del proceso monitorio documental. Con ciertas cautelas y garantías, el legislador permite que mediante pacto el acreedor pueda realizar su acto de integración documental, de manera parcial (pues precisa la preexistencia de escritura o póliza, y además el documento fehaciente estudiado), acto que queda sometido a control judicial ex officio antes del despacho de la ejecución, y tras oír la oposición del ejecutado después de haberla despachado. Por lo que no cabe hablar de que el precepto sea inconstitucional, a la luz del art. 24 C.E. </w:t>
      </w:r>
    </w:p>
    <w:p w:rsidR="00FE0907" w:rsidRDefault="00FE0907" w:rsidP="00FE0907">
      <w:pPr>
        <w:pStyle w:val="TextoNormal"/>
      </w:pPr>
      <w:r>
        <w:t xml:space="preserve">En cuanto al art. 51.1 C.E., el Abogado del Estado discrepa frontalmente de los razonamientos que motivan los Autos judiciales que lo entienden vulnerado. </w:t>
      </w:r>
    </w:p>
    <w:p w:rsidR="00FE0907" w:rsidRDefault="00FE0907" w:rsidP="00FE0907">
      <w:pPr>
        <w:pStyle w:val="TextoNormal"/>
      </w:pPr>
      <w:r>
        <w:t xml:space="preserve">En primer lugar, no acepta las premisas que sostienen el razonamiento de inconstitucionalidad. Nuestra Constitución no conoce la categoría formal "derechos económicos y sociales". En particular el art. 51.1 no consagra ninguna suerte de derecho económico y social; formula simplemente un mandato a los poderes públicos, y lo eleva a "principio rector de la política social y económica", que es, como se sabe, la denominación del Capítulo Tercero del Título I de la C.E., en el que se alberga dicho artículo. Los principios rectores "deben orientar la acción de los poderes públicos", pero "no generan por sí mismos derechos judicialmente actuables" (STC 36/1991), como resulta del art. 53.3 C.E. Al no atribuir el art. 51.1 un derecho subjetivo accionable judicialmente, está de más indagar cuál pueda ser el contenido esencial del inexistente derecho. Por otro lado, es claro que el art. 53.1 ha limitado el contenido esencial resistente al legislador, que éste entiende el deber constitucional de respetar, a los derechos y libertades reconocidos en el Capítulo Segundo del Título I. Extender interpretativamente la garantía del contenido esencial a los principios rectores entrañaría una importante mutación o cambio constitucional, dudosamente dentro de la jurisdicción de este Tribunal. </w:t>
      </w:r>
    </w:p>
    <w:p w:rsidR="00FE0907" w:rsidRDefault="00FE0907" w:rsidP="00FE0907">
      <w:pPr>
        <w:pStyle w:val="TextoNormal"/>
      </w:pPr>
      <w:r>
        <w:lastRenderedPageBreak/>
        <w:t xml:space="preserve">En segundo lugar, y aún no siendo necesario, el Abogado del Estado señala lo que a su juicio son debilidades en el desarrollo de la argumentación judicial: a) No se puede equiparar la cualidad de cliente de una entidad de crédito con la de consumidor o usuario. La Ley 26/1984, de 19 julio, ha adoptado un concepto legal restrictivo: el "destinatario final" (arts. 1.2 y 3); por lo que los clientes de las entidades de crédito que adquieran bienes o servicios en el marco de actividades empresariales o profesionales quedan excluidos del ámbito de la protección de los consumidores, a pesar de que numerosos contratos mercantiles bancarios instrumentados en cuenta corriente son realizados por la entidad de crédito con otros empresarios. Empleando un concepto más amplio, la Ley 26/1988, no citada por el Juez cuestionante, refiere la protección que dispensa a "la clientela" de las entidades de crédito (art. 48.2, desarrollado por la Orden de 12 de diciembre 1989 y la Circular del Banco de España 7/90, de 7 de septiembre), en donde se encuentran normas que pueden tener interés para la interpretación y aplicación del precepto legal cuestionado, que son invocadas exclusivamente para demostrar que los intereses de la clientela bancaria sí han sido considerados por la legislación vigente, contra lo que parecen sugerir algunos Autos de planteamiento. b) Tampoco está bien trabado el lazo anudado entre el art. 1.435 L.E.C. y el problema de las limitaciones legislativas a las condiciones generales de la contratación; pues aquél se limita a exigir que el pacto de liquidez conste en el título ejecutivo (escritura, póliza intervenida) que documente el contrato mercantil, haciendo abstracción de si dicha estipulación refleja una condición general o es obra singular de la negociación entre las partes. Por lo que no cabe sostener su nulidad en virtud de razones ajenas a su propio tenor, ya que la inconstitucionalidad se predica de la imposición de las condiciones generales, y no existe un enlace jurídicamente necesario (no importa cual sea su frecuencia de hecho) con el art. 1.435.4 L.E.C. </w:t>
      </w:r>
    </w:p>
    <w:p w:rsidR="00FE0907" w:rsidRDefault="00FE0907" w:rsidP="00FE0907">
      <w:pPr>
        <w:pStyle w:val="TextoNormal"/>
      </w:pPr>
      <w:r>
        <w:t>Finalmente, se observa que las concretas infracciones del art. 51.1 C.E. que se imputan al precepto cuestionado son las mismas que se trataron al examinar las pretendidas infracciones de sus arts. 14 y 24.1 C.E., por lo que aquéllas no serían más que vulneraciones puramente consecuenciales y sin autonomía ni entidad propia.</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5 de febrero de 1992 se acordó fijar para la deliberación y votación de la presente Sentencia el día 10 de febrero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precepto cuestionado en el presente proceso constitucional, que se contiene en el art. 1.435, párrafo cuarto, primera frase, según la redacción introducida por la Ley 34/1984, de 6 de agosto, de Reforma Urgente de la Ley de Enjuiciamiento Civil (L.E.C.), establece lo siguiente:</w:t>
      </w:r>
    </w:p>
    <w:p w:rsidR="00FE0907" w:rsidRDefault="00FE0907" w:rsidP="00FE0907">
      <w:pPr>
        <w:pStyle w:val="TextoNormal"/>
      </w:pPr>
      <w:r>
        <w:t>"Si en los contratos mercantiles otorgados por Entidades de crédito, ahorro y financiación, en escritura pública o en póliza intervenida de conformidad con lo dispuesto en el número 6 del art. 1.429 de esta Ley se hubiere convenido que la cantidad exigible en caso de ejecución será la especificada en certificación expedida por la Entidad acreedora, aquélla se tendrá por líquida siempre que conste en documento fehaciente que acredite haberse practicado la liquidación en la forma pactada por las partes en el título ejecutivo y que el saldo coincida con el que aparece en la cuenta abierta al deudor".</w:t>
      </w:r>
    </w:p>
    <w:p w:rsidR="00FE0907" w:rsidRDefault="00FE0907" w:rsidP="00FE0907">
      <w:pPr>
        <w:pStyle w:val="TextoNormal"/>
      </w:pPr>
      <w:r>
        <w:t>A) El art. 1.429 de la L.E.C., que encabeza los preceptos reguladores del "juicio ejecutivo", enumera taxativamente los títulos que tienen aparejada ejecución y en los que debe</w:t>
      </w:r>
      <w:r>
        <w:lastRenderedPageBreak/>
        <w:t>rá fundarse la acción ejecutiva. Entre ellos se incluyen las pólizas originales de contratos mercantiles, debidamente firmadas y certificadas en los términos que detalla su núm. 6º. El art.  1.435, por su parte, subordina la acción ejecutiva a que haya vencido el plazo para el cumplimiento de la obligación reflejada en el título y a que éste tenga por objeto una cantidad líquida que exceda de 50.000 pesetas.  La observancia de lo dispuesto en estos artículos (y concordantes de la Ley procesal civil) se garantiza mediante la sanción legal de nulidad. Cuando el título no tuviere fuerza ejecutiva, ya por defectos extrínsecos, ya por no haber vencido el plazo o no ser exigible la obligación, o ser ilíquida (art.  1.467.2º L.E.C.), el Juez ha de declarar la nulidad del juicio (art. 1.473.3º).</w:t>
      </w:r>
    </w:p>
    <w:p w:rsidR="00FE0907" w:rsidRDefault="00FE0907" w:rsidP="00FE0907">
      <w:pPr>
        <w:pStyle w:val="TextoNormal"/>
      </w:pPr>
      <w:r>
        <w:t>La "denegación de la ejecución" puede ocurrir en dos momentos distintos: en fase de admisión y en fase de Sentencia (arts.  1.440 y 1.473, respectivamente).  En el primer caso, sin dar audiencia al demandado y tras examinar la demanda, el título ejecutivo y los documentos presentados con ella, el Juez denegará la ejecución in limine litis.  En caso de que se hubiere despachado la ejecución, si el juez apreciare posteriormente la inexistencia, nulidad o falta de fuerza ejecutiva del título, debe dictar Sentencia en la que se declare la nulidad del juicio.  Esta declaración, lo mismo que los restantes fallos posibles a esta altura del proceso (seguir la ejecución adelante, haber o no lugar a pronunciar Sentencia de remate), puede ser realizada por el Juez en dos circunstancias diversas, que desde ahora conviene resaltar.  Pues, así como el despacho o la denegación de la ejecución (ex art. 1.440) habrán de ser adoptados "sin prestar nunca audiencia al demandado", la Sentencia ejecutiva sólo puede ser pronunciada previa audiencia, a cuyo objeto es elemento esencial la debida citación del deudor (arts. 1.459 y 1.460). Si el deudor debidamente citado de remate no comparece en el proceso, se llevan sin más los autos a la vista del juez para que dicte Sentencia con citación sólo del acreedor (art. 1.462).  Lo mismo ocurre si, personado el deudor, no formaliza la oposición en tiempo, aunque también resulte citado para Sentencia (art. 1.463 párrafo tercero).</w:t>
      </w:r>
    </w:p>
    <w:p w:rsidR="00FE0907" w:rsidRDefault="00FE0907" w:rsidP="00FE0907">
      <w:pPr>
        <w:pStyle w:val="TextoNormal"/>
      </w:pPr>
      <w:r>
        <w:t>Por el contrario, si el deudor se persona en los autos por medio de Procurador y se opone a la acción ejecutiva, formulando alguna de las alegaciones que tasan los arts.  1.464, 1.466 y 1.467, se abre una sucinta fase contradictoria, con posibilidad de prueba y de vista oral, en el modo que regulan el art. 1.463 y los arts.  1.468 a 1.472.</w:t>
      </w:r>
    </w:p>
    <w:p w:rsidR="00FE0907" w:rsidRDefault="00FE0907" w:rsidP="00FE0907">
      <w:pPr>
        <w:pStyle w:val="TextoNormal"/>
      </w:pPr>
      <w:r>
        <w:t>Si el título ejecutivo determina el nacimiento de una obligación vencida, exigible y líquida, si no adolece de defectos extrínsecos que conlleven la pérdida de su fuerza ejecutiva, y si tanto el título como la obligación no fueren nulos, el juicio ejecutivo puede desplegar sus efectos normales.  Una vez admitida la demanda e incoado el proceso (art.  1.440), se procede al embargo de los bienes del deudor suficientes para cubrir la cantidad por que se haya despachado la ejecución y las costas, salvo pago o consignación en el acto al ser requerido de pago (arts. 1.442, 1.446 y concordantes); y, previo en su caso el incidente de oposición promovido por el demandado que comparezca, el Juez debe dictar Sentencia. La cual, salvo nulidad del juicio, y dando por supuestas la validez y la ejecutividad del título (núms.  1 y 2 del art. 1.467), deberá disponer que siga adelante la ejecución, a menos que se estime alguna de las excepciones o defensas alegadas por el demandado (art.  1.473 en relación con los arts. 1.464 y 1.466). No está de más recordar asimismo que, aun cuando se ordene seguir la ejecución adelante, la sentencia de remate debe expresar la cantidad que ha de ser pagada al acreedor, de suerte que si aquella cantidad fuera inferior a la reclamada en la demanda no se impondrán las costas del proceso al demandado que hubiere efectuado consignación (art.  1.474, párrafo primero).</w:t>
      </w:r>
    </w:p>
    <w:p w:rsidR="00FE0907" w:rsidRDefault="00FE0907" w:rsidP="00FE0907">
      <w:pPr>
        <w:pStyle w:val="TextoNormal"/>
      </w:pPr>
      <w:r>
        <w:t xml:space="preserve">La Sentencia de remate, una vez firme o cumplidos los requisitos de la ejecución provisional, se lleva a efecto por la vía de apremio (art.  1.481 y siguientes), pero no producirá </w:t>
      </w:r>
      <w:r>
        <w:lastRenderedPageBreak/>
        <w:t>la excepción de cosa juzgada, quedando a salvo su derecho a las partes para promover el ordinario sobre la misma cuestión (art. 1.479).</w:t>
      </w:r>
    </w:p>
    <w:p w:rsidR="00FE0907" w:rsidRDefault="00FE0907" w:rsidP="00FE0907">
      <w:pPr>
        <w:pStyle w:val="TextoNormal"/>
      </w:pPr>
      <w:r>
        <w:t>B) Como puede advertirse, la finalidad perseguida por el párrafo cuarto del art. 1.435 L.E.C., dentro del contexto normativo en que se regula el juicio ejecutivo y que sucintamente se acaba de describir, consiste en resolver el problema que plantean aquellos contratos mercantiles que, habiendo sido documentados en una forma que les permitiría obtener legalmente fuerza ejecutiva (ya en escritura pública, ya en póliza firmada por las partes e intervenida por un fedatario mercantil, con arreglo al art.  1.429.6º L.E.C.),las obligaciones que de ellos dimanan tienen, sin embargo, un contenido que les impide desplegarla por falta de liquidez.  El problema se resuelve mediante un singular procedimiento de determinación de la cantidad líquida o exigible que permite la ejecución de los títulos en que se documentan tales contratos mercantiles de préstamo con apertura de cuenta corriente al deudor.  Los órganos judiciales que han promovido el presente proceso de inconstitucionalidad entienden que el precepto legal cuestionado podría ser contrario a los arts. 14, 24 y 51 de la Constitución, por los motivos recogidos en los antecedentes de esta Sentencia.  Ningún reparo oponen, en cambio, al citado art. 1.429.6º, del que en directa relación trae causa el precepto cuya constitucionalidad se discute.</w:t>
      </w:r>
    </w:p>
    <w:p w:rsidR="00FE0907" w:rsidRDefault="00FE0907" w:rsidP="00FE0907">
      <w:pPr>
        <w:pStyle w:val="TextoNormal"/>
      </w:pPr>
    </w:p>
    <w:p w:rsidR="00FE0907" w:rsidRDefault="00FE0907" w:rsidP="00FE0907">
      <w:pPr>
        <w:pStyle w:val="TextoNormal"/>
      </w:pPr>
      <w:r w:rsidRPr="00FE0907">
        <w:rPr>
          <w:rStyle w:val="NumeroAFNegritaCaracter"/>
        </w:rPr>
        <w:t>2</w:t>
      </w:r>
      <w:r>
        <w:t>. Nada habrá de decirse aquí sobre la utilidad que tales modalidades de apertura de crédito en cuenta corriente ofrecen en el tráfico mercantil ni sobre las ventajas financieras y de disponibilidad que suponen para los comerciantes y clientes en general de las entidades financieras.  Y tampoco es tarea de este Tribunal censurar o combatir los posibles abusos o irregularidades que en la ejecución de tales contratos puedan eventualmente cometer las citadas entidades en su condición de acreedoras. Pero sí debemos afirmar desde un principio que el llamado pacto de liquidez que se contempla en el art.  1.435 L.E.C.  no determina en modo alguno las desmesuradas consecuencias probatorias que dan por supuestas los órganos judiciales que cuestionan su constitucionalidad. Su párrafo cuarto no dispone que la certificación expedida por la entidad acreedora, en la que se especifica la cantidad exigible de acuerdo con el saldo que aparezca en la cuenta abierta al deudor, sea tenida por verdadera, sino que se limita a declarar que la cantidad exigible, una vez especificada por la entidad acreedora en la forma pactada en el título ejecutivo, "se tendrá por líquida". Que la Ley establezca que la cantidad reclamada es líquida para poder despachar la ejecución no significa que presuma que es cierta o verdadera, puesto que, como ya tuvimos ocasión de señalar en el ATC 541/1984, tanto en el juicio ejecutivo como en el juicio ordinario que a éste pueda suceder todas las pruebas documentales dimanantes de cualquiera de los sujetos del proceso tienen igual fuerza y no hay ninguna que merezca la calificación de prueba privilegiada.</w:t>
      </w:r>
    </w:p>
    <w:p w:rsidR="00FE0907" w:rsidRDefault="00FE0907" w:rsidP="00FE0907">
      <w:pPr>
        <w:pStyle w:val="TextoNormal"/>
      </w:pPr>
      <w:r>
        <w:t>Existe en este punto una evidente diferencia entre el precepto legal y su antecedente normativo, la Orden Ministerial de 21 de abril de 1950 a la que aluden todos los partícipes en este proceso constitucional. Esta Orden, que extendió a la banca privada el privilegio otorgado dos años antes al Banco de España, contenía dos normas netamente diferentes.  El actual art. 1.435 L.E.C.  es heredero directo de la incluída en el art. 2 de la Orden de 1950; pero no recoge la norma de su art. 1, que era la que permitía que se pactase que la determinación del saldo del crédito, por parte de la entidad acreedora, "hará fe en juicio y surtirá todos los efectos legales pertinentes, y a ella se someterá el deudor, los fiadores y los avalistas, si los hubiere".</w:t>
      </w:r>
    </w:p>
    <w:p w:rsidR="00FE0907" w:rsidRDefault="00FE0907" w:rsidP="00FE0907">
      <w:pPr>
        <w:pStyle w:val="TextoNormal"/>
      </w:pPr>
      <w:r>
        <w:t>En claro contraste con dicho precepto, nada hay en el precepto legal aquí cuestionado que excepcione la aplicación de las reglas generales sobre prueba de las obligaciones, in</w:t>
      </w:r>
      <w:r>
        <w:lastRenderedPageBreak/>
        <w:t>cluídas las que reparten la carga de la prueba a partir del art. 1.214 del Código Civil, o las que especifican el valor y fuerza probatorias que despliegan los documentos privados, tanto en general (art.  1.228 del Código Civil) como en relación con los libros y documentos contables de los empresarios (regulado antes por el art.  47 y concordantes del Código de Comercio, y en la actualidad por su art.  31 y concordantes, según la redacción de la Ley 19/1989, de 25 julio). No cabe, por tanto, compartir la opinión, expresada en varios de los Autos judiciales, de que el art.  1.435 L.E.C. viene a exigir al demandado una prueba imposible o diabólica, lo que, si así fuera, ciertamente le causaría indefensión por no poder justificar procesalmente sus derechos e intereses legítimos mediante el ejercicio de los medios probatorios pertinentes para su defensa (SSTC 4/1982, fundamento jurídico 5º; 95/1991, fundamento jurídico 3º; y 227/1991, in toto).</w:t>
      </w:r>
    </w:p>
    <w:p w:rsidR="00FE0907" w:rsidRDefault="00FE0907" w:rsidP="00FE0907">
      <w:pPr>
        <w:pStyle w:val="TextoNormal"/>
      </w:pPr>
    </w:p>
    <w:p w:rsidR="00FE0907" w:rsidRDefault="00FE0907" w:rsidP="00FE0907">
      <w:pPr>
        <w:pStyle w:val="TextoNormal"/>
      </w:pPr>
      <w:r w:rsidRPr="00FE0907">
        <w:rPr>
          <w:rStyle w:val="NumeroAFNegritaCaracter"/>
        </w:rPr>
        <w:t>3</w:t>
      </w:r>
      <w:r>
        <w:t>. Es bien cierto que, como señalan los juzgadores civiles, la certificación emitida por la entidad financiera expresará el saldo que presente la cuenta el día en que haya sido cerrada, tras cancelar el crédito y resolver el contrato por considerarlo incumplido por parte del cliente. Dicho saldo resultará de una serie de operaciones matemáticas, efectuadas por la entidad de acuerdo con los datos que figuren en las partidas del "debe" y del "haber" de su propia contabilidad.  Tales asientos contables reflejan las variaciones patrimoniales experimentadas por la entidad como consecuencia de operaciones sucesivas.  Algunas de tales operaciones habrán sido realizadas por ella misma, como las entregas de dinero al cliente o a quien éste haya designado, mediante cheques, letras de cambio u otros documentos mercantiles; o también, el cargo o abono de los intereses por ella calculados en contra o a favor del titular de la cuenta corriente. Otras operaciones, aunque reflejadas en la contabilidad de la entidad de crédito, habrán sido llevadas a cabo por el cliente: señaladamente, la entrega de sumas de dinero u otros medios de pago para la amortización de las cantidades prestadas o el abono de los correspondientes intereses. Todas estas operaciones serán formalizadas en una pluralidad de documentos, distintos a los libros de contabilidad, por lo que en caso de controversia sobre la realidad, fecha, cuantía, o cualquier otro extremo relevante de las operaciones entrelazadas en la cuenta corriente, son susceptibles de prueba sin dificultades especiales.  Prueba cuya carga recaerá, ora sobre la entidad financiera acreedora, ora sobre su cliente, de conformidad con las reglas comunes, las cuales, como admite expresamente el Abogado del Estado, hacen que incumba a aquélla la acreditación de los hechos constitutivos de su pretensión, cuyos antecedentes documentales y demás elementos probatorios obran en su poder, y al demandado la de los hechos impeditivos, extintivos o excluyentes de la obligación (art. 1214 Código Civil; STC 227/91, fundamentos jurídicos 3º y 5º).</w:t>
      </w:r>
    </w:p>
    <w:p w:rsidR="00FE0907" w:rsidRDefault="00FE0907" w:rsidP="00FE0907">
      <w:pPr>
        <w:pStyle w:val="TextoNormal"/>
      </w:pPr>
      <w:r>
        <w:t xml:space="preserve">El párrafo cuarto del art.  1.435 L.E.C.  no restringe la potestad judicial para recibir el pleito a prueba. Por el contrario, el art. 1.469 de la propia Ley procesal fuerza a abrir período probatorio cuando cualquiera de las partes del juicio ejecutivo lo pidiera, coartando así, en favor de las posibilidades probatorias de demandante y demandado, las facultades ordinarias del Juez para acordar lo que proceda (art.  550 L.E.C.)  La norma cuestionada tampoco merma las facultades del juez para valorar las pruebas practicadas, ni para apreciar a quién se le siguen las consecuencias desfavorables de no levantar la carga de probar lo que le incumbe.  Tal y como afirma con razón el Abogado del Estado, si el cliente de la entidad niega con un mínimo de seriedad o verosimilitud la cuantía de la suma reclamada o incluso la existencia o la exigibilidad de la deuda, ni el art.  1.435 ni ningún otro precepto de la Ley de Enjuiciamiento Civil obligan al juzgador a dar por probada la deuda reclamada por la entidad acreedora. Como declaramos en la STC 118/1989, el Juez deberá </w:t>
      </w:r>
      <w:r>
        <w:lastRenderedPageBreak/>
        <w:t>adoptar en Sentencia alguno de los fallos señalados en el art.  1.473 L.E.C., pero habrá de hacerlo con arreglo a los hechos que estime hayan quedado probados. De este modo, el Juez podrá fallar que siga la ejecución adelante, en los términos solicitados por el acreedor, si la oposición formulada por el deudor careciera de verosimilitud o si la entidad acreedora hubiera ofrecido una prueba suficiente de los hechos determinantes de su reclamación; pudiendo liberar del pago de las costas al demandado si la entidad de crédito hubiera incurrido en plus de petición, como dispone el art.  1.474, párrafo primero L.E.C., cuya dicción no permite entender alteradas las reglas generales sobre carga de la prueba. Por el contrario, si el juez estima que la existencia de la deuda o su cuantía exacta no han quedado acreditadas, puede fallar que no ha lugar a pronunciar Sentencia de remate o bien declarar, en su caso, la nulidad del juicio, con las distintas consecuencias en materia de costas previstas por el art. 1.474 L.E.C.</w:t>
      </w:r>
    </w:p>
    <w:p w:rsidR="00FE0907" w:rsidRDefault="00FE0907" w:rsidP="00FE0907">
      <w:pPr>
        <w:pStyle w:val="TextoNormal"/>
      </w:pPr>
      <w:r>
        <w:t>En consecuencia la norma cuestionada no consagra un privilegio probatorio en favor de las entidades de crédito, que contraríe el art. 14 de la Constitución, pues no invierte la carga de la prueba, ni otorga a la contabilidad de las mismas el carácter de documento público. Y tampoco priva al deudor de un proceso con todas las garantías probatorias, ni lo sume en indefensión por exigirle una pretendida prueba diabólica o imposible, lo que, si ocurriera, sería sin duda contrario a los apartados 1 y 2 del art. 24 de la Constitución.</w:t>
      </w:r>
    </w:p>
    <w:p w:rsidR="00FE0907" w:rsidRDefault="00FE0907" w:rsidP="00FE0907">
      <w:pPr>
        <w:pStyle w:val="TextoNormal"/>
      </w:pPr>
    </w:p>
    <w:p w:rsidR="00FE0907" w:rsidRDefault="00FE0907" w:rsidP="00FE0907">
      <w:pPr>
        <w:pStyle w:val="TextoNormal"/>
      </w:pPr>
      <w:r w:rsidRPr="00FE0907">
        <w:rPr>
          <w:rStyle w:val="NumeroAFNegritaCaracter"/>
        </w:rPr>
        <w:t>4</w:t>
      </w:r>
      <w:r>
        <w:t>. Las afirmaciones anteriores descansan sobre la hipótesis de que el demandado se persone en el procedimiento y formule oposición, pues si así no fuera los autos son traídos sin más trámite a la vista del Juez para Sentencia, y por consiguiente, sin recibir el proceso a prueba (arts. 1.462 y 1.463, in fine). Sobre esta posibilidad hacen hincapié varios de los Autos judiciales que resaltan tanto la indefensión del demandado en esta circunstancia como el cierre jurisprudencial del posterior juicio declarativo que permite el art. 1.479 L.E.C.</w:t>
      </w:r>
    </w:p>
    <w:p w:rsidR="00FE0907" w:rsidRDefault="00FE0907" w:rsidP="00FE0907">
      <w:pPr>
        <w:pStyle w:val="TextoNormal"/>
      </w:pPr>
      <w:r>
        <w:t>Desde la estricta perspectiva de la prueba en que ahora nos encontramos, la ausencia del deudor en el proceso, o su silencio, obliga a efectuar dos reflexiones sucesivas. Con carácter general, hay que decir, en primer término, que los principios que rigen esta situación no se apartan de los que son regla en los demás procesos: cuando en ellos se controvierten derechos disponibles por sus titulares, la dejación o el silencio por parte de éstos justifica que se produzcan consecuencias en el orden probatorio, las cuales pueden ser dispuestas directamente por la ley bajo forma de ficta confessio (por ejemplo: art.  593 L.E.C.; art.  1.236 C.C.; arts. 88.2, y 83 y 87.1 L.P.L.)  o bien ser deducidas por el juzgador, primero cuando aprecia cuáles son los hechos controvertidos y cuáles, por el contrario, son aceptados por las partes, y luego cuando, al determinar los hechos probados, valora de acuerdo con la sana crítica las pruebas practicadas.  En los juicios declarativos ordinarios, la rebeldía del demandado civil no impide su desarrollo, ni su culminación mediante la correspondiente Sentencia (SSTC 184/1989 y 43/1986).</w:t>
      </w:r>
    </w:p>
    <w:p w:rsidR="00FE0907" w:rsidRDefault="00FE0907" w:rsidP="00FE0907">
      <w:pPr>
        <w:pStyle w:val="TextoNormal"/>
      </w:pPr>
      <w:r>
        <w:t xml:space="preserve">Los Juzgados de Sevilla anotan, sin embargo, que en los mencionados procesos ordinarios dicha Sentencia puede ser estimatoria o desestimatoria según que el demandante haya acreditado o no efectivamente los hechos constitutivos de su derecho. Es ello cierto, pero no puede olvidarse que en tales supuestos la declaración surtirá siempre efectos de cosa juzgada, sólo susceptibles de rescisión si concurriere alguna causa que justificara la audiencia al rebelde o la revisión de la sentencia. Por el contrario, las sentencias de remate dictadas en el juicio ejecutivo "no producirán la excepción de cosa juzgada" (art. 1.479 L.E.C.)  y, en consecuencia, no impiden que en un posterior juicio declarativo puedan realizarse con plenitud pruebas sobre los hechos que no hubieran quedado probados en el </w:t>
      </w:r>
      <w:r>
        <w:lastRenderedPageBreak/>
        <w:t>juicio ejecutivo.  Ello ofrece una justificación suficiente para que la Ley permita que el Juez falle favorablemente una demanda en la que se formulan pretensiones con apariencia de buen derecho, cuando el demandado no se toma siquiera la molestia de comparecer y de oponerse a aquélla. La veracidad de los hechos que no es controvertida por aquél a quien perjudican, atinentes a derechos sobre los que ostenta poder de disposición, no hay razón para que sea puesta en duda por los órganos jurisdiccionales al dispensar la tutela judicial que el art. 24 de la Constitución exige.</w:t>
      </w:r>
    </w:p>
    <w:p w:rsidR="00FE0907" w:rsidRDefault="00FE0907" w:rsidP="00FE0907">
      <w:pPr>
        <w:pStyle w:val="TextoNormal"/>
      </w:pPr>
      <w:r>
        <w:t>Donde estriba el peligro que los órganos judiciales han advertido es, obviamente, en la brevedad del plazo que la regulación vigente del juicio ejecutivo prevé para la personación del deudor -tres días, como regla general- y en la posibilidad de que la citación se lleve a cabo por edictos.  Estos dos aspectos problemáticos, pero colaterales al precepto cuya constitucionalidad está aquí cuestionada, se entreveran con los que, referidos stricto sensu al objeto de este proceso, se analizarán más adelante desde la óptica del derecho a un proceso con todas las garantías.  Baste por ello ahora con concluir que la norma legal cuestionada no surte por sí sola efecto probatorio alguno, por lo que mal puede invertir las reglas que distribuyen la carga de la prueba entre las entidades de crédito y sus clientes, ni exigir de éstos la prueba de hechos negativos, ni sumirlos en indefensión por la brevedad del plazo de prueba, cuya preclusión sin que se hayan propuesto o practicado las pruebas precisas para acreditar los hechos litigiosos redundará en perjuicio de la parte ejecutada o de la ejecutante, según proceda.</w:t>
      </w:r>
    </w:p>
    <w:p w:rsidR="00FE0907" w:rsidRDefault="00FE0907" w:rsidP="00FE0907">
      <w:pPr>
        <w:pStyle w:val="TextoNormal"/>
      </w:pPr>
      <w:r>
        <w:t>Nuestro juicio de constitucionalidad ha de ceñirse, pues, al efecto propio del precepto: permitir a los bancos y otras entidades financieras que realicen sus créditos a través del juicio ejecutivo. Efecto no otorgado cuando se esgrime un título ejecutivo sin que en el mismo se exprese la cantidad exacta reclamada, obstáculo éste que el art.  1.435 salva al autorizar que se pacte en el contrato que las certificaciones emitidas por dichas entidades de los saldos de las cuentas corrientes de sus deudores den lugar a la cantidad líquida exigible.</w:t>
      </w:r>
    </w:p>
    <w:p w:rsidR="00FE0907" w:rsidRDefault="00FE0907" w:rsidP="00FE0907">
      <w:pPr>
        <w:pStyle w:val="TextoNormal"/>
      </w:pPr>
    </w:p>
    <w:p w:rsidR="00FE0907" w:rsidRDefault="00FE0907" w:rsidP="00FE0907">
      <w:pPr>
        <w:pStyle w:val="TextoNormal"/>
      </w:pPr>
      <w:r w:rsidRPr="00FE0907">
        <w:rPr>
          <w:rStyle w:val="NumeroAFNegritaCaracter"/>
        </w:rPr>
        <w:t>5</w:t>
      </w:r>
      <w:r>
        <w:t>. El examen del precepto cuestionado desde el prisma del principio de igualdad, que enuncia el art.  14 Constitución, debe hacerse tomando como término de comparación los demás acreedores que por no ser entidades de crédito, ahorro o financiación quedan excluídos de las posibilidades que abre el art. 1.435 L.E.C. Las diferencias de trato entre las entidades beneficiadas por esta disposición y sus deudores pueden ser analizadas mejor en el contexto del art. 24 de la Constitución, puesto que tales diferencias se reconducen, en definitiva, a las posiciones que como partes ocupan en el juicio ejecutivo (STC 180/1991, fundamento jurídico 4º).</w:t>
      </w:r>
    </w:p>
    <w:p w:rsidR="00FE0907" w:rsidRDefault="00FE0907" w:rsidP="00FE0907">
      <w:pPr>
        <w:pStyle w:val="TextoNormal"/>
      </w:pPr>
      <w:r>
        <w:t xml:space="preserve">Es bien sabido que el art.  14 de la Constitución impide sólo las diferencias de trato legislativo que carezcan de justificación objetiva y razonable; así lo ha declarado este Tribunal en numerosas ocasiones (SSTC 22/1981, 34/1981, 103/1983 y 166/1986, inter alia), y así lo recuerdan también los órganos judiciales que han planteado las presentes cuestiones de inconstitucionalidad.  Los límites que comporta esta prohibición constitucional no niegan la libertad de configuración del legislador, que éste despliega singularmente cuando establece las normas de competencia y procedimiento que encauzan el ejercicio de la potestad jurisdiccional en todo tipo de procesos (art. 117.3 de la Constitución; SSTC 3/1983, 123/1983, 15/1985, 99/1985 y 185/1990).  Por ello, las Audiencias y Juzgados a quo no suscitan duda alguna acerca de la constitucionalidad del juicio ejecutivo, tal y como es regulado en el Título XV del Libro II de la Ley de Enjuiciamiento Civil, no obstante sus notorias especialidades respecto de los procedimientos declarativos ordinarios, ni </w:t>
      </w:r>
      <w:r>
        <w:lastRenderedPageBreak/>
        <w:t>cuestionan la delimitación que, dentro de dicho proceso ejecutivo, llevan a cabo los arts.  1.429 y 1.435 L.E.C. y que supone una drástica reducción del conjunto de acreedores que tienen acceso a este tipo de proceso para la satisfacción de sus créditos; y, en puridad,tampoco dudan de que, desde la estricta óptica del principio de igualdad, sea constitucionalmente posible que el párrafo cuarto del art. 1.435 L.E.C. permita a las partes de un contrato mercantil de préstamo con apertura de cuenta corriente que acuerden un pacto de liquidez en la forma que dicho precepto establece. La desigualdad que es objeto de la censura o de las dudas de los jueces se centra en que dicha posibilidad quede reducida únicamente a las entidades de crédito, ahorro y financiación que allí se mencionan, con exclusión de cualesquiera otros acreedores.</w:t>
      </w:r>
    </w:p>
    <w:p w:rsidR="00FE0907" w:rsidRDefault="00FE0907" w:rsidP="00FE0907">
      <w:pPr>
        <w:pStyle w:val="TextoNormal"/>
      </w:pPr>
      <w:r>
        <w:t>Vistas así las cosas, que es como hay que verlas una vez que la tacha de discriminación que se imputa al art. 1.435.4 L.E.C.  se despoja de los motivos relativos a la eventual indefensión del deudor, es evidente que las cuestiones de inconstitucionalidad sobre las que ahora juzgamos no pueden prosperar. Las diferencias que median entre las entidades de crédito, ahorro y financiación, por un lado, y todos los restantes acreedores,por otro, incluso si éstos se reducen a quienes ostentan créditos en virtud de contratos mercantiles, son suficientes para justificar que el legislador establezca en favor de las primeras un régimen procesal especial que facilite la realización de sus créditos.</w:t>
      </w:r>
    </w:p>
    <w:p w:rsidR="00FE0907" w:rsidRDefault="00FE0907" w:rsidP="00FE0907">
      <w:pPr>
        <w:pStyle w:val="TextoNormal"/>
      </w:pPr>
      <w:r>
        <w:t>El párrafo cuarto del art. 1.435 L.E.C. no es un precepto extravagante en nuestro ordenamiento jurídico, sino que está estrechamente relacionado con un amplio conjunto de normas, encabezado por la Ley sobre Disciplina e Intervención de las Entidades de Crédito, de 29 de julio de 1988 (Ley 26/1988, LDIEC), que configura un ordenamiento sectorial para todas aquellas entidades que se dedican, con carácter exclusivo y excluyente, a las actividades de intermediación financiera. Esta legislación singular responde, como es notorio, a la importancia que reviste el buen funcionamiento de las entidades de crédito para el conjunto de la economía, dada su posición central en los mecanismos de pago. En términos generales, sus preceptos someten a estas entidades a una estrecha regulación y supervisión administrativa, mucho más intensas que las que soportan la mayor parte de los restantes sectores económicos, y cuyo designio esencial consiste en asegurar la confianza en ellas, lo que es sin duda un factor imprescindible para la buena marcha de la economía.</w:t>
      </w:r>
    </w:p>
    <w:p w:rsidR="00FE0907" w:rsidRDefault="00FE0907" w:rsidP="00FE0907">
      <w:pPr>
        <w:pStyle w:val="TextoNormal"/>
      </w:pPr>
      <w:r>
        <w:t>Estas mismas preocupaciones,a las que se refiere la Ley 26/1988 en su preámbulo, justifican que en la reforma parcial de la Ley de Enjuiciamiento Civil de 1984 se haya querido facilitar a las entidades de crédito la satisfacción de los derechos generados por las operaciones activas típicas de su tráfico de intermediación.  Pues precisamente por las características singulares de su actividad económica propia y por la imperiosa necesidad de que estas entidades mantengan la confianza del público y una solvencia acreditada, que es esencial en la intermediación financiera, los incumplimientos de sus deudores típicos tienen mucha mayor importancia que para otro tipo de empresas, tal y como razona el Abogado del Estado.</w:t>
      </w:r>
    </w:p>
    <w:p w:rsidR="00FE0907" w:rsidRDefault="00FE0907" w:rsidP="00FE0907">
      <w:pPr>
        <w:pStyle w:val="TextoNormal"/>
      </w:pPr>
      <w:r>
        <w:t xml:space="preserve">Sentado lo anterior, debe advertirse, no obstante, que el art. 1.435 L.E.C. no facilita la ejecución de cualesquiera derechos de crédito de que sean titulares los bancos y otras entidades financieras. El precepto restringe su alcance a los contratos mercantiles que, además de documentarse mediante formas que garantizan su autenticidad, implican la existencia de una situación de cuenta corriente entre las partes, único contexto en el que cobra sentido la regulación de operaciones de liquidación y de certificación de saldos.  Este dato confirma que no estamos ante un supuesto de trato jurídico especial que atienda sólo a rasgos subjetivos del acreedor, sino que dicho trato es debido a las peculiares exigencias de las </w:t>
      </w:r>
      <w:r>
        <w:lastRenderedPageBreak/>
        <w:t>actividades de intermediación financiera que constituyen el objeto social, exclusivo y excluyente, de las entidades de crédito en nuestro Derecho.</w:t>
      </w:r>
    </w:p>
    <w:p w:rsidR="00FE0907" w:rsidRDefault="00FE0907" w:rsidP="00FE0907">
      <w:pPr>
        <w:pStyle w:val="TextoNormal"/>
      </w:pPr>
      <w:r>
        <w:t>Estas evidentes diferencias entre las entidades de crédito y todos los restantes acreedores (tanto quienes derivan sus créditos de contratos mercantiles cuyo cumplimiento comporta una relación de cuenta corriente como cualesquiera otros) ofrecen una justificación suficiente, objetiva y razonable, a la diferencia de trato legislativo creada por el precepto cuestionado. Cosa distinta es determinar si tal diferencia de trato, que comporta innegables ventajas procesales a la entidad acreedora, resulta proporcionada al legítimo fin perseguido. Pero este segundo aspecto del análisis desde la perspectiva del imperativo constitucional de igualdad debe ser deferido al examen de las desigualdades procesales que censuran los Autos judiciales.</w:t>
      </w:r>
    </w:p>
    <w:p w:rsidR="00FE0907" w:rsidRDefault="00FE0907" w:rsidP="00FE0907">
      <w:pPr>
        <w:pStyle w:val="TextoNormal"/>
      </w:pPr>
    </w:p>
    <w:p w:rsidR="00FE0907" w:rsidRDefault="00FE0907" w:rsidP="00FE0907">
      <w:pPr>
        <w:pStyle w:val="TextoNormal"/>
      </w:pPr>
      <w:r w:rsidRPr="00FE0907">
        <w:rPr>
          <w:rStyle w:val="NumeroAFNegritaCaracter"/>
        </w:rPr>
        <w:t>6</w:t>
      </w:r>
      <w:r>
        <w:t>. El eje de las razones que han impulsado a los Juzgados y Audiencias a cuestionar la validez constitucional del párrafo cuarto del art. 1.435 de la Ley de Enjuiciamiento Civil se centra en varios de los derechos fundamentales que enuncia el art. 24 de la Constitución. Los Autos de planteamiento insisten especialmente en el derecho a no sufrir indefensión, garantizado en el apartado 1 de este art. 24, y en el derecho a un proceso con todas las garantías, que se reconoce en su apartado 2.  La conjunción de estos dos derechos fundamentales se traduce en la exigencia de observar una serie de principios que han sido desgranados por la jurisprudencia de este Tribunal, entre los que asumen especial importancia los de audiencia, contradicción e igualdad de armas procesales (entre otras, SSTC 4/1982, fundamento jurídico 5º, 191/1987, fundamento jurídico 1º, 226/1988, fundamento jurídico 3º, 180/1991, fundamento jurídico 4º y 227/1991, fj. 5). Principios que también rigen sin duda en el juicio ejecutivo, aun cuando la ley los haya podido modular para alcanzar los lícitos fines a los que sirve este tipo de proceso (SSTC 191/1988, 224/1988 y 81/1989, 118/1989, 173/1989; AATC 541/1984, 161/1985, 516/1985, 543/1986, 369/1989, 403/1989; y más en general SSTC 155/1988 y 41/1981).</w:t>
      </w:r>
    </w:p>
    <w:p w:rsidR="00FE0907" w:rsidRDefault="00FE0907" w:rsidP="00FE0907">
      <w:pPr>
        <w:pStyle w:val="TextoNormal"/>
      </w:pPr>
      <w:r>
        <w:t>Las dudas que los Jueces proponentes suscitan se refieren tanto a la eventual indefensión en que se coloca al titular de cuenta corriente cuyo saldo es ejecutado por la entidad de crédito como, en general, a una reducción de sus garantías procesales, y se centran, en concreto, en dos medidas judiciales, propias del juicio ejecutivo, que son harto distintas. Por una parte, está el embargo de los bienes del deudor, que de acuerdo con el art. 1.440 ha de ser decretado a espaldas de éste: la declaración unilateral del banco o entidad financiera es bastante para determinar la existencia de la deuda y para cifrar la cuantía por la que se ha de despachar ejecución. Por otra parte, una vez trabados los bienes del deudor en número bastante y dictada Sentencia de remate, puede tener lugar su venta judicial forzosa para hacer pago de la deuda unilateralmente declarada por el banco: en esta fase adquiere una importancia decisiva la Sentencia de ejecución, que es la que hace posible que los bienes embargados sean sometidos a la vía de apremio (arts. 1.473.1 y 1.481 L.E.C.).</w:t>
      </w:r>
    </w:p>
    <w:p w:rsidR="00FE0907" w:rsidRDefault="00FE0907" w:rsidP="00FE0907">
      <w:pPr>
        <w:pStyle w:val="TextoNormal"/>
      </w:pPr>
      <w:r>
        <w:t>Contempladas desde la perspectiva del art. 24 de la Constitución y confrontadas, por tanto, con las exigencias que este precepto constitucional comporta, es claro que las dos decisiones judiciales arriba mencionadas -el embargo y la Sentencia de ejecución- dan lugar a problemas distintos que demandan un examen asimismo diferenciado.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Como ya se ha dicho, el embargo preventivo es decretado inaudita parte debitoris, pero ello no puede merecer reparo de inconstitucionalidad, pues en sí misma considerada la orden de embargo no es más que una medida cautelar, cuya emisión no requiere una plena certeza del derecho provisionalmente protegido, ni es forzoso tampoco que se oiga </w:t>
      </w:r>
      <w:r>
        <w:lastRenderedPageBreak/>
        <w:t>con antelación a quien la sufre (ATC 186/1983).  Es más: la audiencia previa del afectado podría perjudicar en muchos supuestos la efectividad de la medida cautelar, y siempre la retrasaría en detrimento de su eficacia, lo cual podría llegar a menoscabar el derecho a una tutela judicial efectiva, reconocido en el art. 24 de la Constitución, pues la tutela judicial no es tal sin medidas cautelares adecuadas que aseguren el efectivo cumplimiento de la resolución definitiva que recaiga en el proceso.</w:t>
      </w:r>
    </w:p>
    <w:p w:rsidR="00FE0907" w:rsidRDefault="00FE0907" w:rsidP="00FE0907">
      <w:pPr>
        <w:pStyle w:val="TextoNormal"/>
      </w:pPr>
      <w:r>
        <w:t>No cabe olvidar, de otro lado, que la decisión de trabar los bienes del deudor se encuentra sujeta a dos garantías que impiden asimismo hablar de indefensión.  En primer lugar, se requiere una apariencia de buen derecho, acreditada documentalmente en un título ejecutivo, que permita entender inicialmente justificada la interferencia en el patrimonio del demandado. No resultaría exacto afirmar que esa apariencia viene suministrada exclusivamente por la declaración unilateral de la entidad de crédito, pues en el origen de su derecho de crédito se encuentra siempre un contrato suscrito por las partes e intervenido por fedatario, cuyo original debe ser aportado con la demanda ejecutiva, y que hace fe de la existencia de una relación jurídica entre la entidad demandante y el demandado, así como de sus caracteres esenciales. Es cierto que la mera existencia del contrato no determina la existencia de deuda, y menos aún de cuantía líquida, una vez calculados y sumados los intereses devengados y deducidas las cantidades anotadas en favor del cliente.  Sin embargo, puede ser considerado suficiente para acreditar una apariencia de buen derecho digno de una tutela judicial preventiva inmediata. De ahí que el art. 1.400 L.E.C. permita con carácter general que se adopten embargos preventivos cuando la solicitud se acompaña de "un documento del que resulte la existencia de la deuda", siendo siempre suficiente la aportación de uno de los títulos ejecutivos enumerados por el art. 1.429, de acuerdo con lo que dispone el art. 1.401.</w:t>
      </w:r>
    </w:p>
    <w:p w:rsidR="00FE0907" w:rsidRDefault="00FE0907" w:rsidP="00FE0907">
      <w:pPr>
        <w:pStyle w:val="TextoNormal"/>
      </w:pPr>
      <w:r>
        <w:t>En segundo lugar, el embargo es decretado por cuenta y riesgo de la entidad financiera acreedora. Es cierto, como subraya el Juzgado de Valls, que la mera traba de los bienes trae consigo perjuicios al ejecutado. Pero tampoco puede ignorarse que, si el embargo fuera infundado y se dictara luego un fallo que declarara no haber lugar a pronunciar Sentencia de remate, todas las costas del proceso, conforme a lo dispuesto por el art. 1.474.2 L.E.C., deberán ser sufragadas por la entidad demandante, la cual deberá responder entonces de los perjuicios causados por el embargo preventivamente decretado a su solicitud, como regulan con carácter general los arts. 1.413 y 1.418 de la Ley procesal civil.</w:t>
      </w:r>
    </w:p>
    <w:p w:rsidR="00FE0907" w:rsidRDefault="00FE0907" w:rsidP="00FE0907">
      <w:pPr>
        <w:pStyle w:val="TextoNormal"/>
      </w:pPr>
      <w:r>
        <w:t>Las anteriores cautelas legales sirven de contrapeso razonable a las facultades otorgadas al actor, quien ciertamente puede obtener mediante una petición unilateral el embargo de los bienes del demandado, de valor suficiente para cubrir la cantidad inicialmente señalada por él mismo de forma igualmente unilateral, sin previo contraste con las razones y pruebas del deudor. Pero ello a sabiendas de que deberá arrostrar todas las responsabilidades que se deriven del embargo, si éste resultara infundado.  Siendo ello así, es razonable entender que los derechos e intereses legítimos del demandado en un juicio ejecutivo, en virtud de una reclamación apoyada en el precepto legal cuestionado de que ahora nos ocupamos, no quedan judicialmente desprotegidos ni indefensos.</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Las observaciones que anteceden son también válidas para los supuestos en que el demandado no haya formulado oposición.  Y lo son porque la apariencia de buen derecho es examinada de oficio por el Juez, en el trámite de admisión de la demanda ejecutiva que regula el art.  1.440, con anterioridad a la fase en la que el deudor puede ser oído. Que el estudio de la demanda y de los documentos que la acompañen debe ser realizado de oficio, antes de despachar la ejecución, es algo que no admite duda en el precepto mencionado, </w:t>
      </w:r>
      <w:r>
        <w:lastRenderedPageBreak/>
        <w:t>siendo amplio, por lo demás, el grado de cognición judicial, pues que alcanza tanto a la validez del título y de la obligación que incorpora como a todos los requisitos necesarios, según el art.  1.467.2, para que dicho título tenga aparejada ejecución. La importancia que la ley otorga a esta función judicial de control prima facie de la demanda ejecutiva queda gráficamente manifestada en el art. 1.475, cuyo segundo párrafo permite que la Audiencia en grado de apelación imponga las costas, como corrección disciplinaria, al Juez que hubiere despachado indebidamente la ejecución con infracción de la Ley y por error inexcusable.</w:t>
      </w:r>
    </w:p>
    <w:p w:rsidR="00FE0907" w:rsidRDefault="00FE0907" w:rsidP="00FE0907">
      <w:pPr>
        <w:pStyle w:val="TextoNormal"/>
      </w:pPr>
      <w:r>
        <w:t>El art. 1.435 no solamente no impide al Juez ese control inicial, ni lo relega a un examen impracticable o imposible, sino que le ofrece la posibilidad de contar con el imprescindible auxilio técnico.  Pues, debido a una enmienda parlamentaria dirigida precisamente a "reforzar la posición jurídica del deudor, evitando que la determinación del saldo quede al solo arbitrio de la entidad acreedora", la certificación de lo adeudado que esta última expide debe constar en un documento fehaciente. Y en todo caso deben quedar acreditados ante el Juez dos extremos de innegable importancia: que la liquidación haya sido practicada en la forma pactada por las partes en el título ejecutivo y que el saldo coincida con el que aparece en la cuenta abierta al deudor.</w:t>
      </w:r>
    </w:p>
    <w:p w:rsidR="00FE0907" w:rsidRDefault="00FE0907" w:rsidP="00FE0907">
      <w:pPr>
        <w:pStyle w:val="TextoNormal"/>
      </w:pPr>
      <w:r>
        <w:t>De esta forma, el art. 1.435 brinda a los Jueces civiles un medio que permite hacer efectivo el control de admisión de las demandas ejecutivas, cuando éstas no se apoyan en un título ejecutivo que por sí solo cumpla los requisitos que dicho precepto legal establece, en cuanto a la liquidez de la cantidad a reclamar, por tratarse de una relación de cuenta corriente. Como destaca acertadamente el Abogado del Estado, son los órganos judiciales quienes habrán de interpretar el alcance que haya de darse a la tarea de acreditamiento de los extremos señalados por la Ley, de manera que se ofrezca a su conocimiento los elementos de hecho y de cálculo imprescindibles para poder efectuar el examen inicial que exige el art. 1.440, control judicial que incluye el particular de la liquidez (art. 1.467.2 in fine).  La realización de dicho control no requiere del Juez conocimientos contables, de matemática financiera o incluso de informática, como se declara en alguno de los Autos de planteamiento, pues no se trata de decidir si la pretensión de ejecución está fundada, lo que pertenece a la Sentencia, sino de efectuar un control inicial de admisibilidad de dicha pretensión.  En cualquier caso, nada resulta más alejado del texto legal que el despacho automático del mandamiento de ejecución (y del consiguiente embargo) para hacer el pago de sumas determinadas unilateralmente por la entidad acreedora y huérfanas de toda explicación y justificación.</w:t>
      </w:r>
    </w:p>
    <w:p w:rsidR="00FE0907" w:rsidRDefault="00FE0907" w:rsidP="00FE0907">
      <w:pPr>
        <w:pStyle w:val="TextoNormal"/>
      </w:pPr>
      <w:r>
        <w:t>Por último, la ausencia del deudor en el proceso ejecutivo no impide tampoco el resarcimiento de los daños y perjuicios causados por un embargo infundado.  Claro es que dicho resarcimiento no será normalmente otorgado en la Sentencia que niegue el remate de los bienes trabados, sino en la que ponga fin a un ulterior juicio declarativo acerca del derecho sustantivo de crédito hecho valer en el previo proceso ejecutivo.  Pero no por ello dicha reparación será menos real, pues abarcará todos los daños y perjuicios causados indebidamente por el embargo de los bienes, y even tualmente también por su enajenación forzosa si hubiere cul minado el apremio en virtud de la sentencia de remate, como indicamos en nuestro ATC 248/1985, y como admite también el Tribunal Supremo en sus Sentencias de 18 de marzo de 1987, 26 de mayo de 1988 y 19 de mayo de 1989; pudiendo llegar a alcanzar la reparación de todos los daños y perjuicios que conocidamente se derivaran del juicio ejecutivo, conforme al art. 1.107 C.C., si hubiera habido dolo en la entidad de crédito al entablar aquél.</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9</w:t>
      </w:r>
      <w:r>
        <w:t>. La segunda decisión que el Juez debe adoptar, a la vista de una solicitud formulada por una entidad de crédito con arreglo al párrafo cuarto del art.  1.435 L.E.C., es la Sentencia ejecutiva. En este punto también se concentran las críticas o las dudas de los Autos de planteamiento, especialmente del Juzgado de Madrid (que no ha planteado la cuestión hasta llegar a esta fase, a diferencia de los de Valls y Sevilla), por entender que se causa, o se consolida, la privación de garantías procesales esenciales y la indefensión del cliente sometido al juicio ejecutivo.</w:t>
      </w:r>
    </w:p>
    <w:p w:rsidR="00FE0907" w:rsidRDefault="00FE0907" w:rsidP="00FE0907">
      <w:pPr>
        <w:pStyle w:val="TextoNormal"/>
      </w:pPr>
      <w:r>
        <w:t>Una vez despejados los aspectos relativos a la prueba que, como ya se ha dicho, son ajenos a la norma cuestionada y dan lugar, por tanto, a que la brevedad y las limitaciones ínsitas al juicio ejecutivo puedan perjudicar ora al deudor ora a la entidad acreedora, según cómo se haya desarrollado la controversia fáctica y la fase probatoria, nuestro análisis debe dirigirse ahora hacia las peculiaridades de alegación y procedimiento que presenta el juicio ejecutivo.</w:t>
      </w:r>
    </w:p>
    <w:p w:rsidR="00FE0907" w:rsidRDefault="00FE0907" w:rsidP="00FE0907">
      <w:pPr>
        <w:pStyle w:val="TextoNormal"/>
      </w:pPr>
      <w:r>
        <w:t>La limitación de los medios de oposición a los que taxativamente enuncian los arts. 1.464, 1.466 y 1.467 L.E.C., que es uno de los rasgos peculiares de este tipo de juicio, no causa indefensión al deudor.  El abanico de excepciones y de motivos de nulidad que ofrecen estos preceptos al demandado es lo suficientemente amplio como para que éste se encuentre muy lejos de verse impedido de ejercer medios legales suficientes para su defensa (STC 4/1982, fundamento jurídico 5º), siendo superior, por lo demás, al permitido en el proceso de ejecución hipotecaria del art.  131 L.H., en que se encuadra su art. 153, y cuya constitucionalidad venimos manteniendo desde la STC 41/1981.</w:t>
      </w:r>
    </w:p>
    <w:p w:rsidR="00FE0907" w:rsidRDefault="00FE0907" w:rsidP="00FE0907">
      <w:pPr>
        <w:pStyle w:val="TextoNormal"/>
      </w:pPr>
      <w:r>
        <w:t>Las excepciones y motivos de nulidad que brinda la L.E.C.  en el juicio ejecutivo permiten, en efecto, discutir con toda amplitud la liquidez de la cantidad reclamada, así como la eventual plus petitio en que hubiera podido incurrir la entidad crediticia al cuantificar su reclamación. Es pertinente observar a este propósito que esa controversia cuantitativa no queda limitada a las causas de error o falsedad a que se refiere el art. 153 L.H., y queda igualmente zanjada por resolución del juez, tras oír a las partes.  La diferencia es que en el juicio ejecutivo el juez oye a las partes en una vista celebrada después del período probatorio, en cuyo transcurso cabe aportar todo tipo de pruebas; mientras que en la comparecencia que introduce el art.  153 L.H.  en algunos juicios hipotecarios sólo se contempla la presentación de documentos en el acto, régimen sin duda más severo que el que suscitan las presentes cuestiones de inconstitucionalidad. Y, por otra parte, la Ley procesal civil no deja de establecer un contrapeso garantizador, al prescribir que el exceso en la cantidad reclamada puede hacer perder a la entidad financiera acreedora el derecho a que las costas del proceso las abone el demandado; no sólo eso, sino que, si los errores u oscuridades de cálculo fueran de tal entidad que impidieran entender que la cantidad reclamada era realmente líquida, la Ley dispone que procede la nulidad del juicio y, en su caso, la imposición de las costas al actor o al funcionario responsable (art.  1.474). Sin que la inicial determinación de la liquidez ex art. 1.435 altere en nada el juego de estas garantías objetivas de prevención y reparación de eventuales abusos.</w:t>
      </w:r>
    </w:p>
    <w:p w:rsidR="00FE0907" w:rsidRDefault="00FE0907" w:rsidP="00FE0907">
      <w:pPr>
        <w:pStyle w:val="TextoNormal"/>
      </w:pPr>
      <w:r>
        <w:t xml:space="preserve">Tampoco causa indefensión la llamada inversión del contradictorio, si el deudor se persona y formula oposición.  Basta para comprobarlo con observar que el demandado efectúa sus alegaciones a la vista de la demanda ejecutiva presentada en su día por la entidad de crédito, la cual sólo habrá sido admitida por el juez si es documentalmente completa, incluído el documento fehaciente que exige el cuestionado párrafo cuarto del art. 1.435 (arts.  1.459 y 1.463).  El hecho de que la parte actora pueda a su vez contestar a la oposición formulada por la parte demandada,según lo previsto en el art. 1.468, es en todo conforme con el principio de contradicción, no priva de garantías procesales al deudor ni le </w:t>
      </w:r>
      <w:r>
        <w:lastRenderedPageBreak/>
        <w:t>provoca indefensión alguna; y ello porque, si se efectúa prueba, todas las partes disponen de un término común para proponer las que estimen pertinentes, con independencia del orden en que hubieren formulado sus alegaciones (art.  1.469); y, en cualquier caso, el deudor (lo mismo que el acreedor), puede lograr que se celebre vista pública, en la que dispone de todas las posibilidades de alegación que brinda el informe oral en presencia del Juez (art.  1.472).</w:t>
      </w:r>
    </w:p>
    <w:p w:rsidR="00FE0907" w:rsidRDefault="00FE0907" w:rsidP="00FE0907">
      <w:pPr>
        <w:pStyle w:val="TextoNormal"/>
      </w:pPr>
      <w:r>
        <w:t>Finalmente, los órganos judiciales aluden a las dificultades que para la defensa del deudor se derivan de la brevedad de los plazos, tanto el de cuatro días para alegaciones, como el de diez días común para proponer y practicar prueba (arts.  1.463 y 1.469 a 1.471), plazo este último sobre el que insisten varios de los Autos de planteamiento de las cuestiones, subrayando que es incluso más breve que el previsto para los juicios verbales.  Pero, una vez sentado que la preclusión del término probatorio no perjudica necesariamente al deudor, sino a la parte sobre la que pesa la carga de probar el hecho cuya acreditación no se logra, resulta evidente que la brevedad del plazo no redunda necesariamente en la indefensión de aquél.  En cualquier caso, la brevedad de los plazos del juicio ejecutivo no ha sido denunciada por los órganos judiciales proponentes, pues es cuestión ciertamente ajena a la validez del precepto cuestionado, quedando, por tanto, fuera del objeto de este proceso.  Cabe decir, no obstante, que la certificación de saldos, que el párrafo cuarto del art. 1.435 L.E.C. autoriza a pactar para integrar el título ejecutivo del contrato de crédito con el fin de acceder al juicio ejecutivo, no introduce una complejidad fáctica que necesariamente haya de desbordar las posibilidades de alegación y prueba que ofrecen los plazos del juicio ejecutivo, sin que, por lo demás, los órganos judiciales hayan aportado datos o razones que induzcan a una opinión contraria, que sólo podrá ser contrastada con el conocimiento individualizado del diverso casuísmo que pudiera plantearse en el futuro.</w:t>
      </w:r>
    </w:p>
    <w:p w:rsidR="00FE0907" w:rsidRDefault="00FE0907" w:rsidP="00FE0907">
      <w:pPr>
        <w:pStyle w:val="TextoNormal"/>
      </w:pPr>
    </w:p>
    <w:p w:rsidR="00FE0907" w:rsidRDefault="00FE0907" w:rsidP="00FE0907">
      <w:pPr>
        <w:pStyle w:val="TextoNormal"/>
      </w:pPr>
      <w:r w:rsidRPr="00FE0907">
        <w:rPr>
          <w:rStyle w:val="NumeroAFNegritaCaracter"/>
        </w:rPr>
        <w:t>10</w:t>
      </w:r>
      <w:r>
        <w:t>. También en este punto la cuestión vuelve a destacarse en relación con el deudor que permanece ausente del proceso.  Como hemos advertido en nuesta jurisprudencia sobre la prueba, con reflexiones que pueden generalizarse ahora al plano de la alegación y del procedimiento en el juicio ejecutivo iniciado ex art. 1.435, párrafo cuarto, es razonable que la Ley no haga depender la tutela judicial que se debe dar a los acreedores del hecho de que los deudores demandados comparezcan y actúen efectivamente en el proceso.  En nuestra muy reiterada doctrina acerca del emplazamiento debido (a partir de las SSTC 9/1981, 63/1982 y 1/1983), y dejando a un lado las peculiaridades propias del proceso penal en que la comparecencia del acusado reviste mayores exigencias (SSTC 196/1989 y 123/1991), hemos declarado que la garantía procesal que exige la Constitución para evitar la indefensión consiste ante todo en que se ofrezca a la parte la oportunidad de ser oída; de suerte que quien pudiera resultar directamente afectado en sus intereses legítimos por una Sentencia tiene derecho a hacer valer sus razones en tiempo hábil para alegarlas y probarlas, si fuera preciso, ante el Juzgador (SSTC 174/1990 y 197/1991, entre los últimos pronunciamientos al respecto ).  Pero si, conociendo la existencia del proceso, y teniendo la oportunidad de hacerlo, aquél no comparece ni defiende sus derechos, ninguna vulneración de garantías procesales puede aducir, pues si hubo falta de defensa fue por su negligencia o por su voluntario apartamiento del juicio, que no puede obstaculizar ni diferir más allá de lo razonable el conocimiento y la resolución por parte del Juez de las pretensiones deducidas por el demandante (SSTC 56/1985, 39/1987, 198/1987, 129/1988, 159/1988, y 101/1990; y en relación con los juicios ejecutivos, STC 8/1991, fundamento jurídico 3º, y AATC 161/1985, 369/1989 y 403/1989).</w:t>
      </w:r>
    </w:p>
    <w:p w:rsidR="00FE0907" w:rsidRDefault="00FE0907" w:rsidP="00FE0907">
      <w:pPr>
        <w:pStyle w:val="TextoNormal"/>
      </w:pPr>
      <w:r>
        <w:lastRenderedPageBreak/>
        <w:t>No obstante, hay dos aspectos que justifican la preocupación y las dudas mostradas por muchos de los Autos de planteamiento. El primero hace referencia a la brevedad del plazo que la Ley ofrece al deudor para personarse y oponerse a la ejecución. Es cierto que los tres días útiles que concede el art. 1.461 para personarse en los autos por medio de Procurador es un plazo más breve que el habitual en otros procesos (v. gr. veinte días en el juicio de menor cuantía: art.  681), pero también lo es que no difiere sensiblemente del que se ofrece en otros juicios sumarios, siendo incluso superior al previsto para el juicio verbal, en el que el término no debe bajar de veinticuatro horas, ni exceder de seis días (art. 726), aunque en este caso el plazo mínimo se aumente en proporción a la distancia que media entre el lugar del juicio y la residencia del demandado, lo cual, como subraya el titular del Juzgado núm. 10 de Sevilla, no está previsto en el juicio ejecutivo.</w:t>
      </w:r>
    </w:p>
    <w:p w:rsidR="00FE0907" w:rsidRDefault="00FE0907" w:rsidP="00FE0907">
      <w:pPr>
        <w:pStyle w:val="TextoNormal"/>
      </w:pPr>
      <w:r>
        <w:t>No es difícil, sin embargo, disipar las dudas que cupiera albergar acerca de la suficiencia del plazo legal, si se tienen en consideración dos factores.  El primero es que en la cédula de citación de remate el Juzgado debe hacer constar "el negocio en que haya recaído" la providencia de citación, "el objeto de la citación" y la prevención de los perjuicios que se pararán si no compareciese el demandado (arts.  1.459 y 272 L.E.C.).  Un cumplimiento adecuado de este importante deber judicial debería ser suficiente en circunstancias normales para que toda persona, aun lega en Derecho, entienda la trascendencia y la fugacidad del plazo iniciado contra él. Por lo demás, es claro que los posibles incumplimientos de tales contenidos de la cédula de notificación pueden ser reparados a través de los correspondientes recursos, incluído el de amparo, sin que, como es reiterada doctrina de este Tribunal, el temor al incumplimiento de una norma implique en modo alguno su inconstitucionalidad.</w:t>
      </w:r>
    </w:p>
    <w:p w:rsidR="00FE0907" w:rsidRDefault="00FE0907" w:rsidP="00FE0907">
      <w:pPr>
        <w:pStyle w:val="TextoNormal"/>
      </w:pPr>
      <w:r>
        <w:t>El segundo factor se refiere a que los efectos del juicio ejecutivo no revisten la fuerza de cosa juzgada (art.  1.479 L.E.C.), por lo que el ejecutado puede siempre finalmente defenderse asumiendo la condición de demandante contra el anterior ejecutante (ATC 516/1985).  Es verdad que, como señalan los órganos judiciales cuestionantes, la jurisprudencia ha restringido considerablemente las posibilidades del ulterior juicio declarativo, pero no puede negarse que dicha jurisprudencia nunca ha impedido que quien, sin incurrir en negligencia, no gozó de una oportunidad razonable para defender sus legítimos intereses en el seno del juicio ejecutivo, pueda desarrollar dicha defensa en el marco de un posterior proceso declarativo ordinario, según permite el citado art. 1.479 L.E.C.  Posibilidad legal que hoy se ve solemnemente respaldada por el art. 24 de la Constitución al proscribir que nadie pueda quedar indefenso ni verse impedido de tomar parte en un proceso con todas las garantías para la tutela de sus derechos.</w:t>
      </w:r>
    </w:p>
    <w:p w:rsidR="00FE0907" w:rsidRDefault="00FE0907" w:rsidP="00FE0907">
      <w:pPr>
        <w:pStyle w:val="TextoNormal"/>
      </w:pPr>
      <w:r>
        <w:t>El último problema que, desde la perspectiva del art.  24 de la Constitución, suscitan los órganos judiciales se refiere a la posibilidad de que el cliente de la entidad de crédito sea emplazado por edictos, lo que conducirá normalmente a que no comparezca en el juicio ejecutivo. En efecto, cuando no es conocido el domicilio del deudor, o se ignora su paradero, la Ley prevé que se proceda al embargo de sus bienes sin hacer previamente el requerimiento de pago (art. 1.444); y que luego se le cite de remate por medio de edictos, concediéndole un término de nueve días para que se persone en autos, transcurridos los cuales se le declara en rebeldía y se traen los autos para sentencia sin más trámite (arts. 1.460 y 1.462).</w:t>
      </w:r>
    </w:p>
    <w:p w:rsidR="00FE0907" w:rsidRDefault="00FE0907" w:rsidP="00FE0907">
      <w:pPr>
        <w:pStyle w:val="TextoNormal"/>
      </w:pPr>
      <w:r>
        <w:t xml:space="preserve">Es evidente que este modo de proceder abre riesgos de indefensión para el deudor, quien puede verse privado en la práctica de participar en la designación y avalúo de los bienes objeto de embargo, de hacer oír su oposición a la ejecución y, en su caso, de participar en la subasta.  Ahora bien, este problema tiene un alcance más general y es, en rigor, </w:t>
      </w:r>
      <w:r>
        <w:lastRenderedPageBreak/>
        <w:t>ajeno al precepto que es objeto de las presentes cuestiones y de cuya constitucionalidad hemos de decidir en este proceso. Puede afirmarse, no obstante, que la situación del deudor que no es requerido de pago ni citado personalmente de remate no se ve empeorada en modo significativo porque la cantidad que se le reclama provenga del saldo liquidado unilateralmente por una entidad de crédito, en la forma que contempla el párrafo cuarto del art.  1.435 L.E.C. Y no se ofrece razón o dato alguno en los Autos que induzca a pensar de otra forma.</w:t>
      </w:r>
    </w:p>
    <w:p w:rsidR="00FE0907" w:rsidRDefault="00FE0907" w:rsidP="00FE0907">
      <w:pPr>
        <w:pStyle w:val="TextoNormal"/>
      </w:pPr>
    </w:p>
    <w:p w:rsidR="00FE0907" w:rsidRDefault="00FE0907" w:rsidP="00FE0907">
      <w:pPr>
        <w:pStyle w:val="TextoNormal"/>
      </w:pPr>
      <w:r w:rsidRPr="00FE0907">
        <w:rPr>
          <w:rStyle w:val="NumeroAFNegritaCaracter"/>
        </w:rPr>
        <w:t>11</w:t>
      </w:r>
      <w:r>
        <w:t>. Los Autos de planteamiento dictados por los Juzgados de Madrid y de Sevilla entienden también que el precepto legal cuestionado podría vulnerar el art. 51 de la Constitución, en el inciso de su apartado 1, que dispone que "los poderes públicos garantizarán la defensa de los consumidores y usuarios, protegiendo, mediante procedimientos eficaces, ... los legítimos intereses económicos de los mismos".</w:t>
      </w:r>
    </w:p>
    <w:p w:rsidR="00FE0907" w:rsidRDefault="00FE0907" w:rsidP="00FE0907">
      <w:pPr>
        <w:pStyle w:val="TextoNormal"/>
      </w:pPr>
      <w:r>
        <w:t>Este precepto enuncia un principio rector de la política social y económica, y no un derecho fundamental. Pero de ahí no se sigue que el legislador pueda contrariar el mandato de defender a los consumidores y usuarios, ni que este Tribunal no pueda contrastar las normas legales, o su interpretación y aplicación, con tales principios.  Los cuales, al margen de su mayor o menor generalidad de contenido, enuncian proposiciones vinculantes en términos que se desprenden inequívocamente de los arts. 9 y 53 de la Constitución (STC 19/1982, fundamento jurídico 6º).  Ahora bien, es también claro que, de conformidad con el valor superior del pluralismo político (art.  1.1 de la Constitución), el margen que estos principios constitucionales dejan al legislador es muy amplio.  Así ocurre con el art. 51.1 de la Constitución, que determina unos fines y unas acciones de gran latitud, que pueden ser realizados con fórmulas de distinto contenido y alcance.  Pero, en cualquier caso, son normas que deben informar la legislación positiva y la práctica judicial (art. 53.3 de la Constitución).</w:t>
      </w:r>
    </w:p>
    <w:p w:rsidR="00FE0907" w:rsidRDefault="00FE0907" w:rsidP="00FE0907">
      <w:pPr>
        <w:pStyle w:val="TextoNormal"/>
      </w:pPr>
      <w:r>
        <w:t>Como destacan los mismos Autos de planteamiento, no puede reprocharse al legislador renuencia en la protección de los consumidores y usuarios. La Ley general para la defensa de los Consumidores y Usuarios de 19 de julio de 1984 (Ley 26/1984), que fue objeto de la STC 15/1989, establece un conjunto significativo de normas, que sirven precisamente para motivar varios de los Autos.  Su art. 2 declara derechos básicos de los ciudadanos en cuanto consumidores de productos o servicios, entre otros, la protección de sus legítimos intereses económicos [letra b), la información correcta sobre los diferentes bienes o prestaciones (letra d) y la protección jurídica en las situaciones de inferioridad, subordinación o indefensión (letra f)]. Estos derechos básicos, desarrollados luego en el articulado de la Ley, encuentran una plasmación de especial significado en su art. 10, al que el Juzgado núm.  10 de Sevilla presta singular atención. En dicho precepto se someten a determinados requisitos las cláusulas o condiciones generales de la contratación, sometidas a los principios de claridad, documentación y justo equilibrio de las contraprestaciones, declarando nulas de pleno Derecho, con las consecuencias que detalla el apartado 4 de este art. 10 L.C.U., las cláusulas que otorguen a una de las partes la facultad de resolver discrecionalmente el contrato (núm. 2º del art. 10.1), las cláusulas abusivas (núm. 3º), las condiciones abusivas de crédito (núm. 4º), los incrementos de precio que no correspondan a prestaciones adicionales, voluntarias, separadas y claras (núm. 5º), la repercusión sobre el consumidor de fallos, defectos o errores administrativos, bancarios o de domiciliación de pagos (núm. 7º) y la inversión de la carga de la prueba en perjuicio del consumidor o usuario (núm.  8º), entre otras. El art. 13, por su parte, determina la información que debe acompañar a todo producto o servicio, disponiendo que su volumen y calidad deben ser sufi</w:t>
      </w:r>
      <w:r>
        <w:lastRenderedPageBreak/>
        <w:t>cientes para ofrecer al consumidor una información cierta, eficaz, veraz y objetiva sobre sus características esenciales.</w:t>
      </w:r>
    </w:p>
    <w:p w:rsidR="00FE0907" w:rsidRDefault="00FE0907" w:rsidP="00FE0907">
      <w:pPr>
        <w:pStyle w:val="TextoNormal"/>
      </w:pPr>
    </w:p>
    <w:p w:rsidR="00FE0907" w:rsidRDefault="00FE0907" w:rsidP="00FE0907">
      <w:pPr>
        <w:pStyle w:val="TextoNormal"/>
      </w:pPr>
      <w:r w:rsidRPr="00FE0907">
        <w:rPr>
          <w:rStyle w:val="NumeroAFNegritaCaracter"/>
        </w:rPr>
        <w:t>12</w:t>
      </w:r>
      <w:r>
        <w:t>. Con carácter preliminar, es preciso subrayar que todas estas disposiciones son ajenas a los juicios ejecutivos iniciados por las entidades de crédito contra empresarios o comerciantes. Ello es claro en el plano de la Ley 26/1984, que limita su eficacia protectora a las personas, físicas o jurídicas, que utilizan o disfrutan los servicios bancarios como destinatarias finales; negando la condición legal de usuarios, en cambio, a quienes reciban los servicios de las entidades de crédito con el fin de integrarlos en procesos de producción, transformación, comercialización o prestación a terceros (art. 1 L.C.U.). No lo es menos en el plano de la Constitución, pues la protección pública de los derechos de los empresarios se encuadra más bien en otros preceptos (como, por ejemplo, los arts. 38, 52 y 130) que en el art.  51.1.</w:t>
      </w:r>
    </w:p>
    <w:p w:rsidR="00FE0907" w:rsidRDefault="00FE0907" w:rsidP="00FE0907">
      <w:pPr>
        <w:pStyle w:val="TextoNormal"/>
      </w:pPr>
      <w:r>
        <w:t>Sólo un entendimiento desviado de la nueva redacción del art. 1.435 L.E.C.  -que con toda evidencia ha aumentado las garantías del deudor respecto de las que tenía en la situación anterior- podría llegar a considerarlo contradictorio con las normas establecidas por la Ley de defensa del consumidor, aprobada por las Cortes Generales pocos días antes, el 19 julio 1984: así, por ejemplo, si se entendiera que el pacto de liquidez que aquel precepto prevé conllevara una inversión de la carga de la prueba, explícitamente prohibida por el art. 10.1, núm. 8º, L.C.U. Pero, como ya hemos dicho, esa interpretación del párrafo cuarto del art. 1.435 L.E.C.  se aparta del recto sentido de la disposición, que se limita a estimar como líquida la cantidad que figure en el saldo bancario a los solos efectos de permitir el acceso al juicio ejecutivo, pero no a estimar veraz, y ni siquiera probada, la cantidad determinada unilateralmente por la entidad de crédito. Asimismo, resulta claro también que el pacto que autoriza el art.  1.435 L.E.C.  puede ser plasmado de distintas formas, todas las cuales deberán cumplir los requisitos de claridad, documentación y buena fe que explicitan los diversos preceptos de la Ley 26/1984.  Preceptos que, según lo dispuesto en los arts.  51.1 y 53.3 de la Constitución, no pueden ser considerados como meras declaraciones de buenos propósitos, sino como normas jurídicas cuyos mandatos deben informar la actuación judicial y pueden ser alegados por las partes en todo tipo de procesos, incluídos los juicios ejecutivos.  Ello significa que en estos procesos ejecutivos los Jueces habrán de dictar Sentencia, bien denegando el remate de los bienes embargados, bien anulando el juicio en los supuestos previstos por la ley (arts.1.464.1 y 1.467.1 y 2 L.E.C.); casos éstos que pueden llevar igualmente a denegar el despacho de la ejecución si son apreciados por el Juez en el control ex officio que ordena el art.  1.440 L.E.C., como vimos en su momento.</w:t>
      </w:r>
    </w:p>
    <w:p w:rsidR="00FE0907" w:rsidRDefault="00FE0907" w:rsidP="00FE0907">
      <w:pPr>
        <w:pStyle w:val="TextoNormal"/>
      </w:pPr>
      <w:r>
        <w:t>Resulta, pues, meridiano que ni el párrafo cuarto del art.  1.435 L.E.C.  per se, considerando aisladamente el precepto que enuncia su primer inciso, ni tampoco en cuanto se integra en la estructura peculiar del juicio ejecutivo, contradice en modo alguno las determinaciones dictadas por el legislador para la protección, entre otros, de los usuarios de los servicios bancarios, ni niega o coarta las facultades judiciales para guardar y hacer guardar tales determinaciones.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No ha lugar a declarar la inconstitucionalidad de la primera frase del párrafo cuarto del art. 1.435 de la Ley de Enjuiciamiento Civil, en la redacción de la Ley 34/1984, de 6 agosto.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diez de febrero de mil novecientos noventa y dos.</w:t>
      </w:r>
    </w:p>
    <w:p w:rsidR="00FE0907" w:rsidRDefault="00FE0907" w:rsidP="00FE0907">
      <w:pPr>
        <w:pStyle w:val="ParrafoNormal"/>
      </w:pPr>
    </w:p>
    <w:p w:rsidR="00FE0907" w:rsidRDefault="00FE0907" w:rsidP="00FE0907">
      <w:pPr>
        <w:pStyle w:val="TextoNormalNegritaCentrado"/>
        <w:keepNext/>
      </w:pPr>
      <w:r>
        <w:t>Voto particular discrepante que formula el Magistrado don Carlos de la Vega Benayas respecto de la Sentencia dictada en la cuestión de inconstitucionalidad núm.  1.219/88 y acumulados, relativas al art.  1.435,4º, de la Ley de Enjuiciamiento Civil.</w:t>
      </w:r>
    </w:p>
    <w:p w:rsidR="00FE0907" w:rsidRDefault="00FE0907" w:rsidP="00FE0907">
      <w:pPr>
        <w:pStyle w:val="TextoNormalNegritaCentrado"/>
        <w:keepNext/>
      </w:pPr>
    </w:p>
    <w:p w:rsidR="00FE0907" w:rsidRDefault="00FE0907" w:rsidP="00FE0907">
      <w:pPr>
        <w:pStyle w:val="TextoNormal"/>
      </w:pPr>
      <w:r>
        <w:t>Con el lógico respeto a la decisión de la mayoría, he de manifestar mi desacuerdo con la fundamentación y fallo al que llega, desacuerdo que voy a expresar de modo sucinto:</w:t>
      </w:r>
    </w:p>
    <w:p w:rsidR="00FE0907" w:rsidRDefault="00FE0907" w:rsidP="00FE0907">
      <w:pPr>
        <w:pStyle w:val="TextoNormal"/>
      </w:pPr>
      <w:r>
        <w:t>a) Todas las cuestiones o dudas propuestas por los Tribunales y Jueces se refieren al citado párrafo 4º del art.  1.435, L.E.C., el cual no hace más que establecer un mecanismo o procedimiento para determinar la cantidad que ha de figurar en el título de ejecución esgrimido por las Entidades de crédito, ahorro y financiación, frente al deudor de dichas entidades por obligaciones mercantiles (cuentas corrientes y otra modalidad, art. 1.429,6º L.E.C.), título que, junto con otros documentos en su caso, si cumple los demás requisitos legales, permitirá al juez "despachar la ejecución" (1.440 L.E.C.), que supone requerimiento de pago al deudor y, en su caso, si no paga, el inmediato embargo.  Los arts.  1.461 y ss. de la Ley regulan la oposición del deudor, a cuya lectura remito.</w:t>
      </w:r>
    </w:p>
    <w:p w:rsidR="00FE0907" w:rsidRDefault="00FE0907" w:rsidP="00FE0907">
      <w:pPr>
        <w:pStyle w:val="TextoNormal"/>
      </w:pPr>
      <w:r>
        <w:t>Esta determinación del quantum (no de la exigibilidad y liquidez de la obligación) se hace, como se infiere de la simple lectura del precepto, inaudita parte, sin intervención del otro contratante deudor, y por la entidad de crédito acreedora. Y es esa ausencia la que los Jueces y Tribunales consideran como constitutiva de violación constitucional, bien del art. 14, bien del 24 C.E.; del 14 porque otorga un privilegio a ciertos acreedores (Bancos y Cajas) que no reconoce a otros, o porque discrimina o trata desigualmente a los deudores que, en otros supuestos (arts.  1.430 y ss.  L.E.C.), tienen más defensa y derecho a ser oidos para reconocer la firma o la deuda; y del 24, porque estos deudores ven mermadas o desconocidas sus posibilidades de defensa.</w:t>
      </w:r>
    </w:p>
    <w:p w:rsidR="00FE0907" w:rsidRDefault="00FE0907" w:rsidP="00FE0907">
      <w:pPr>
        <w:pStyle w:val="TextoNormal"/>
      </w:pPr>
      <w:r>
        <w:t>b) Estoy conforme con gran parte de la Sentencia en cuanto desarrolla la teoría general del proceso ejecutivo y sus peculiares características. Por eso me limito a indicar, repito que de modo conciso, las razones específicas y concretas que justifican las dudas de inconstitucionalidad de los Jueces, hasta el punto de que habría de haberse llegado a declarar la inconstitucionalidad parcial de la norma procesal cuestionada o a ser interpretada según la Constitución.</w:t>
      </w:r>
    </w:p>
    <w:p w:rsidR="00FE0907" w:rsidRDefault="00FE0907" w:rsidP="00FE0907">
      <w:pPr>
        <w:pStyle w:val="TextoNormal"/>
      </w:pPr>
      <w:r>
        <w:t>c) El que "la cantidad exigible en caso de ejecución" sea "la especificada en certificación expedida por la entidad acreedora", "siempre que conste en documento fehaciente que acredite haberse practicado la liquidación en la forma pactada por las partes en el título ejecutivo", certificación y documento elaborados por la entidad acreedora, sin más intervención ni audiencia del deudor, constituye, por lo pronto, un acto unilateral de parte que va a permitir a la misma nada más y nada menos que obtener un despacho de ejecu</w:t>
      </w:r>
      <w:r>
        <w:lastRenderedPageBreak/>
        <w:t>ción, es decir, poner en marcha el nada desdeñable efecto de, incoando un proceso, obligar y constreñir al deudor a defenderse, ya no sólo como demandado, sino como cuasi actor al gravar su onus probandi, primero para desvirtuar la presunción de la exigibilidad de la deuda en la cuantía así fijada (cuando, de habersele oído, como prevé el art. 153 Ley Hipotecaria para un supuesto semejante, aunque no idéntico, podría evitarse esa carga) y luego para oponer otras excepciones (pago, no exigibilidad, plus petición) en términos perentorios y con medios no disponibles (la documentación está en poder de la acreedora).</w:t>
      </w:r>
    </w:p>
    <w:p w:rsidR="00FE0907" w:rsidRDefault="00FE0907" w:rsidP="00FE0907">
      <w:pPr>
        <w:pStyle w:val="TextoNormal"/>
      </w:pPr>
      <w:r>
        <w:t>Estimo que la desigualdad en la Ley que aquí se opera (art.  14 C.E.)  lo es activa y pasivamente, desde las dos vertientes, acreedora y deudora.  Constituye, en efecto, un privilegio otorgado a las entidades de crédito, cuya justificación no es tan clara como se intenta probar con los argumentos de la Sentencia. Que esas entidades ofrezcan garantías en su funcionamiento no quiere decir que las mismas no puedan ser exigidas o se exijan a otros acreedores (por ejemplo, la intervención de fedatario, civil o mercantil).</w:t>
      </w:r>
    </w:p>
    <w:p w:rsidR="00FE0907" w:rsidRDefault="00FE0907" w:rsidP="00FE0907">
      <w:pPr>
        <w:pStyle w:val="TextoNormal"/>
      </w:pPr>
      <w:r>
        <w:t>d) Desde el lado pasivo la diferenciación discriminatoria aparece manifiesta en la situación de estos deudores, es decir, los obligados por "contratos mercantiles otorgados por entidades de crédito, ahorro y financiación en escritura pública o póliza" (arts.  1.435.4º y 1.429.6º L.E.C.)  y se hubiera "convenido que la cantidad exigible en caso de ejecución" sea "la especificada en certificación expedida por la entidad acreedora" y constante en "documento fehaciente" (art. 1.435.4º).</w:t>
      </w:r>
    </w:p>
    <w:p w:rsidR="00FE0907" w:rsidRDefault="00FE0907" w:rsidP="00FE0907">
      <w:pPr>
        <w:pStyle w:val="TextoNormal"/>
      </w:pPr>
      <w:r>
        <w:t>Este trato difiere del previsto para los deudores en documento privado (arts.  1.430 y ss. L.E.C.), en el cual se prevé la comparecencia judicial de aquellos para confesar y reconocer la firma, como necesario para conformar el título y despachar la ejecución.  Y también difiere del trato conferido a los deudores con hipoteca en garantía de cuentas corrientes de crédito. Aquí la Ley (art.  153.5º L.H.)  prevé, para proceder a la ejecución, la notificación judicial o notarial al deudor del extracto de la cuenta y a éste alegar, en los ochos días siguientes, error o falsedad.  No es exactamente igual la situación de acreedores y deudores en los distintos supuestos, pero sí constituye esa regla del art.  153 L.H.  una garantía para el deudor perfectamente aplicable sin repugnancia jurídica alguna al supuesto del art.  1.435.4º, interpretando integrativamente esta norma, como también pudiera haber hecho la mayoría, en lugar de declararla constitucional.  De no ser así, el art.  1.435.4 permanecerá como una muestra no muy ejemplar de desigualdad procesal, pues tampoco es convincente el argumento de la libertad contractual referido al deudor que pacta con la entidad acreedora ese modo de fijar la cantidad líquida exigible.  No es muy afortunado hablar de la libertad para evitar o justificar la posible desigualdad en situaciones encajables en los llamados contratos de adhesión.</w:t>
      </w:r>
    </w:p>
    <w:p w:rsidR="00FE0907" w:rsidRDefault="00FE0907" w:rsidP="00FE0907">
      <w:pPr>
        <w:pStyle w:val="TextoNormal"/>
      </w:pPr>
      <w:r>
        <w:t>e) También los Jueces tienen razón cuando dudan de la constitucionalidad del art. 1.435.4 LEC en relación con el art.  24 C.E.</w:t>
      </w:r>
    </w:p>
    <w:p w:rsidR="00FE0907" w:rsidRDefault="00FE0907" w:rsidP="00FE0907">
      <w:pPr>
        <w:pStyle w:val="TextoNormal"/>
      </w:pPr>
      <w:r>
        <w:t>El argumento -a primera vista atrayente y tranquilizador- de que la certificación unilateralmente hecha por la entidad acreedora no es más que una presunción, un principio de prueba sólo apto para permitir el despacho de ejecución, puesto que todo estará luego sujeto a la posterior prueba y decisión judicial definitiva, tampoco vale, ni elimina el reproche.</w:t>
      </w:r>
    </w:p>
    <w:p w:rsidR="00FE0907" w:rsidRDefault="00FE0907" w:rsidP="00FE0907">
      <w:pPr>
        <w:pStyle w:val="TextoNormal"/>
      </w:pPr>
      <w:r>
        <w:t>Naturalmente que esa certificación es provisional, ya que, si no fuera así, sobraría todo el sumario juicio ejecutivo, convertida aquella en titulo de ejecución sin cognitio (tal una Sentencia judicial).</w:t>
      </w:r>
    </w:p>
    <w:p w:rsidR="00FE0907" w:rsidRDefault="00FE0907" w:rsidP="00FE0907">
      <w:pPr>
        <w:pStyle w:val="TextoNormal"/>
      </w:pPr>
      <w:r>
        <w:t>El argumento es semántico, innecesario.  Ocurre que admitida, como es lógico, la naturaleza provisional y contingente de la fijación del saldo, persiste el reproche de su unilateralidad y, por ende, su desprecio al principio de audiencia e igualdad de armas. A esa uni</w:t>
      </w:r>
      <w:r>
        <w:lastRenderedPageBreak/>
        <w:t>lateralidad hay que añadir otra merma de garantía, que también resulta del defectuoso texto legal.</w:t>
      </w:r>
    </w:p>
    <w:p w:rsidR="00FE0907" w:rsidRDefault="00FE0907" w:rsidP="00FE0907">
      <w:pPr>
        <w:pStyle w:val="TextoNormal"/>
      </w:pPr>
      <w:r>
        <w:t>No es cierto, en ese sentido, que la Ley determine para la certificación la garantía de la fe pública (notarial o mercantil del agente o corredor).  La Ley habla de fehaciencia, lo cual no equivale a instrumento o documento público.  Si todo documento público es fehaciente, no todo acto o documento fehaciente es público o está adornado con la fe pública.</w:t>
      </w:r>
    </w:p>
    <w:p w:rsidR="00FE0907" w:rsidRDefault="00FE0907" w:rsidP="00FE0907">
      <w:pPr>
        <w:pStyle w:val="TextoNormal"/>
      </w:pPr>
      <w:r>
        <w:t>En suma: un acto unilateral, de una de las partes contractuales, sin las garantías formales de la fe pública, con la sola mínima exigencia de un contrato en el que la parte más débil acepta aquella posibilidad, obtiene por parte de la Ley una facultad desmesurada, desproporcionada, en cuanto obliga al deudor a soportar un proceso sumario, de ámbito limitado y constreñido a probar con muchas dificultades su postura defensiva o sus excepciones.  Sólo esta facultad extraordinaria para una parte funda la ausencia de garantía para la otra.  Ninguna dificultad ofrecería para el legislador prever un trámite de audiencia al deudor en la formación del título (el ejemplo y contraste más claro es el art.  153 Ley Hipotecaria), que ni mermaría las garantías del acreedor, ni, lo que es mejor, impediría el allanamiento, evitando el proceso.  Y, si no el legislador, creo que la mayoría podría haber llegado a esa solución interpretativa.</w:t>
      </w:r>
    </w:p>
    <w:p w:rsidR="00FE0907" w:rsidRDefault="00FE0907" w:rsidP="00FE0907">
      <w:pPr>
        <w:pStyle w:val="TextoNormal"/>
      </w:pPr>
      <w:r>
        <w:t>Cabría añadir, por último, otra consecuencia injusta. Me refiero a los supuestos de ausencia o rebeldía, en los cuales el sistema del art. 1.435 supone la admisión del efecto de un verdadero proceso monitorio, es decir, embargo y ejecución sin audiencia, circunstancia que, en las legislaciones que ya regulan el proceso monitorio, se excluye terminantemente.  Nuestra legislación no ha establecido aún esa clase de proceso y en los proyectos existentes también se excluye el supuesto de la rebeldía.</w:t>
      </w:r>
    </w:p>
    <w:p w:rsidR="00FE0907" w:rsidRDefault="00FE0907" w:rsidP="00FE0907">
      <w:pPr>
        <w:pStyle w:val="TextoNormal"/>
      </w:pPr>
      <w:r>
        <w:t>Entiendo, pues, que existe indefensión del deudor y merma de garantías procesales, por lo que el art.  1.435.4º L.E.C.  o debió ser declarado inconstitucional o bien interpretado integradoramente en la forma expuesta.  Persistiendo su vigencia y validez, no puede ser considerado como un ejemplo de garantías para un proceso constitucionalmente correcto.</w:t>
      </w:r>
    </w:p>
    <w:p w:rsidR="00FE0907" w:rsidRDefault="00FE0907" w:rsidP="00FE0907">
      <w:pPr>
        <w:pStyle w:val="TextoNormal"/>
      </w:pPr>
      <w:r>
        <w:t>Madrid, a diez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8" w:name="SENTENCIA_1992_15"/>
      <w:r>
        <w:lastRenderedPageBreak/>
        <w:t>SENTENCIA 15/1992, de 10 de febrero de 1992</w:t>
      </w:r>
    </w:p>
    <w:bookmarkEnd w:id="18"/>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ECLI:ES:TC:1992:15</w:t>
      </w:r>
    </w:p>
    <w:p w:rsidR="00FE0907" w:rsidRDefault="00FE0907" w:rsidP="00FE0907">
      <w:pPr>
        <w:pStyle w:val="SntesisDescriptiva"/>
      </w:pPr>
    </w:p>
    <w:p w:rsidR="00FE0907" w:rsidRDefault="00FE0907" w:rsidP="00FE0907">
      <w:pPr>
        <w:pStyle w:val="SntesisDescriptiva"/>
      </w:pPr>
      <w:r>
        <w:t>Recurso de amparo 883/1989. Contra Resolución del Presidente de la Asamblea Regional de Cantabria, de 11 de abril de 1989, por la que se suspende al Grupo Mixto de la percepción de la asignación mensual correspondiente.</w:t>
      </w:r>
    </w:p>
    <w:p w:rsidR="00FE0907" w:rsidRDefault="00FE0907" w:rsidP="00FE0907">
      <w:pPr>
        <w:pStyle w:val="SntesisDescriptiva"/>
      </w:pPr>
    </w:p>
    <w:p w:rsidR="00FE0907" w:rsidRDefault="00FE0907" w:rsidP="00FE0907">
      <w:pPr>
        <w:pStyle w:val="SntesisAnaltica"/>
      </w:pPr>
      <w:r>
        <w:t>Vulneración del derecho a la permanencia en las funciones y cargos públicos en condiciones de igualdad sin perturbaciones ilegítimas</w:t>
      </w:r>
    </w:p>
    <w:p w:rsidR="00FE0907" w:rsidRDefault="00FE0907" w:rsidP="00FE0907">
      <w:pPr>
        <w:pStyle w:val="SntesisAnaltica"/>
      </w:pPr>
    </w:p>
    <w:p w:rsidR="00FE0907" w:rsidRDefault="00FE0907" w:rsidP="00FE0907">
      <w:pPr>
        <w:pStyle w:val="Extracto"/>
      </w:pPr>
      <w:r>
        <w:t>1.</w:t>
      </w:r>
      <w:r>
        <w:tab/>
        <w:t>Se reitera doctrina anterior, según la cual, en cuanto un acto parlamentario afecte a un derecho o libertad susceptible de amparo, sale o trasciende de la esfera irrevisable propia de los «interna corporis acta», correspondiendo a este Tribunal el examen, pero sólo ello, de la virtual lesión de tales derechos o libertades (STC 118/1988) [F.J. 2].</w:t>
      </w:r>
    </w:p>
    <w:p w:rsidR="00FE0907" w:rsidRDefault="00FE0907" w:rsidP="00FE0907">
      <w:pPr>
        <w:pStyle w:val="Extracto"/>
      </w:pPr>
    </w:p>
    <w:p w:rsidR="00FE0907" w:rsidRDefault="00FE0907" w:rsidP="00FE0907">
      <w:pPr>
        <w:pStyle w:val="Extracto"/>
      </w:pPr>
      <w:r>
        <w:t>2.</w:t>
      </w:r>
      <w:r>
        <w:tab/>
        <w:t>Según reiterada jurisprudencia de este Tribunal (por todas, STC 214/1990), el art. 23.2 C.E. comprende el derecho a la permanencia en las funciones y cargos públicos en condiciones de igualdad y sin perturbaciones ilegítimas [F.J. 3].</w:t>
      </w:r>
    </w:p>
    <w:p w:rsidR="00FE0907" w:rsidRDefault="00FE0907" w:rsidP="00FE0907">
      <w:pPr>
        <w:pStyle w:val="Extracto"/>
      </w:pPr>
    </w:p>
    <w:p w:rsidR="00FE0907" w:rsidRDefault="00FE0907" w:rsidP="00FE0907">
      <w:pPr>
        <w:pStyle w:val="Extracto"/>
      </w:pPr>
      <w:r>
        <w:t>3.</w:t>
      </w:r>
      <w:r>
        <w:tab/>
        <w:t>Vulnera el derecho fundamental a la igualdad la Resolución de la Presidencia de la Asamblea parlamentaria que priva a un grupo parlamentario de la subvención establecida por el Reglamento por igual para todos, sin que se alegue como causa de dicha diferenciación un motivo que pudiera considerarse objetivo y razonable [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Vicepresidente, don Eugenio Díaz Eimil, don Miguel Rodríguez-Piñero y Bravo-Ferrer, don José Luis de los Mozos y de los Mozos, don Álvaro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883/89, interpuesto por don Esteban Solana Lavín y don Ricardo Conde Yagüe, Diputados de la Asamblea Regional de Cantabria, representados por don Carlos Zulueta Cebrián y asistidos del Letrado Sr. Fernández Mateo contra la Resolución dictada por el Excmo. Sr. Presidente de la Asamblea Regional de Cantabria, de </w:t>
      </w:r>
      <w:r>
        <w:lastRenderedPageBreak/>
        <w:t>11 de abril de 1989 por la que se suspende al Grupo Mixto de la percepción de la asignación mensual por Grupo Parlamentario. Han comparecido los recurrentes y el Ministerio Fiscal y ha sido Ponente el Magistrado don José Gabaldón López,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12 de mayo de 1989 tuvo entrada en el registro de este Tribunal un escrito de don Carlos Zulueta Cebrián, Procurador de los Tribunales, que en nombre y representación de don Esteban Solana Lavín y don Ricardo Conde Yagüe, interpone recurso de amparo contra la resolución del Presidente de la Asamblea Regional de Cantabria, de 11 de abril de 1989, por la que se suspende la asignación mensual al Grupo Mixto.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los que se fundamenta la demanda de amparo son, en síntesis, los siguientes: </w:t>
      </w:r>
    </w:p>
    <w:p w:rsidR="00FE0907" w:rsidRDefault="00FE0907" w:rsidP="00FE0907">
      <w:pPr>
        <w:pStyle w:val="TextoNormal"/>
      </w:pPr>
      <w:r>
        <w:t xml:space="preserve">a) Por acuerdo de la Mesa de la Asamblea Regional de Cantabria, de 21 de febrero de 1989, se dispuso la constitución del Grupo Parlamentario Mixto, integrado por los dos solicitantes de amparo, quienes habían abandonado el grupo Parlamentario regionalista al que pertenecían. </w:t>
      </w:r>
    </w:p>
    <w:p w:rsidR="00FE0907" w:rsidRDefault="00FE0907" w:rsidP="00FE0907">
      <w:pPr>
        <w:pStyle w:val="TextoNormal"/>
      </w:pPr>
      <w:r>
        <w:t xml:space="preserve">b) Los Grupos Parlamentarios de la Asamblea Regional reciben con cargo al presupuesto, y en aplicación del art. 26.1 del reglamento, dos tipos de subvenciones una fija, idéntica para todos ellos y cuantificada en el momento de la interposición del recurso en 550.000 pesetas mensuales, y otra variable en función del número de Diputados de cada uno de ellos, en ese mismo momento 112.560 pesetas por Diputado. Las dos primeras asignaciones recibidas por el Grupo Mixto correspondientes a siete días de febrero y al mes de marzo de 1989 se liquidaron de acuerdo a dichas cantidades. </w:t>
      </w:r>
    </w:p>
    <w:p w:rsidR="00FE0907" w:rsidRDefault="00FE0907" w:rsidP="00FE0907">
      <w:pPr>
        <w:pStyle w:val="TextoNormal"/>
      </w:pPr>
      <w:r>
        <w:t xml:space="preserve">c) En la sesión de 4 de abril de 1989 de la Mesa de la Asamblea se trató sobre un escrito presentado por el Grupo Socialista, que proponía la adopción de una resolución de carácter general o norma interpretativa relativa al funcionamiento del Grupo Mixto. La Mesa se declaró incompetente por corresponder a la Presidencia las resoluciones de ese carácter. </w:t>
      </w:r>
    </w:p>
    <w:p w:rsidR="00FE0907" w:rsidRDefault="00FE0907" w:rsidP="00FE0907">
      <w:pPr>
        <w:pStyle w:val="TextoNormal"/>
      </w:pPr>
      <w:r>
        <w:t>d) Con fecha 11 de abril, el Presidente dicta una "Resolución aclaratoria Provisional de la Presidencia de la Asamblea sobre las Subvenciones al Grupo Mixto", según la cual, de forma provisional hasta tanto se aprobase la reforma del reglamento en curso y debido a determinadas circunstancias que concurrían en los integrantes de dicho grupo, se resolvía atribuirle tan sólo la subvención por diputado, suspendiendo cualquier otra decisión sobre el resto de asignaciones económicas.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 invoca el derecho al acceso y mantenimiento en los cargos públicos en condiciones de igualdad del art. 23.2 C.E.. A su juicio el Acuerdo de la Presidencia quiebra la igualdad económica entre los Grupos Parlamentarios, lo que repercute en el funcionamiento del Grupo Mixto, y por ende en el derecho de sus miembros a la plena participación en condiciones de igualdad. Un examen del Reglamento de la Asamblea revela que no se contempla dicha ruptura de la igualdad para ningún supuesto, pues no se prevén excepciones al sistema de subvenciones establecido (arts. 26.1 y 27). A mayor abundamiento señalan que tampoco se ha seguido el procedimiento legalmente establecido para dictar la Resolución recurrida, ya que las cuantías de las subvenciones, y por tanto, también su modificación han de ser aprobadas por la Mesa de la Cámara. Para lo que la Mesa se declaró </w:t>
      </w:r>
      <w:r>
        <w:lastRenderedPageBreak/>
        <w:t xml:space="preserve">incompetente fue para dictar una resolución de carácter general al respecto, lo que efectivamente corresponde al Presidente. Los recurrentes justifican también, en base a la jurisprudencia de este Tribunal, la residenciabilidad ante el mismo del acto impugnado. </w:t>
      </w:r>
    </w:p>
    <w:p w:rsidR="00FE0907" w:rsidRDefault="00FE0907" w:rsidP="00FE0907">
      <w:pPr>
        <w:pStyle w:val="TextoNormal"/>
      </w:pPr>
      <w:r>
        <w:t>Solicitan que se declare la nulidad de la Resolución impugnada y que se reconozca que el Grupo Mixto tiene y conserva los mismos derechos económicos que el resto de los Grupos Parlamentarios. Se pide asimismo la suspensión de la ejecución de la citada Resolución.</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La Sección Tercera dictó providencia de 3 de julio de 1989, en la que en aplicación del art. 50.3 de la LOTC se concedía a los demandantes en amparo y al Ministerio Fiscal el plazo común de diez días para formular alegaciones en torno a la carencia manifiesta de contenido constitucional de la demanda [art. 50.1c) LOTC]. </w:t>
      </w:r>
    </w:p>
    <w:p w:rsidR="00FE0907" w:rsidRDefault="00FE0907" w:rsidP="00FE0907">
      <w:pPr>
        <w:pStyle w:val="TextoNormal"/>
      </w:pPr>
      <w:r>
        <w:t>En el citado plazo el Ministerio Fiscal considera que si bien el acto es susceptible de ser recurrido en amparo, en cuanto no es una disposición general con valor de ley, sin embargo del mismo no se deduce violación alguna de derecho fundamental, por lo que solicita la inadmisión mediante Auto del recurso. Por su parte la representación de los recurrentes insiste en el carácter controlable del acto y en la violación del art. 23.2 ocasionada por la mencionada Resolución y solicita que se continúe la sustanciación del recurso por los cauces legalmente establecidos.</w:t>
      </w:r>
    </w:p>
    <w:p w:rsidR="00FE0907" w:rsidRDefault="00FE0907" w:rsidP="00FE0907">
      <w:pPr>
        <w:pStyle w:val="TextoNormal"/>
      </w:pPr>
    </w:p>
    <w:p w:rsidR="00FE0907" w:rsidRDefault="00FE0907" w:rsidP="00FE0907">
      <w:pPr>
        <w:pStyle w:val="TextoNormal"/>
      </w:pPr>
      <w:r w:rsidRPr="00FE0907">
        <w:rPr>
          <w:rStyle w:val="NumeroAFNegritaCaracter"/>
        </w:rPr>
        <w:t>5</w:t>
      </w:r>
      <w:r>
        <w:t>. La Sección Tercera, en providencia de 2 de octubre de 1989, acordó la admisión a trámite de la demanda de amparo, la solicitud de remisión de antecedentes de la Asamblea Regional de Cantabria y su emplazamiento a efectos de personación en el recurso de amparo.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providencia de la misma fecha, la Sección acordó abrir pieza separada de suspensión y, conforme a lo dispuesto en el art. 56.2 LOTC, otorgar plazo común de tres días a los recurrentes y al Ministerio Fiscal para que alegasen lo que estimaran procedente sobre la suspensión solicitada. </w:t>
      </w:r>
    </w:p>
    <w:p w:rsidR="00FE0907" w:rsidRDefault="00FE0907" w:rsidP="00FE0907">
      <w:pPr>
        <w:pStyle w:val="TextoNormal"/>
      </w:pPr>
      <w:r>
        <w:t>Finalizado el trámite de alegaciones, la Sala Segunda dictó Auto de 11 de diciembre de 1989 en el que se acordaba denegar la suspensión de la resolución impugnada, señalando que de serles favorable la Sentencia que ponga fin al proceso constitucional habrá de entregárseles con efecto retroactivo las cantidades correspondientes a la asignación que hayan dejado de percibir.</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Sección Cuarta, en providencia de 18 de diciembre de 1989, acordó acusar recibo de las actuaciones y dar vista de las mismas a los recurrentes y al Ministerio Fiscal para que en el plazo común de veinte días formularan las alegaciones que estimasen procedentes. </w:t>
      </w:r>
    </w:p>
    <w:p w:rsidR="00FE0907" w:rsidRDefault="00FE0907" w:rsidP="00FE0907">
      <w:pPr>
        <w:pStyle w:val="TextoNormal"/>
      </w:pPr>
      <w:r>
        <w:t xml:space="preserve">Los recurrentes no hacen uso de la posibilidad de nuevas alegaciones. </w:t>
      </w:r>
    </w:p>
    <w:p w:rsidR="00FE0907" w:rsidRDefault="00FE0907" w:rsidP="00FE0907">
      <w:pPr>
        <w:pStyle w:val="TextoNormal"/>
      </w:pPr>
      <w:r>
        <w:t xml:space="preserve">Por su parte, el Ministerio Fiscal interesa la concesión del amparo solicitado. Comienza señalando que nos encontramos ante un acto susceptible de amparo ya que no es una disposición con carácter general y valor de ley. Señala a continuación que el art. 23.2 C.E. garantiza no sólo el acceso sino también la permanencia en los cargos públicos en condiciones de igualdad. Analiza el Reglamento de la Asamblea de Cantabria en el que se establece el principio de igualdad entre los grupos parlamentarios y concluye que la motivación dada en la resolución de la Presidencia no es suficiente para justificar la diversidad de </w:t>
      </w:r>
      <w:r>
        <w:lastRenderedPageBreak/>
        <w:t>trato al Grupo Mixto y que en consecuencia limita de modo injustificado el normal desempeño del cargo público al que accedieron los recurrentes, por lo que debe ser anulada para poder restablecer a los solicitantes de amparo en la plenitud de sus derechos.</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19 de diciembre de 1991, se fijó para deliberación y fallo el día 27 de enero de 1992, quedando conclusa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ha sido presentado, en nombre propio y en su calidad de personas directamente afectadas [art.  46.1a) LOTC] por los dos únicos Diputados componentes del Grupo Mixto de la Asamblea Regional de Cantabria, contra la Resolución Aclaratoria Provisional de su Presidente, de 11 de abril de 1989, que acordó suspender la percepción por dicho Grupo parlamentario de la asignación mensual señalada a todos los Grupos por igual.</w:t>
      </w:r>
    </w:p>
    <w:p w:rsidR="00FE0907" w:rsidRDefault="00FE0907" w:rsidP="00FE0907">
      <w:pPr>
        <w:pStyle w:val="TextoNormal"/>
      </w:pPr>
      <w:r>
        <w:t>Procede, ante todo, afirmar que dicha resolución es un acto susceptible de impugnación en el procedimiento de amparo como incluído en las previsiones del art. 42 LOTC, es decir, por tratarse de un acto sin valor de Ley, emanado de un órgano parlamentario de la Comunidad Autónoma, en cuanto vulnera un derecho o libertad protegidos mediante dicho procedimiento (SSTC, entre otras, 118/1988, 23/1990, 214/1990).</w:t>
      </w:r>
    </w:p>
    <w:p w:rsidR="00FE0907" w:rsidRDefault="00FE0907" w:rsidP="00FE0907">
      <w:pPr>
        <w:pStyle w:val="TextoNormal"/>
      </w:pPr>
      <w:r>
        <w:t>Ese carácter de acto o resolución y no de disposición general (que en su caso no sería impugnable directamente mediante este recurso, sino el de inconstitucionalidad por razón de su origen: así STC 118/1988) deriva de una serie de circunstancias que indudablemente descartan que le pueda ser atribuída naturaleza normativa, tanto como consecuencia de sus características y la falta de los requisitos del procediemiento de emanación , como por la evidente voluntad de no emitir una disposición reglamentaria pese a haberse dictado por la Presidencia de la Asamblea. Así, se dice literalmente en la propia resolución que "no procede dictar ninguna resolución de carácter general y sí únicamente una disposición aclaratoria"; expresa también que se trata de una decisión provisional sin ánimo de permanencia, por encontrarse en tramitación una reforma del reglamento "que contemplará más ampliamente una regulación del Grupo Mixto"; no se han seguido los trámites parlamentarios propios de los actos de carácter general dictadas por la Presidencia (no medió el parecer favorable de la Mesa y la Junta de Portavoces); y por último, se dicta para resolver una circunstancia concreta que afecta a un único grupo parlamentario, de lo que resulta su falta de generalidad y su agotamiento en la resolución de ese caso.</w:t>
      </w:r>
    </w:p>
    <w:p w:rsidR="00FE0907" w:rsidRDefault="00FE0907" w:rsidP="00FE0907">
      <w:pPr>
        <w:pStyle w:val="TextoNormal"/>
      </w:pPr>
    </w:p>
    <w:p w:rsidR="00FE0907" w:rsidRDefault="00FE0907" w:rsidP="00FE0907">
      <w:pPr>
        <w:pStyle w:val="TextoNormal"/>
      </w:pPr>
      <w:r w:rsidRPr="00FE0907">
        <w:rPr>
          <w:rStyle w:val="NumeroAFNegritaCaracter"/>
        </w:rPr>
        <w:t>2</w:t>
      </w:r>
      <w:r>
        <w:t>. A los efectos de la procedencia de esta vía de amparo, el objeto del recurso tiene, pues, naturaleza de resolución o acto parlamentario y por ello resulta aplicable la doctrina de la STC 118/1988: "los actos internos de las cámaras son susceptibles de control por el Tribunal Constitucional en cuanto lesionen un derecho fundamental reconocido por la Constitución y no por infracción pura y simple de un precepto de la Cámara. En cuanto un acto parlamentario afecte a un derecho o libertad susceptible de amparo sale o trasciende de la esfera irrevisable propia de los interna corporis acta y corresponde a este Tribunal el examen, pero sólo ello, de la virtual lesión de tales derechos o libertades". Por consiguiente, este recurso habrá de limitarse a determinar si se produjo la alegada vulneración del art. 23.2 de la C.E. en su aspecto de permanencia en los cargos públicos en condiciones de igualdad y sin que podamos extender la indagación a los defectos de procedimiento de</w:t>
      </w:r>
      <w:r>
        <w:lastRenderedPageBreak/>
        <w:t>nunciados en el recurso, o sea al hecho de que la cuantía de las subvenciones deba ser fijada por la Mesa y no por la Presidencia, ya que de ello no deriva violación alguna de derechos fundamentales.</w:t>
      </w:r>
    </w:p>
    <w:p w:rsidR="00FE0907" w:rsidRDefault="00FE0907" w:rsidP="00FE0907">
      <w:pPr>
        <w:pStyle w:val="TextoNormal"/>
      </w:pPr>
    </w:p>
    <w:p w:rsidR="00FE0907" w:rsidRDefault="00FE0907" w:rsidP="00FE0907">
      <w:pPr>
        <w:pStyle w:val="TextoNormal"/>
      </w:pPr>
      <w:r w:rsidRPr="00FE0907">
        <w:rPr>
          <w:rStyle w:val="NumeroAFNegritaCaracter"/>
        </w:rPr>
        <w:t>3</w:t>
      </w:r>
      <w:r>
        <w:t>. La cuestión se limita así a determinar si la impugnada Resolución de la Presidencia que suspendió la percepción por parte del Grupo Parlamentario Mixto de la asignación mensual fija atribuída a todos los grupos viola el art.  23.2 de la C.E., en el aspecto que señala reiterada jurisprudencia de este Tribunal, (por todas, STC 214/1990) o sea el derecho a la permanencia en las funciones y cargos públicos en condiciones de igualdad y sin perturbaciones ilegítimas. Derecho éste considerado por la doctrina como de configuración legal y que, respecto de los órganos parlamentarios, se formula mediante la creación por las leyes y reglamentos de dichos órganos de los derechos y facultades que corresponden a los distintos cargos y funciones; y, tal como ha declarado la STC 161/1988, "una vez creadas por esas normas legales tales derechos y facultades, éstos quedan integrados en el status propio de cada cargo con la consecuencia de que podrán sus titulares, en ejercicio del art.  23.2, defender ante los órganos jurisdiccionales el ius in officium que consideran ilegítimamente constreñido o ignorado por actos del poder público, incluídos los provenientes del propio órgano en el que se integran los titulares del cargo, con la especialidad de que, sí el órgano es parlamentario, la defensa del derecho deberá promoverse directamente ante esta jurisdicción constitucional en aplicación de lo dispuesto en el art. 42 de la LOTC".</w:t>
      </w:r>
    </w:p>
    <w:p w:rsidR="00FE0907" w:rsidRDefault="00FE0907" w:rsidP="00FE0907">
      <w:pPr>
        <w:pStyle w:val="TextoNormal"/>
      </w:pPr>
    </w:p>
    <w:p w:rsidR="00FE0907" w:rsidRDefault="00FE0907" w:rsidP="00FE0907">
      <w:pPr>
        <w:pStyle w:val="TextoNormal"/>
      </w:pPr>
      <w:r w:rsidRPr="00FE0907">
        <w:rPr>
          <w:rStyle w:val="NumeroAFNegritaCaracter"/>
        </w:rPr>
        <w:t>4</w:t>
      </w:r>
      <w:r>
        <w:t>. El status legal de los recurrentes en relación con la cuestión planteada viene configurado en los siguientes artículos del Reglamento de la Asamblea de Cantabria: el art.  21.1 que establece que "Los Diputados, en número no inferior a dos, podrán constituirse en grupo parlamentario"; el art. 27: "todos los Grupos Parlamentarios, con las excepciones previstas en el presente reglamento, gozan de idénticos derechos" y en especial el art. 26.1 "la Asamblea pondrá a disposición de los Grupos Parlamentarios locales y medios materiales suficientes, y les asignará, con cargo a su presupuesto, una subvención fija, idéntica para todos, y otra variable en función del número de Diputados de cada uno de ellos. Las cuantías se fijarán por la Mesa de la Asamblea, oída la Junta de Portavoces, dentro de los límites de la correspondiente consignación presupuestaria".</w:t>
      </w:r>
    </w:p>
    <w:p w:rsidR="00FE0907" w:rsidRDefault="00FE0907" w:rsidP="00FE0907">
      <w:pPr>
        <w:pStyle w:val="TextoNormal"/>
      </w:pPr>
      <w:r>
        <w:t>Este status legal resultó materialmente modificado por la Resolución que aquí se impugna, tanto en relación con su situación anterior (la subvención ya se venía abonando) como respecto de los otros Grupos Parlamentarios de la Asamblea de Cantabria; de suerte que la Resolución impugnada produjo una derogación singular de las normas reglamentarias donde se formulaba el status de los miembros del Grupo Parlamentario, vulnerando el derecho fundamental a la igualdad en cuanto privaba al Grupo Mixto de la subvención establecida en el Reglamento por igual para todos y que ya venía percibiendo; esto, además, tuvo lugar sin que se haya probado ni se desprenda de aquella Resolución un motivo de dicha diferenciación que pudiera considerarse objetivo y razonable y que permitiese reputar la decisión como no lesiva para el derecho fundamental a la igualdad en el ejercicio de los cargos y funciones públicas. La suspensión se pretendió justificar por "sus circunstancias especiales, como son el hecho de que sus componentes no hayan acudido a las elecciones como grupo independiente, a lo que se une que desempeñan funciones públicas distintas de su condición parlamentaria de singular relevancia y de particular naturaleza, que limitan, si no impiden, las actividades propias de los grupos parlamentarios que justifican la plenitud de subvención económica".</w:t>
      </w:r>
    </w:p>
    <w:p w:rsidR="00FE0907" w:rsidRDefault="00FE0907" w:rsidP="00FE0907">
      <w:pPr>
        <w:pStyle w:val="TextoNormal"/>
      </w:pPr>
    </w:p>
    <w:p w:rsidR="00FE0907" w:rsidRDefault="00FE0907" w:rsidP="00FE0907">
      <w:pPr>
        <w:pStyle w:val="TextoNormal"/>
      </w:pPr>
      <w:r w:rsidRPr="00FE0907">
        <w:rPr>
          <w:rStyle w:val="NumeroAFNegritaCaracter"/>
        </w:rPr>
        <w:t>5</w:t>
      </w:r>
      <w:r>
        <w:t>. Mas la finalidad de las subvenciones parlamentarias "no es otra que la de facilitar la participación de sus miembros en el ejercicio de las funciones institucionales de la Cámara a la que pertenecen, para lo cual se dota a los Grupos en que los Diputados, por imperativo legal, han de integrarse de los recursos económicos necesarios" (STC 214/1990); y por ello es evidente que ninguna de aquellas razones puede aceptarse como justificación de la medida; así, el hecho de que el Grupo Mixto esté formado por Diputados que no hayan acudido a las elecciones como Grupo Independiente no guarda ninguna relación con la diferencia de tratamiento en cuanto a subvenciones otorgadas a todos para posibilitar su funcionamiento; menos aún el que sus miembros desempeñaran otras funciones públicas, cuestión ajena a la subvención del Grupo y que únicamente cabría examinar desde el punto de vista de la compatibilidad de percepciones o funciones de cada Diputado.</w:t>
      </w:r>
    </w:p>
    <w:p w:rsidR="00FE0907" w:rsidRDefault="00FE0907" w:rsidP="00FE0907">
      <w:pPr>
        <w:pStyle w:val="TextoNormal"/>
      </w:pPr>
      <w:r>
        <w:t>Dichas razones no justifican, pues, el hecho de que al Grupo Mixto se le haya dejado de aplicar (aunque fuese transitoriamente) la norma establecida de modo general para todos los Grupos Parlamentarios sin fundamento razonable, vulnerando así claramente sus derechos a un trato igual y al desempeño de sus funciones institucionales en plano de igualdad, pues si la subvención se otorga a cada Grupo para facilitar las funciones institucionales de la Cámara, al ser éste privado de ella hubo de cumplirlas en condiciones desfavorables respecto de los demás. En consecuencia, procede declararlo así e invalidar la Resolución Aclaratoria Provisional de la Presidencia de la Asamblea sobre las subvenciones a dicho Grupo Mixto que aquí se recurre.</w:t>
      </w:r>
    </w:p>
    <w:p w:rsidR="00FE0907" w:rsidRDefault="00FE0907" w:rsidP="00FE0907">
      <w:pPr>
        <w:pStyle w:val="TextoNormal"/>
      </w:pPr>
    </w:p>
    <w:p w:rsidR="00FE0907" w:rsidRDefault="00FE0907" w:rsidP="00FE0907">
      <w:pPr>
        <w:pStyle w:val="TextoNormal"/>
      </w:pPr>
      <w:r w:rsidRPr="00FE0907">
        <w:rPr>
          <w:rStyle w:val="NumeroAFNegritaCaracter"/>
        </w:rPr>
        <w:t>6</w:t>
      </w:r>
      <w:r>
        <w:t>. A esta conclusión no se opone la citada STC 214/1990, según la cual no se produjo vulneración del art. 23.2 C.E. por la reducción de las subvenciones correspondientes al Grupo Mixto (allí, de la Asamblea de Madrid); en aquel caso, por exigir el Reglamento un número de Diputados no inferior a cinco para constituir el Grupo Mixto y haberse formado sin embargo por uno sólo, la resolución recurrida se limitó, por razones de equidad, según expresaba, a reducir en proporción la cuantía de la asignación del Grupo, lo cual revela que sí existió un fundamento objetivo y razonable, o más aún, que no se produjo de hecho una real desigualdad; muy al contrario, ahora se trata, repetimos, de la privación o suspensión de la totalidad de la subvención a un Grupo Mixto constituído reglamentariamente por el número de miembros exigido y que, por ello, tendría derecho a la percepción plena atribuída por igual a todos los Grupos de la cual se le priva por decisión singular aparte de que la justificación ofrecida tampoco puede reputarse razonable, como antes decimos.</w:t>
      </w:r>
    </w:p>
    <w:p w:rsidR="00FE0907" w:rsidRDefault="00FE0907" w:rsidP="00FE0907">
      <w:pPr>
        <w:pStyle w:val="TextoNormal"/>
      </w:pPr>
    </w:p>
    <w:p w:rsidR="00FE0907" w:rsidRDefault="00FE0907" w:rsidP="00FE0907">
      <w:pPr>
        <w:pStyle w:val="TextoNormal"/>
      </w:pPr>
      <w:r w:rsidRPr="00FE0907">
        <w:rPr>
          <w:rStyle w:val="NumeroAFNegritaCaracter"/>
        </w:rPr>
        <w:t>7</w:t>
      </w:r>
      <w:r>
        <w:t>. La anulación de la resolución impugnada no puede en este caso determinar el restablecimiento del derecho vulnerado en su integridad, puesto que ya ha finalizado la legislatura de la Asamblea de Cantabria en que aquélla se produjo y ninguna consecuencia conocida existe en relación con deficiencias del funcionamiento del Grupo que puedan ser reparadas.</w:t>
      </w:r>
    </w:p>
    <w:p w:rsidR="00FE0907" w:rsidRDefault="00FE0907" w:rsidP="00FE0907">
      <w:pPr>
        <w:pStyle w:val="TextoNormal"/>
      </w:pPr>
      <w:r>
        <w:t xml:space="preserve">Unicamente subsistirán, en su caso, los efectos de la falta de la subvención que, tal como señaló el Auto de esta Sala de 11 de diciembre e 1989 al denegar la suspensión, "de salir favorable la Sentencia que ponga fin al proceso constitucional, habrá de entregárseles con efecto retroactivo las cantidades correspondientes a la asignación que hayan dejado de percibir".  Trátase, pues, de las consecuencias económicas de aquella privación, en cuanto </w:t>
      </w:r>
      <w:r>
        <w:lastRenderedPageBreak/>
        <w:t>los gastos de funcionamiento institucional del Grupo pudieran haber sido suplidas por los recurrentes.</w:t>
      </w:r>
    </w:p>
    <w:p w:rsidR="00FE0907" w:rsidRDefault="00FE0907" w:rsidP="00FE0907">
      <w:pPr>
        <w:pStyle w:val="TextoNormal"/>
      </w:pPr>
      <w:r>
        <w:t>Es esta una consecuencia evidentemente económica de la lesión sufrida pero que, como inseparable de la misma lesión del derecho fundamental, procede pronunciar en esta Sentencia, si bien solamente en cuanto a la declaración del derecho de los recurrentes a la reparación de este aspecto material de la vulneración del derecho fundamental que se examina.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1º. Estimar el presente recurso de amparo, y en consecuencia anular la Resolución Aclaratorio Provisional de la Presidencia de la Asamblea de Cantabria sobre las subvenciones al Grupo Mixto, de 11 de abril de 1989.</w:t>
      </w:r>
    </w:p>
    <w:p w:rsidR="00FE0907" w:rsidRDefault="00FE0907" w:rsidP="00FE0907">
      <w:pPr>
        <w:pStyle w:val="TextoNormal"/>
      </w:pPr>
      <w:r>
        <w:t>2º. Declarar, como medio de reintegrarles en la igualdad lesionada, el derecho de los recurrentes a la subvención dejada de percibir por el Grupo Mixto que ellos integraban, del modo y en la cuantía que reglamentariamente corresponda.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diez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19" w:name="SENTENCIA_1992_16"/>
      <w:r>
        <w:lastRenderedPageBreak/>
        <w:t>SENTENCIA 16/1992, de 10 de febrero de 1992</w:t>
      </w:r>
    </w:p>
    <w:bookmarkEnd w:id="19"/>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ECLI:ES:TC:1992:16</w:t>
      </w:r>
    </w:p>
    <w:p w:rsidR="00FE0907" w:rsidRDefault="00FE0907" w:rsidP="00FE0907">
      <w:pPr>
        <w:pStyle w:val="SntesisDescriptiva"/>
      </w:pPr>
    </w:p>
    <w:p w:rsidR="00FE0907" w:rsidRDefault="00FE0907" w:rsidP="00FE0907">
      <w:pPr>
        <w:pStyle w:val="SntesisDescriptiva"/>
      </w:pPr>
      <w:r>
        <w:t>Recurso de amparo 1.165/1989. Diputación Foral de Guipúzcoa contra Auto de la Sala de lo Civil del Tribunal Supremo.</w:t>
      </w:r>
    </w:p>
    <w:p w:rsidR="00FE0907" w:rsidRDefault="00FE0907" w:rsidP="00FE0907">
      <w:pPr>
        <w:pStyle w:val="SntesisDescriptiva"/>
      </w:pPr>
    </w:p>
    <w:p w:rsidR="00FE0907" w:rsidRDefault="00FE0907" w:rsidP="00FE0907">
      <w:pPr>
        <w:pStyle w:val="SntesisAnaltica"/>
      </w:pPr>
      <w:r>
        <w:t>Supuesta vulneración del derecho a la tutela judicial efectiva: derecho a los recursos</w:t>
      </w:r>
    </w:p>
    <w:p w:rsidR="00FE0907" w:rsidRDefault="00FE0907" w:rsidP="00FE0907">
      <w:pPr>
        <w:pStyle w:val="SntesisAnaltica"/>
      </w:pPr>
    </w:p>
    <w:p w:rsidR="00FE0907" w:rsidRDefault="00FE0907" w:rsidP="00FE0907">
      <w:pPr>
        <w:pStyle w:val="Extracto"/>
      </w:pPr>
      <w:r>
        <w:t>1.</w:t>
      </w:r>
      <w:r>
        <w:tab/>
        <w:t>La finalidad de los trámites y exigencias de forma ha de valorarse -según la doctrina constitucional- desde una justa adecuación a sus consecuencias jurídicas en relación con la entidad real del derecho mismo, y, cuando esa finalidad pueda ser lograda sin detrimento alguno de otros derechos o bienes constitucionalmente dignos de tutela, cabrá proceder a la subsanación del defecto mejor que a eliminar los derechos o facultades que se vinculan a su cauce normal, sobre todo cuando la inobservancia del requisito provoca el cierre de la vía del recurso [F.J. 3].</w:t>
      </w:r>
    </w:p>
    <w:p w:rsidR="00FE0907" w:rsidRDefault="00FE0907" w:rsidP="00FE0907">
      <w:pPr>
        <w:pStyle w:val="Extracto"/>
      </w:pPr>
    </w:p>
    <w:p w:rsidR="00FE0907" w:rsidRDefault="00FE0907" w:rsidP="00FE0907">
      <w:pPr>
        <w:pStyle w:val="Extracto"/>
      </w:pPr>
      <w:r>
        <w:t>2.</w:t>
      </w:r>
      <w:r>
        <w:tab/>
        <w:t>La doctrina reiterada de este Tribunal sobre el formalismo enervante y desproporcionado en la interpretación de los requisitos y formas que abren el acceso a los recursos legalmente establecidos, no puede ser entendida de manera tan automática que conduzca «sic et simpliciter» al desconocimiento e ineficacia total de los presupuestos procesales establecidos por las leyes para la admisión de los recursos, dejando así a la disponibilidad o arbitrio de las partes el modo de su cumplimiento prescindiendo de las formalidades queridas por la Ley, formalidades que no responden al capricho puramente ritual del Legislador, sino a la necesidad de dotar al proceso de ciertas formalidades objetivas en garantía de los derechos e intereses legítimos de las partes que en él intervienen [F.J. 3].</w:t>
      </w:r>
    </w:p>
    <w:p w:rsidR="00FE0907" w:rsidRDefault="00FE0907" w:rsidP="00FE0907">
      <w:pPr>
        <w:pStyle w:val="Extracto"/>
      </w:pPr>
    </w:p>
    <w:p w:rsidR="00FE0907" w:rsidRDefault="00FE0907" w:rsidP="00FE0907">
      <w:pPr>
        <w:pStyle w:val="Extracto"/>
      </w:pPr>
      <w:r>
        <w:t>3.</w:t>
      </w:r>
      <w:r>
        <w:tab/>
        <w:t>No basta con manifestar una voluntad de recurrir la Sentencia de instancia que sea desfavorable para los intereses de la parte, sino que hay que hacerlo con las exigencias que impone el propio recurso interpuesto, máxime cuando se trata de un recurso extraordinario como lo es, en nuestro ordenamiento procesal, el recurso de casación. Exigencias que impone, en lo que aquí interesa, el art. 1.692 L.E.C. al que el art. 1.694 de la misma indudablemente se remite, las cuales, no pueden soslayarse pues de ellas depende la necesaria delimitación del ámbito del recurso y que, en modo alguno, pueden considerarse un obstáculo al ejercicio del acceso al mismo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lastRenderedPageBreak/>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1.165/89, interpuesto por la Excma. Diputación Foral de Guipúzcoa, representada inicialmente por el Procurador don Juan Corujo López-Villamil y posteriormente por el Procurador don Luis Suarez Migoyo, y asistida del Letrado don Ignacio Chacón Pacheco contra el Auto de la Sala de lo Civil del Tribunal Supremo de 8 de junio de 1989. Han sido partes el Banco Exterior de España, S.A., representado por el Procurador don Federico José Olivares Santiago y asistido del Letrado don José Ataz Hernández, y el Ministerio Fiscal, y ha sido Ponente don José Luis de los Mozos y de los Mozos,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presentado en este Tribunal el 19 de junio de 1989, don Juan Corujo López-Villamil, Procurador de los Tribunales y de la Excma. Diputación Foral de Guipúzcoa, interpuso recurso de amparo contra el Auto de la Sala de lo Civil del Tribunal Supremo de 8 de junio de 1989, que declaró no haber lugar a la admisión del recurso de casación formulado por la referida Diputación Foral contra la Sentencia de la Sala de lo Civil de la Audiencia Territorial de Pamplona de 20 de octubre de 1988.</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los que trae causa el presente recurso de amparo son los siguientes: </w:t>
      </w:r>
    </w:p>
    <w:p w:rsidR="00FE0907" w:rsidRDefault="00FE0907" w:rsidP="00FE0907">
      <w:pPr>
        <w:pStyle w:val="TextoNormal"/>
      </w:pPr>
      <w:r>
        <w:t xml:space="preserve">La entidad demandante de amparo preparó recurso de casación ante el Tribunal Supremo contra la Sentencia de la Sala de lo Civil de la Audiencia Territorial de Pamplona de 20 de octubre de 1988, apareciendo en dicho escrito de preparación la firma del Procurador, pero no la del Letrado. </w:t>
      </w:r>
    </w:p>
    <w:p w:rsidR="00FE0907" w:rsidRDefault="00FE0907" w:rsidP="00FE0907">
      <w:pPr>
        <w:pStyle w:val="TextoNormal"/>
      </w:pPr>
      <w:r>
        <w:t>Por tal razón, la Sala de lo Civil del Tribunal Supremo dictó el Auto de 8 de junio de 1989, declarando no haber lugar a la admisión del recurso.</w:t>
      </w:r>
    </w:p>
    <w:p w:rsidR="00FE0907" w:rsidRDefault="00FE0907" w:rsidP="00FE0907">
      <w:pPr>
        <w:pStyle w:val="TextoNormal"/>
      </w:pPr>
    </w:p>
    <w:p w:rsidR="00FE0907" w:rsidRDefault="00FE0907" w:rsidP="00FE0907">
      <w:pPr>
        <w:pStyle w:val="TextoNormal"/>
      </w:pPr>
      <w:r w:rsidRPr="00FE0907">
        <w:rPr>
          <w:rStyle w:val="NumeroAFNegritaCaracter"/>
        </w:rPr>
        <w:t>3</w:t>
      </w:r>
      <w:r>
        <w:t>. Alega la entidad recurrente que el Auto del Tribunal Supremo ha vulnerado el derecho a obtener la tutela efectiva de los Jueces y Tribunales (art. 24.1 C.E.), ya que reiterada es la doctrina del Tribunal Constitucional en la que se establece que no admitir un recurso judicial, por concurrir en la preparación del mismo el defecto consistente en la ausencia de firma de Letrado, vulnera el derecho fundamental que proclama el art. 24.1 C.E.; en este sentido, SSTC 3/1987 (fundamentos jurídicos 2º y 3º); 39/1988 (fundamento jurídico 1º); y 95/1988 (fundamento jurídico 2º). De la doctrina expuesta en esas Sentencias y otras más, se desprende con claridad que procede otorgar el amparo constitucional solicitado, anulando el Auto impugnado y retrotrayendo las actuaciones procesales hasta el momento pertinente, a fin de que se pueda subsanar la omisión de la firma de Letrado en el escrito de interposición del recurso del que trae causa 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xml:space="preserve">. Por providencia de 30 de octubre de 1989, la Sección acordó admitir la demanda de amparo y solicitar a los órganos judiciales intervinientes en los autos la remisión de certificación o copia adverada de las actuaciones, así como la práctica de los emplazamientos que fueran procedentes. </w:t>
      </w:r>
    </w:p>
    <w:p w:rsidR="00FE0907" w:rsidRDefault="00FE0907" w:rsidP="00FE0907">
      <w:pPr>
        <w:pStyle w:val="TextoNormal"/>
      </w:pPr>
      <w:r>
        <w:t>Por providencia de 21 de diciembre siguiente, la Sección acordó tener por personado y parte en el procedimiento al Banco Exterior de España, S.A., acusar recibo de las actuaciones y dar vista de las mismas a las partes personadas y al Ministerio Fiscal, al objeto de que formularan las alegaciones que estimasen oportunas, conforme determina el art. 52.1 LOTC.</w:t>
      </w:r>
    </w:p>
    <w:p w:rsidR="00FE0907" w:rsidRDefault="00FE0907" w:rsidP="00FE0907">
      <w:pPr>
        <w:pStyle w:val="TextoNormal"/>
      </w:pPr>
    </w:p>
    <w:p w:rsidR="00FE0907" w:rsidRDefault="00FE0907" w:rsidP="00FE0907">
      <w:pPr>
        <w:pStyle w:val="TextoNormal"/>
      </w:pPr>
      <w:r w:rsidRPr="00FE0907">
        <w:rPr>
          <w:rStyle w:val="NumeroAFNegritaCaracter"/>
        </w:rPr>
        <w:t>5</w:t>
      </w:r>
      <w:r>
        <w:t>. La representación del Banco Exterior de España, en su escrito de alegaciones manifestó que en el escrito por el que se interpuso recurso de casación por la ahora demandante, independientemente de que en el mismo no se procedió a una exposición sucinta de la concurrencia de los requisitos exigidos de acuerdo con lo dispuesto por el art. 1.694 de la Ley de Enjuiciamiento Civil (L.E.C.), limitándose a decir que se apela ante el Tribunal Superior, sin otra especificación, fue además presentado sin firma, por lo que el Auto impugnado no ha infringido el art. 24.1 C.E. Por ello, procede que sea dictada Sentencia por la que se decrete el mantenimiento de dicho Auto.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ha interesado la concesión del amparo. Señala en su escrito de alegaciones que, de acuerdo con la doctrina de este Tribunal, hay que reconocer que, en este caso, la finalidad del requisito formal de la firma de Letrado se ha cumplido porque la parte ha sido dirigida por el mismo Letrado tanto en el proceso ante la Audiencia, como en el escrito de formalización del recurso de casación, lo que supone que siempre ha existido una dirección técnica de Letrado y que se conoce su identidad, de manera que la omisión de firma en el escrito de preparación del recurso sólo significa una irregularidad procesal subsanable que no puede impedir el acceso al recurso legalmente establecido. En consecuencia, la declaración judicial de inadmisión adoptada supone una sanción desproporcionada a la irregularidad detectada, por lo que debió concederse un plazo prudencial para la rectificación o subsanación del defecto. Al no hacerlo así, se ha vulnerado el derecho que consagra el art. 24.1 C.E. </w:t>
      </w:r>
    </w:p>
    <w:p w:rsidR="00FE0907" w:rsidRDefault="00FE0907" w:rsidP="00FE0907">
      <w:pPr>
        <w:pStyle w:val="TextoNormal"/>
      </w:pPr>
      <w:r>
        <w:t>De otra parte, en la resolución impugnada se pone de manifiesto el incumplimiento de los requisitos exigidos por los arts. 1.694 y 1.695 L.E.C., pero lo cierto es que la recurrente manifestó en el escrito de preparación del recurso su voluntad de recurrir y aunque no expresara en la forma determinada por la Ley la concurrencia de los presupuestos legales que autorizan la interposición, esa concurrencia ha sido comprobada por la Audiencia -que es el órgano que tiene legalmente atribuida la función de calificar la concurrencia de esos supuestos legales (art. 1.696 L.E.C.)- y por ello ha tenido por preparado el recurso. Dado que, además, la recurrente en su posterior escrito de formalización ha examinado y puesto de manifiesto esos presupuestos legales y ha acotado la pretensión impugnatoria en la forma establecida por la Ley, subsanando así la irregularidad procesal que se denuncia en el Auto ahora impugnado, hay que concluir que la inadmisión del recurso acordada supone, también desde esta perspectiva, la vulneración del derecho a la tutela judicial efectiva (art. 24.1 C.E.).</w:t>
      </w:r>
    </w:p>
    <w:p w:rsidR="00FE0907" w:rsidRDefault="00FE0907" w:rsidP="00FE0907">
      <w:pPr>
        <w:pStyle w:val="TextoNormal"/>
      </w:pPr>
    </w:p>
    <w:p w:rsidR="00FE0907" w:rsidRDefault="00FE0907" w:rsidP="00FE0907">
      <w:pPr>
        <w:pStyle w:val="TextoNormal"/>
      </w:pPr>
      <w:r w:rsidRPr="00FE0907">
        <w:rPr>
          <w:rStyle w:val="NumeroAFNegritaCaracter"/>
        </w:rPr>
        <w:t>7</w:t>
      </w:r>
      <w:r>
        <w:t>. La representación actora no ha presentado escrito alguno de alegaciones.</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Mediante providencia de 26 de septiembre de 1991, se señaló para deliberación y fallo de la presente Sentencia el día 16 de diciembre siguiente, habiendo quedado concluida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En el presente recurso de amparo vuelve a plantearse ante este Tribunal la compatibilidad o no con el derecho fundamental a la tutela judicial efectiva (art. 24.1 C.E.)  de aquellas decisiones judiciales que inadmiten los recursos legalmente previstos -en concreto, el recurso de casación- y cierran, por tanto, la posibilidad de obtener una resolución sobre el fondo del asunto, al concurrir determinadas irregularidades procesales en su formulación.</w:t>
      </w:r>
    </w:p>
    <w:p w:rsidR="00FE0907" w:rsidRDefault="00FE0907" w:rsidP="00FE0907">
      <w:pPr>
        <w:pStyle w:val="TextoNormal"/>
      </w:pPr>
      <w:r>
        <w:t>El Auto de la Sala Primera del Tribunal Supremo de 8 de junio de 1989 al que se imputa la vulneración del derecho fundamental a la tutela judicial efectiva, ha inadmitido, en efecto, el recurso de casación interpuesto por quien ahora demanda, en atención a que "preparado este recurso por medio de escrito en el que no aparece la firma de Letrado, en el que se dice que considerando que la Sentencia por la que se estima la apelación (es) lesiva a los intereses de la parte "apelo" contra la misma para ante el Tribunal Superior, con la súplica de que se le tenga por apelante contra dicha Sentencia y emplazarle ante el Tribunal Superior, es visto que el escrito no cumple los requisitos previstos en los arts.  1.694 y 1.695, así denunciados por el Ministerio Fiscal el que se muestra contrario a la admisión del recurso por lo que procede declarar la inadmisión del recurso y firme la resolución recurrida con imposición de costas".</w:t>
      </w:r>
    </w:p>
    <w:p w:rsidR="00FE0907" w:rsidRDefault="00FE0907" w:rsidP="00FE0907">
      <w:pPr>
        <w:pStyle w:val="TextoNormal"/>
      </w:pPr>
      <w:r>
        <w:t>El examen de las actuaciones pone de manifiesto, en lo que directamente interesa en este momento, que con fecha 22 de octubre de 1988 la ahora demandante presentó escrito ante la Sala de lo Civil de la Audiencia Territorial de Pamplona diciendo apelar contra la Sentencia dictada por dicha Sala para ante el Tribunal Supremo, y que por Auto de la misma Sala de 1 de diciembre siguiente se dispuso tener por preparado recurso de casación, sin tener en cuenta para nada los defectos ulteriormente apreciados elevándose los autos a la Sala Primera del Tribunal Supremo previo emplazamiento de las partes para su comparecencia ante la misma. Que, asimismo, mediante escrito de 16 de enero de 1989 la recurrente formalizó el recurso de casación por infracción de ley y doctrina legal, señalando los requisitos de formalización y precisando los motivos de casación.  Y que, finalmente, atendiendo a los defectos denunciados por el Ministerio Fiscal en su escrito de 28 de marzo de 1989, y sin que por la Sala Primera del Tribunal Supremo se diera oportunidad a la recurrente para subsanarlos, se dictó el referido Auto de inadmisión.</w:t>
      </w:r>
    </w:p>
    <w:p w:rsidR="00FE0907" w:rsidRDefault="00FE0907" w:rsidP="00FE0907">
      <w:pPr>
        <w:pStyle w:val="TextoNormal"/>
      </w:pPr>
    </w:p>
    <w:p w:rsidR="00FE0907" w:rsidRDefault="00FE0907" w:rsidP="00FE0907">
      <w:pPr>
        <w:pStyle w:val="TextoNormal"/>
      </w:pPr>
      <w:r w:rsidRPr="00FE0907">
        <w:rPr>
          <w:rStyle w:val="NumeroAFNegritaCaracter"/>
        </w:rPr>
        <w:t>2</w:t>
      </w:r>
      <w:r>
        <w:t>. Respecto de la omisión o falta de firma tanto del Abogado como del Procurador, en este caso en el escrito de preparación del recurso de casación, reiteradísima doctrina de este Tribunal ha precisado, en lo sustancial, que "en el ámbito del derecho a la tutela judicial efectiva que consagra el art.  24 C.E. se comprende, por natural extensión, el derecho al recurso y a las diversas instancias judiciales previstas en las leyes, lo que no obsta para que también se haya dicho que los requisitos y presupuestos que esas leyes exijan se hayan de cumplir, sin que en todo caso el cumplimiento de esos requisitos pueda considerarse un obstáculo al ejercicio de ese derecho fundamental de acceso a la justicia. Solamente, pues, cuando las exigencias formales (legalmente más intensas en materia de recursos) obstaculicen de modo excesivo o irrazonable aquel ejercicio, o bien en el caso concreto esos re</w:t>
      </w:r>
      <w:r>
        <w:lastRenderedPageBreak/>
        <w:t>quisitos hayan perdido su finalidad, o su incumplimiento puede convertirse en una falta subsanable, es cuando la inadmisión del recurso puede resultar desmesurada y vulneradora del derecho fundamental en juego" (STC 87/1986).  Esta doctrina ya consagrada, entre otras, en la STC 57/1984, se ha reiterado en otras muchas más recientes (SSTC 3/1987; 39/1988; 95/1988; 2/1989; 105/1989; 134/1989; 115/1990; 213/1990; 127/1991 y 177/1991).</w:t>
      </w:r>
    </w:p>
    <w:p w:rsidR="00FE0907" w:rsidRDefault="00FE0907" w:rsidP="00FE0907">
      <w:pPr>
        <w:pStyle w:val="TextoNormal"/>
      </w:pPr>
      <w:r>
        <w:t>A la luz de esta doctrina hemos de valorar los defectos que sirven de base al Auto impugnado, para rechazar la admisión del recurso de casación interpuesto por la recurrente de amparo, teniendo en cuenta que, en el presente caso, no sólo falta la firma de Letrado en el escrito interponiendo el recurso, sino que también éste adolece del cumplimiento de los requisitos que establece el art.  1.694 de la Ley de Enjuiciamiento Civil, siendo indudable que, si bien cada uno de estos defectos puede construirse autónomamente, entre ambos existe una ilación evidente que pasamos a examinar.</w:t>
      </w:r>
    </w:p>
    <w:p w:rsidR="00FE0907" w:rsidRDefault="00FE0907" w:rsidP="00FE0907">
      <w:pPr>
        <w:pStyle w:val="TextoNormal"/>
      </w:pPr>
    </w:p>
    <w:p w:rsidR="00FE0907" w:rsidRDefault="00FE0907" w:rsidP="00FE0907">
      <w:pPr>
        <w:pStyle w:val="TextoNormal"/>
      </w:pPr>
      <w:r w:rsidRPr="00FE0907">
        <w:rPr>
          <w:rStyle w:val="NumeroAFNegritaCaracter"/>
        </w:rPr>
        <w:t>3</w:t>
      </w:r>
      <w:r>
        <w:t>. Si se tratara sólo de la falta de firma de Letrado, sin ninguna otra trascendencia, aún siendo indudable que la intervención de Letrado viene requerida para interponer recurso de casación, como resulta, en general, del art. 10 L.E.C. y, en particular de forma implícita del art. 1.695 de la misma, como formalidad que opera en beneficio del propio litigante, no bastando que el escrito de interposición vaya firmado unicamente por el Procurador, como aquí sucede, es indudable también que el defecto en el que se habría incurrido, con ser grave, no sería insubsanable, ni por ello radicalmente nulo, sino de aquellos que conforme a los arts. 11.3 y 238 L.O.P.J. son susceptibles de subsanación o corrección, mediante el otorgamiento de un plazo prudencial para ello. Con la particularidad de que, en el presente caso, abonaría tal solución, el hecho de que la Sala de lo Civil de la antigua Audiencia Territorial de Pamplona, no advierte el defecto y teniendo por interpuesto el recurso emplaza a las partes ante el Tribunal Supremo; solamente, después de formalizado el recurso y en el trámite del art.  1.710.1º L.E.C., puestos de manifiesto por el Ministerio Fiscal los defectos señalados, se dicta el Auto impugnado.</w:t>
      </w:r>
    </w:p>
    <w:p w:rsidR="00FE0907" w:rsidRDefault="00FE0907" w:rsidP="00FE0907">
      <w:pPr>
        <w:pStyle w:val="TextoNormal"/>
      </w:pPr>
      <w:r>
        <w:t xml:space="preserve">La decisión de inadmisión, sería evidentemente desproporcionada y no resultaría compatible con el art.  24 C.E., si se tratara unicamente de la falta de firma de Letrado en el escrito preparando el recurso de casación, pues, en general la finalidad de los trámites y exigencias de forma -según la doctrina constitucional- "ha de valorarse desde una justa adecuación a sus consecuencias jurídicas en relación con la entidad real del derecho mismo, y cuando esa finalidad pueda ser lograda sin detrimento alguno de otros derechos o bienes constitucionalmente dignos de tutela, cabrá proceder a la subsanación del defecto mejor que a eliminar los derechos o facultades que se vinculan a su cauce formal, sobre todo cuando la inobservancia del requisito provoca el cierre de la vía del recurso.  Ello implica (la necesidad de) realizar una interpretación finalista y conjugar la proporcionalidad entre el defecto o falta y la sanción jurídica, es decir, una interpretación de (la) legalidad ordinaria en el sentido más favorable al derecho fundamental (STC 19/1983), tarea que tanto compete a la jurisdicción ordinaria (arts. 5 y 7 L.O.P.J.)  como a este Tribunal, con el fin de controlar las eventuales violaciones del art.  24.1 C.E." (STC 87/1986, fundamento jurídico 3º). Pero la doctrina reiterada de este Tribunal sobre el formalismo enervante y desproporcionado en la interpretación de los requisitos y formas de las secuencias procesales en el sentido menos favorable a la efectividad del derecho fundamental a la tutela judicial efectiva del art. 24.1 C.E., y más concretamente respecto de aquéllos que abren el acceso a los recursos legalmente establecidos, no puede ser entendida de manera tan automática que conduzca sic et simpliciter al desconocimiento e ineficacia total de los </w:t>
      </w:r>
      <w:r>
        <w:lastRenderedPageBreak/>
        <w:t>presupuestos procesales establecidos por las leyes para la admisión de los recursos, dejando así a la disponibilidad o arbitrio de las partes el modo de su cumplimiento (STC 29/1985, fundamento jurídico 2º) prescindiendo de las formalidades queridas por la Ley, formalidades que -es preciso recordar- no responden al capricho puramente ritual del Legislador sino a la necesidad de dotar al proceso de ciertas formalidades objetivas en garantía de los derechos e intereses legítimos de las partes que intervienen en el proceso.</w:t>
      </w:r>
    </w:p>
    <w:p w:rsidR="00FE0907" w:rsidRDefault="00FE0907" w:rsidP="00FE0907">
      <w:pPr>
        <w:pStyle w:val="TextoNormal"/>
      </w:pPr>
    </w:p>
    <w:p w:rsidR="00FE0907" w:rsidRDefault="00FE0907" w:rsidP="00FE0907">
      <w:pPr>
        <w:pStyle w:val="TextoNormal"/>
      </w:pPr>
      <w:r w:rsidRPr="00FE0907">
        <w:rPr>
          <w:rStyle w:val="NumeroAFNegritaCaracter"/>
        </w:rPr>
        <w:t>4</w:t>
      </w:r>
      <w:r>
        <w:t>. En el presente caso, según el Auto impugnado se fundamenta la inadmisión del recurso de casación en que el escrito de interposición, que lo es de preparación del mismo, no reune los requisitos previstos en los arts. 1.694 y 1.695 L.E.C., concretándose el incumplimiento en que, al margen del defecto ya examinado, en dicho escrito se dijo que "considerando que la Sentencia por la que se estima la apelación (es) lesiva a los intereses de la parte "apelo" contra la misma para ante el Tribunal Superior, con la súplica de que se le tenga por apelante...".</w:t>
      </w:r>
    </w:p>
    <w:p w:rsidR="00FE0907" w:rsidRDefault="00FE0907" w:rsidP="00FE0907">
      <w:pPr>
        <w:pStyle w:val="TextoNormal"/>
      </w:pPr>
      <w:r>
        <w:t>Este defecto es de mucha más entidad y consideración que el de la mera falta de firma de Letrado, imputable no sólo a mera negligencia o descuido de la representación y asistencia letrada de la parte, sino a razones más atendibles de diversa índole que fundamentan el que pueda considerarse como un defecto no subsanable para preservar que la propia parte no se vea privada de su derecho al recurso, lo que alcanzaría al segundo de los preceptos citados, pero no al art. 1.694 L.E.C., cuyos requisitos no puede decirse que se hayan cumplido con la utilización de la fórmula citada, como pone de relieve la representación del Banco Exterior de España, en su escrito de alegaciones, como contraparte de la recurrente, oponiéndose a la concesión del amparo.</w:t>
      </w:r>
    </w:p>
    <w:p w:rsidR="00FE0907" w:rsidRDefault="00FE0907" w:rsidP="00FE0907">
      <w:pPr>
        <w:pStyle w:val="TextoNormal"/>
      </w:pPr>
      <w:r>
        <w:t>En cambio, no pueden acogerse los razonamientos que hace el Ministerio Fiscal, en sentido contrario y favorables a la concesión del amparo, puesto que no basta, como aquí ha ocurrido, con manifestar una voluntad de recurrir la Sentencia de instancia que sea desfavorable para los intereses de la parte, sino que hay que hacerlo con las exigencias que impone el propio recurso interpuesto, máxime cuando se trata de un recurso extraordinario como lo es, en nuestro ordenamiento procesal, el recurso de casación. Exigencias que impone en lo que aquí interesa el art.  1.692 L.E.C. al que el art. 1.694 de la misma indudablemente se remite, las cuales, no pueden soslayarse pues de ellas depende la necesaria delimitación del ámbito del recurso y que, en modo alguno pueden considerarse un obstáculo al ejercicio del acceso al mismo, ya que su cumplimiento resulta condición obligada de su admisión y menos aún puede pensarse que obstaculicen de modo excesivo o irrazonable su ejercicio.</w:t>
      </w:r>
    </w:p>
    <w:p w:rsidR="00FE0907" w:rsidRDefault="00FE0907" w:rsidP="00FE0907">
      <w:pPr>
        <w:pStyle w:val="TextoNormal"/>
      </w:pPr>
      <w:r>
        <w:t>En una palabra, el Auto de la Sala Primera del Tribunal Supremo, impugnado por la recurrente, inadmitiendo el recurso de casación deficientemente planteado por la parte, se halla perfectamente fundado y no lesiona el derecho a la tutela judicial efectiva invocado por la recurrente.</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lastRenderedPageBreak/>
        <w:t>Ha decidido</w:t>
      </w:r>
    </w:p>
    <w:p w:rsidR="00FE0907" w:rsidRDefault="00FE0907" w:rsidP="00FE0907">
      <w:pPr>
        <w:pStyle w:val="TextoNormalCentrado"/>
        <w:keepNext/>
      </w:pPr>
    </w:p>
    <w:p w:rsidR="00FE0907" w:rsidRDefault="00FE0907" w:rsidP="00FE0907">
      <w:pPr>
        <w:pStyle w:val="TextoNormal"/>
      </w:pPr>
      <w:r>
        <w:t>Denegar el amparo solicitado por la Excma. Diputación Foral de Guipuzcoa.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diez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0" w:name="SENTENCIA_1992_17"/>
      <w:r>
        <w:lastRenderedPageBreak/>
        <w:t>SENTENCIA 17/1992, de 10 de febrero de 1992</w:t>
      </w:r>
    </w:p>
    <w:bookmarkEnd w:id="20"/>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ECLI:ES:TC:1992:17</w:t>
      </w:r>
    </w:p>
    <w:p w:rsidR="00FE0907" w:rsidRDefault="00FE0907" w:rsidP="00FE0907">
      <w:pPr>
        <w:pStyle w:val="SntesisDescriptiva"/>
      </w:pPr>
    </w:p>
    <w:p w:rsidR="00FE0907" w:rsidRDefault="00FE0907" w:rsidP="00FE0907">
      <w:pPr>
        <w:pStyle w:val="SntesisDescriptiva"/>
      </w:pPr>
      <w:r>
        <w:t>Recurso de amparo 1.282/1989. Contra Sentencia del Juzgado de Distrito núm. 14 de los de Madrid, dictada enjuicio de faltas y confirmada en apelación.</w:t>
      </w:r>
    </w:p>
    <w:p w:rsidR="00FE0907" w:rsidRDefault="00FE0907" w:rsidP="00FE0907">
      <w:pPr>
        <w:pStyle w:val="SntesisDescriptiva"/>
      </w:pPr>
    </w:p>
    <w:p w:rsidR="00FE0907" w:rsidRDefault="00FE0907" w:rsidP="00FE0907">
      <w:pPr>
        <w:pStyle w:val="SntesisAnaltica"/>
      </w:pPr>
      <w:r>
        <w:t>Supuesta vulneración del derecho a la tutela judicial efectiva: actos procesales de comunicación</w:t>
      </w:r>
    </w:p>
    <w:p w:rsidR="00FE0907" w:rsidRDefault="00FE0907" w:rsidP="00FE0907">
      <w:pPr>
        <w:pStyle w:val="SntesisAnaltica"/>
      </w:pPr>
    </w:p>
    <w:p w:rsidR="00FE0907" w:rsidRDefault="00FE0907" w:rsidP="00FE0907">
      <w:pPr>
        <w:pStyle w:val="Extracto"/>
      </w:pPr>
      <w:r>
        <w:t>1.</w:t>
      </w:r>
      <w:r>
        <w:tab/>
        <w:t>En relación con el juicio de faltas, este Tribunal ha subrayado en diversas resoluciones (SSTC 22/1987, 41/1987, 141/1991), que la finalidad esencial de la citación para la celebración de dicho juicio es la de garantizar el acceso al proceso y la efectividad del derecho de defensa constitucionalmente reconocido, por lo que no puede reducirse a un mero requisito formal para la realización de los siguientes actos procesales, sino que es necesario que la forma en que se realice la citación garantice en la mayor medida posible que aquella ha llegado efectivamente a poder del destinatario, siendo esencial al referido acto de comunicación la recepción de la cédula por el destinatario y la constancia en las actuaciones, a salvo los casos de citación edictal, de que se ha entregado a quien debía recibirla, siempre con el designio de que, llegando a poder del interesado, pueda éste disponer su defensa [F.J. 2].</w:t>
      </w:r>
    </w:p>
    <w:p w:rsidR="00FE0907" w:rsidRDefault="00FE0907" w:rsidP="00FE0907">
      <w:pPr>
        <w:pStyle w:val="Extracto"/>
      </w:pPr>
    </w:p>
    <w:p w:rsidR="00FE0907" w:rsidRDefault="00FE0907" w:rsidP="00FE0907">
      <w:pPr>
        <w:pStyle w:val="Extracto"/>
      </w:pPr>
      <w:r>
        <w:t>2.</w:t>
      </w:r>
      <w:r>
        <w:tab/>
        <w:t>Las normas sobre citaciones no son meras formalidades procesales, pues, en toda clase de procedimientos, garantizan la posibilidad de un juicio contradictorio para que no tenga lugar indefensión. Los Tribunales se hallan obligados al cumplimiento escrupuloso de tales normas para que se satisfaga plenamente la tutela judicial efectiva, como es doctrina reiterada de este Tribunal. Pero también hay que tener en cuenta que la efectividad de este derecho fundamental sólo puede defenderse teniendo en cuenta los derechos fundamentales de todas las partes, cuya colaboración ha de procurar eliminar, sin daño para ninguna de ellas, las lesiones que podría originar la pasividad o negligencia en la conducción del proceso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1.282/89, promovido por don Jesús Ocejo Calvo, representado por el Procurador de los Tribunales don Julián Caballero Aguado y asistido del Letrado don Juan José Almagro García, contra la Sentencia del Juzgado de Distrito núm. 14 de los de Madrid, de 18 de noviembre de 1988, dictada en juicio de faltas núm. 768/88, confirmada en apelación por Sentencia del Juzgado de Instrucción núm. 30 de los de dicha capital, de 9 de junio de 1989. Han comparecido el Ministerio Fiscal y don José Gerardo Martín Rodríguez y "Neurología Quirúrgica, S.A.", representados por el Procurador de los Tribunales don Francisco Javier Rodríguez Tadey y asistidos del Letrado don Javier González Martín. Ha actuado como Ponente el Magistrado don José Luis de los Mozos y de los Mozos,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el Registro General de este Tribunal el día 4 de julio de 1989, don Julián Caballero Aguado, Procurador de los Tribunales, en nombre y representación de don Jesús Ocejo Calvo, interpuso recurso de amparo contra la Sentencia dictada por el Juzgado de Distrito núm. 14 de los de Madrid, de 18 de noviembre de 1988, en resolución del juicio de faltas 768/88, confirmada en apelación por Sentencia del Juzgado de Instrucción núm. 30 de los de dicha capital, de 9 de junio de 1989, en el rollo de apelación 60/89.</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fundamenta, en síntesis, en los siguientes antecedentes fácticos: </w:t>
      </w:r>
    </w:p>
    <w:p w:rsidR="00FE0907" w:rsidRDefault="00FE0907" w:rsidP="00FE0907">
      <w:pPr>
        <w:pStyle w:val="TextoNormal"/>
      </w:pPr>
      <w:r>
        <w:t xml:space="preserve">a) Como consecuencia de un accidente de tráfico, tras los oportunos trámites, el Juzgado de Distrito núm. 14 de los de Madrid, con fecha de 18 de noviembre de 1988, dictó Sentencia en el juicio de faltas núm. 768/88, por la que condenó al ahora demandante en amparo como autor de una falta tipificada en el art. 586.3º del Código Penal. </w:t>
      </w:r>
    </w:p>
    <w:p w:rsidR="00FE0907" w:rsidRDefault="00FE0907" w:rsidP="00FE0907">
      <w:pPr>
        <w:pStyle w:val="TextoNormal"/>
      </w:pPr>
      <w:r>
        <w:t xml:space="preserve">b) Don Jesús Ocejo Calvo, recurrente en amparo, afirma en la demanda que no compareció a la vista del juicio de faltas, toda vez que no le fue notificada la fecha y hora de celebración del acto del juicio. </w:t>
      </w:r>
    </w:p>
    <w:p w:rsidR="00FE0907" w:rsidRDefault="00FE0907" w:rsidP="00FE0907">
      <w:pPr>
        <w:pStyle w:val="TextoNormal"/>
      </w:pPr>
      <w:r>
        <w:t xml:space="preserve">c) Notificada la Sentencia del Juzgado de Distrito, el demandante de amparo la recurrió en apelación. El día señalado para la vista ante el Juzgado de Instrucción núm. 30 de los de Madrid, a quien correspondió el conocimiento del recurso, la defensa de aquél, así como el Ministerio Fiscal, solicitaron la nulidad de las actuaciones seguidas en primera instancia, por no haber tenido constancia el recurrente de la fecha del juicio celebrado en el Juzgado de Distrito hasta el mismo día en que éste tuvo lugar, aportando como probanza de lo anterior un aviso del Servicio de Correos, fechado en 17 de noviembre de 1988, para que recogiese un telegrama remitido por el Juzgado de Distrito núm. 14, en el que se le notificaba la fecha y hora de la vista del juicio de faltas, en concreto el día 18 de noviembre, constando en el aviso de Telégrafos que el Sr. Ocejo Calvo se encontraba "ausente de su domicilio" el día 17 de noviembre. </w:t>
      </w:r>
    </w:p>
    <w:p w:rsidR="00FE0907" w:rsidRDefault="00FE0907" w:rsidP="00FE0907">
      <w:pPr>
        <w:pStyle w:val="TextoNormal"/>
      </w:pPr>
      <w:r>
        <w:t xml:space="preserve">Afirma el demandante de amparo que el texto del telegrama le fue notificado por vía telefónica en la mañana del mismo día 18 de noviembre, una vez que llamó al servicio de Correos y Telégrafos para conocer su contenido, y que entonces la vista del juicio de faltas ya se había celebrado. </w:t>
      </w:r>
    </w:p>
    <w:p w:rsidR="00FE0907" w:rsidRDefault="00FE0907" w:rsidP="00FE0907">
      <w:pPr>
        <w:pStyle w:val="TextoNormal"/>
      </w:pPr>
      <w:r>
        <w:lastRenderedPageBreak/>
        <w:t>d) El Juzgado de Instrucción núm. 30 de los de Madrid, con fecha 9 de junio de 1989, dictó Sentencia por la que desestimó el recurso de apelación y confirmó la Sentencia apelada. Rechazó la solicitud de nulidad de actuaciones razonando que el aviso de correos aportado sólo acreditaba que el hoy demandante de amparo era destinatario de un telegrama con el núm. 15.488, pero no que el mismo fuera el enviado por el Juzgado de Distrito el día 16 de noviembre de 1988, habiendo actuado el Juez de éste correctamente al considerar que el Sr. Ocejo Calvo había sido citado en legal forma y, por ello, pese a su incomparecencia, al celebrar el juicio, pues ni el telegrama fue devuelto, ni su destinatario, Abogado de profesión, se puso en contacto con el órgano judicial para comunicar las circunstancias alegadas en la apelación.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cuanto a la fundamentación jurídica de la demanda de amparo, sostiene el recurrente que siendo parte en el procedimiento se le ha privado de poder defenderse adecuadamente, toda vez que por el Juzgado de Distrito se prescindió total y absolutamente de las normas procedimentales establecidas por la ley, infringiéndose en la vista del juicio de faltas los principios de audiencia, asistencia y defensa, produciéndole indefensión, ya que se le privó, no sólo de la necesaria contradicción procesal, sino -sobre todo- de la posibilidad de utilizar su derecho de defensa con todas las garantías que las leyes de procedimiento y el mandato constitucional imponen. </w:t>
      </w:r>
    </w:p>
    <w:p w:rsidR="00FE0907" w:rsidRDefault="00FE0907" w:rsidP="00FE0907">
      <w:pPr>
        <w:pStyle w:val="TextoNormal"/>
      </w:pPr>
      <w:r>
        <w:t xml:space="preserve">Se le ha condenado sin ser oído, no siendo de recibo la argumentación expuesta en la Sentencia de apelación, pues con ella se le impone la carga de acreditar que ha sido citado en legal forma, cuando es al Juzgado de Distrito a quien, para garantizar el cumplimiento de las normas esenciales del procedimiento y los principios que rigen el proceso, sobre todo los de audiencia y asistencia, le corresponde la carga de extremar el cuidado en los actos procesales que impliquen o puedan significar la ausencia de los requisitos indispensables que garantizan la estricta legalidad del proceso. </w:t>
      </w:r>
    </w:p>
    <w:p w:rsidR="00FE0907" w:rsidRDefault="00FE0907" w:rsidP="00FE0907">
      <w:pPr>
        <w:pStyle w:val="TextoNormal"/>
      </w:pPr>
      <w:r>
        <w:t xml:space="preserve">Las anteriores circunstancias, concluye el recurrente, determinan que se haya infringido y conculcado el art. 24 C.E., por negársele la efectiva tutela de los diferentes Juzgados y sobre todo, por la indefensión en que se le ha colocado, privándole de la posibilidad de defensa y condenándole sin ni siquiera ser oído, por un defecto formal imputable exclusivamente al órgano que debía velar por la legalidad y pureza del procedimiento. </w:t>
      </w:r>
    </w:p>
    <w:p w:rsidR="00FE0907" w:rsidRDefault="00FE0907" w:rsidP="00FE0907">
      <w:pPr>
        <w:pStyle w:val="TextoNormal"/>
      </w:pPr>
      <w:r>
        <w:t>Por ello, solicitó del Tribunal Constitucional la admisión de la presente demanda y, que, en su día, dicte Sentencia por la que se otorgue el amparo solicitado y se decrete la nulidad de la Sentencia del Juzgado de Distrito núm. 14 de los de Madrid y de la del Juzgado de Instrucción núm. 30 de dicha capital. Mediante otrosí digo, interesó la suspensión de la ejecución de las Sentencias recurridas.</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13 de noviembre de 1989, la Sección Tercera del Tribunal Constitucional acordó admitir a trámite la demanda de amparo, por lo que, en virtud de lo dispuesto en el art. 51 LOTC, dirigió sendas comunicaciones al Juzgado de Instrucción núm. 30 de Madrid y al Juzgado de Distrito núm. 14 de dicha capital para que remitieran, respectivamente, certificación o fotocopia adverada de las actuaciones correspondientes al rollo de apelación núm. 60/89 y al juicio de faltas núm. 768/88. Asimismo, acordó que por el Juzgado de Distrito núm. 14 se emplazase a quienes fueron parte en dicho procedimiento, a excepción del solicitante de amparo, para que pudieran comparecer en este proceso constitucional. </w:t>
      </w:r>
    </w:p>
    <w:p w:rsidR="00FE0907" w:rsidRDefault="00FE0907" w:rsidP="00FE0907">
      <w:pPr>
        <w:pStyle w:val="TextoNormal"/>
      </w:pPr>
      <w:r>
        <w:t xml:space="preserve">Recibidos, con fecha de 18 de diciembre de 1989, sendos oficios del Juzgado de Distrito núm. 14 y del Juzgado de Instrucción núm. 30, en virtud de los cuales se comunicaba, </w:t>
      </w:r>
      <w:r>
        <w:lastRenderedPageBreak/>
        <w:t>por el primero, que aún no se habían recibido los autos del juicio de faltas núm. 768/88 enviados al Juzgado de Instrucción núm. 30, y, por el segundo, que este Juzgado de Instrucción se había transformado en el Juzgado de lo Penal núm. 4 de Madrid y que las actuaciones habían sido remitidas al Juzgado de Instrucción núm. 15 de Madrid, se dirigió comunicación a éste para que, en plazo que no excediera de diez días, remitiese las actuaciones recabadas del Juzgado de Distrito núm. 14 y del Juzgado de Instrucción núm. 30, una vez verificados los emplazamientos en su día interesados.</w:t>
      </w:r>
    </w:p>
    <w:p w:rsidR="00FE0907" w:rsidRDefault="00FE0907" w:rsidP="00FE0907">
      <w:pPr>
        <w:pStyle w:val="TextoNormal"/>
      </w:pPr>
    </w:p>
    <w:p w:rsidR="00FE0907" w:rsidRDefault="00FE0907" w:rsidP="00FE0907">
      <w:pPr>
        <w:pStyle w:val="TextoNormal"/>
      </w:pPr>
      <w:r w:rsidRPr="00FE0907">
        <w:rPr>
          <w:rStyle w:val="NumeroAFNegritaCaracter"/>
        </w:rPr>
        <w:t>5</w:t>
      </w:r>
      <w:r>
        <w:t>. Por Auto de 11 de diciembre de 1989, la Sala Segunda de este Tribunal Constitucional acordó la suspensión de la ejecución de la Sentencia dictada por el Juzgado de Distrito núm. 14 de los de Madrid, con fecha 18 de noviembre de 1988, en el juicio de faltas núm. 768/88.</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23 de abril de 1990, la Sección Tercera acordó tener por personado y parte en el procedimiento al Procurador don Francisco Javier Rodríguez Tadey, en nombre y representación de don José Gerardo Martín Rodríguez y "Neurología Quirúrgica, S.A.", quienes se habían personado mediante escrito registrado con fecha 30 de marzo de 1990, y acusó recibo de las actuaciones remitidas por el Juzgado de Instrucción núm. 15 de Madrid, que habían tenido entrada en el registro de este Tribunal con fecha 16 de febrero de 1990. </w:t>
      </w:r>
    </w:p>
    <w:p w:rsidR="00FE0907" w:rsidRDefault="00FE0907" w:rsidP="00FE0907">
      <w:pPr>
        <w:pStyle w:val="TextoNormal"/>
      </w:pPr>
      <w:r>
        <w:t>Asimismo, se acordó dar vista de las actuaciones recibidas a la parte recurrente y demandada y al Ministerio Fiscal, por plazo común de veinte días, para que, conforme determina el art. 52.1 LOTC, formulasen las alegaciones que estimasen pertinentes.</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Unicamente evacuaron el trámite conferido el Ministerio Fiscal y la entidad "Neurología Quirúrgica, S.A." mediante sendos escritos registrados, respectivamente, con fecha 23 y 30 de mayo de 1990. </w:t>
      </w:r>
    </w:p>
    <w:p w:rsidR="00FE0907" w:rsidRDefault="00FE0907" w:rsidP="00FE0907">
      <w:pPr>
        <w:pStyle w:val="TextoNormal"/>
      </w:pPr>
      <w:r>
        <w:t xml:space="preserve">El Ministerio Fiscal interesó que se declarase la nulidad de la Sentencia del Juzgado de Distrito núm. 14, de 18 de noviembre de 1988, recaída en el juicio de faltas núm. 768/88, y la dictada en apelación por el Juzgado de Instrucción núm. 30, de 9 de junio de 1989, así como que se restableciese al recurrente en amparo en la integridad de su derecho a obtener la tutela judicial efectiva sin indefensión, retrotrayendo las actuaciones al momento en que debió ser citado en forma para el acto del juicio oral en el Juzgado de Distrito. </w:t>
      </w:r>
    </w:p>
    <w:p w:rsidR="00FE0907" w:rsidRDefault="00FE0907" w:rsidP="00FE0907">
      <w:pPr>
        <w:pStyle w:val="TextoNormal"/>
      </w:pPr>
      <w:r>
        <w:t xml:space="preserve">Después de referirse a la doctrina de este Tribunal sobre el derecho a la tutela judicial efectiva sin indefensión en relación con los actos procesales de comunicación del órgano judicial con las partes, haciendo hincapié en la doctrina recogida en la STC 142/1989, y a las normas procesales aplicables a la citación del juicio de faltas (Decreto de 21 de noviembre de 1952, arts. 166 a 182 L.E.Crim. y 271 L.O.P.J.), afirma el Ministerio Fiscal que no obra en las actuaciones judiciales remitidas la providencia señalando día, hora y lugar del juicio, citando a las partes, ni existe constancia de la citación a los intervinientes en el accidente y modo de llevarla a cabo. Esto así, no podemos llegar a saber, por lo que se refiere al ahora recurrente en amparo, si el mismo fue citado y en qué forma y, no diciendo nada al respeto la Sentencia, la única noticia viene proporcionada por las manifestaciones de su Letrado en la vista de la apelación, de modo que de momento queda reflejado que la previsión legislativa del art. 271 L.O.P.J. no se ha cumplido en cuanto las actuaciones no reflejan la "constancia de la citación". </w:t>
      </w:r>
    </w:p>
    <w:p w:rsidR="00FE0907" w:rsidRDefault="00FE0907" w:rsidP="00FE0907">
      <w:pPr>
        <w:pStyle w:val="TextoNormal"/>
      </w:pPr>
      <w:r>
        <w:lastRenderedPageBreak/>
        <w:t xml:space="preserve">En la vista de la apelación el Letrado del ahora demandante de amparo pone de manifiesto la imposibilidad de comparecencia de su representado al acto del juicio y presenta como prueba el aviso de correos que obra al folio 23 del rollo de apelación. En el citado aviso se puede distinguir, con dificultad, que el día de su recepción en el domicilio del recurrente fue el 17 de noviembre; que no fue entregado a su destinatario por hallarse ausente de su domicilio; y, finalmente, que se le avisaba de que tenía un telegrama y que podía serle leído por teléfono, facilitando un número. Dice el recurrente, y no hay razón para no creerle no habiendo constancia de lo contrario, que no pudo tener acceso al contenido del telegrama hasta el día siguiente en que el juicio ya se había celebrado, no existiendo constancia de la hora en las actuaciones. No resulta, pues, acreditado que el recurrente tuviera conocimiento con antelación suficiente para acudir al juicio. En este sentido, estima contradictoria la Sentencia del Juzgado de Instrucción al admitir y no admitir la existencia del telegrama de la citación, pues la certeza con respecto a la recepción de citación -fundamento de derecho segundo- no viene apoyada en acreditación documental alguna, sino en meras conjeturas como puede serlo la no devolución del telegrama o el no ponerse en contacto el condenado, Abogado de profesión, con el Juzgado y considera, frente a dicha argumentación, que el texto del telegrama se pudo conocer después del juicio y no se devolvió porque se recibió, así como que el Abogado pudo ponerse en contacto con el Juzgado en diligencia inútil, pues el juicio ya se había celebrado. </w:t>
      </w:r>
    </w:p>
    <w:p w:rsidR="00FE0907" w:rsidRDefault="00FE0907" w:rsidP="00FE0907">
      <w:pPr>
        <w:pStyle w:val="TextoNormal"/>
      </w:pPr>
      <w:r>
        <w:t>Concluye sus alegaciones señalando que la duda en orden a la citación en cuanto a la llegada a su destinatario debió de provocar la suspensión de la vista en primera instancia o bien la nulidad de actuaciones en segunda instancia, y que al no ocurrir así se ha dictado una resolución inaudita parte que no se corrigió en la vía de la jurisdicción ordinaria y que corresponde salvar en la constitucional, preservando el derecho fundamental a la tutela judicial mediante el otorgamiento del amparo.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Por su parte, la representación procesal de la demandada "Neurología Quirúrgica, S.A." afirma en su escrito de alegaciones que el ahora recurrente en amparo compareció personalmente el 18 de noviembre de 1988, sobre las 10,30 horas, ante la Secretaría del Juzgado de Distrito núm. 14 de Madrid, examinó el estado de las actuaciones judiciales tras habérselas pedido a los Auxiliares y Oficiales de Secretaría y entregó personalmente los autos en mano al Letrado de esta parte. La razón de que el demandante de amparo no entrase en la Sala para la celebración del pertinente juicio de faltas no puede ser otra que su reconocimiento de la culpa de los hechos ocurridos (folio 6 de autos) y la existencia de lesionados que conllevaría aparejada la retirada del permiso de conducir a tenor de la antigua regulación del art. 586.3º del Código Penal. </w:t>
      </w:r>
    </w:p>
    <w:p w:rsidR="00FE0907" w:rsidRDefault="00FE0907" w:rsidP="00FE0907">
      <w:pPr>
        <w:pStyle w:val="TextoNormal"/>
      </w:pPr>
      <w:r>
        <w:t xml:space="preserve">Así pues, en ningún momento han resultado vulnerados los principios de audiencia y asistencia concretados en el art. 238.3 L.O.P.J. y el recurrente, pese a aportar en la vista de la apelación un aviso de correos, no acompañó el justificante relativo a la fecha en que el telegrama resultó retirado y no lo hace por la sencilla razón de que había tenido conocimiento del señalamiento de la vista con la debida antelación antes de su celebración. </w:t>
      </w:r>
    </w:p>
    <w:p w:rsidR="00FE0907" w:rsidRDefault="00FE0907" w:rsidP="00FE0907">
      <w:pPr>
        <w:pStyle w:val="TextoNormal"/>
      </w:pPr>
      <w:r>
        <w:t>Tras alegar que se le está causando un grave perjuicio ante la acción obstaculizadora del recurrente, concluye su escrito suplicando se dicte Sentencia por la que no se otorgue a éste el amparo solicitado.</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19 de diciembre de 1991, la Sala acordó fijar el día 27 de enero de 1992 para la deliberación y votación de la presente Sentencia, quedando concluida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Invoca el recurrente en amparo la lesión del derecho fundamental consagrado en el art. 24.1 C.E. como consecuencia de la celebración del juicio verbal de faltas en el que resultó condenado sin que hubiera sido citado debidamente al mismo, lo que motivó su inasistencia, y la posterior confirmación de esta lesión en segunda instancia, al no acceder el órgano judicial a la solicitud de nulidad de lo actuado por entender que el órgano a quo había considerado acertadamente que el actor había sido citado en legal forma.</w:t>
      </w:r>
    </w:p>
    <w:p w:rsidR="00FE0907" w:rsidRDefault="00FE0907" w:rsidP="00FE0907">
      <w:pPr>
        <w:pStyle w:val="TextoNormal"/>
      </w:pPr>
    </w:p>
    <w:p w:rsidR="00FE0907" w:rsidRDefault="00FE0907" w:rsidP="00FE0907">
      <w:pPr>
        <w:pStyle w:val="TextoNormal"/>
      </w:pPr>
      <w:r w:rsidRPr="00FE0907">
        <w:rPr>
          <w:rStyle w:val="NumeroAFNegritaCaracter"/>
        </w:rPr>
        <w:t>2</w:t>
      </w:r>
      <w:r>
        <w:t>. Antes de examinar lo que resulta de las actuaciones en orden a la citación del demandante para la celebración del jui cio de faltas, conviene recordar la doctrina de este Tribunal sobre la forma en que han de llevarse a efecto los actos de comunicación en el proceso y las consecuencias que pueden derivarse de las posibles irregularidades de la citación o el emplazamiento, cuestión que ha sido objeto de numerosas resoluciones de este Tribunal que conforman un cuerpo jurisprudencial consolidado (entre otras muchas, SSTC 9/1981, 1/1983, 22/1987, 72/1988, 205/1988, 202/1990). De acuerdo con dicha doctrina, el derecho de defensa y la correlativa interdicción de indefensión establecidos en el art. 24.1 C.E.  comportan la posibilidad de un juicio contradictorio en el que las partes puedan hacer valer sus derechos e intereses legítimos. De ahí, la especial trascendencia de los actos de comunicación del órgano judicial con las partes, en especial, de aquel que se hace a quien ha de ser o puede ser parte en el proceso, pues, en tal caso, el acto de comunicación es el necesario instrumento que facilita la defensa en el proceso de los derechos e intereses cuestionados. Se trata, pues, con dichos actos de comunicación de garantizar la defensa de los derechos e intereses legítimos de las partes, de tal manera que su falta o deficiente realización, siempre que se frustre la finalidad con ellos perseguida, coloca al interesado en una situación de indefensión que es lesiva del derecho fundamental citado, salvo que la falta de comunicación tenga su causa en la pasividad o negligencia del interesado que adquirió conocimiento del acto o resolución por medios distintos.</w:t>
      </w:r>
    </w:p>
    <w:p w:rsidR="00FE0907" w:rsidRDefault="00FE0907" w:rsidP="00FE0907">
      <w:pPr>
        <w:pStyle w:val="TextoNormal"/>
      </w:pPr>
      <w:r>
        <w:t>Más en concreto, en relación con el juicio de faltas, este Tribunal ha subrayado en diversas resoluciones (SSTC 22/1987, 41/1987, 141/1991) que la finalidad esencial de la citación para la celebración de dicho juicio es la de garantizar el acceso al proceso y la efectividad del derecho de defensa constitucionalmente reconocido,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al referido acto de comunicación la recepción de la cédula por el destinatario y la constancia en las actuaciones, a salvo los casos de citación edictal, de que se ha entregado a quien debía recibirla, siempre con el designio de que, llegando a poder del interesado, pueda éste disponer su defensa (SSTC 1/1983, 142/1989, 110/1989). Ello significa que, cualquiera que sea la forma en que se realice, ha de asegurarse en todo caso el cumplimiento de los requisitos que la Ley de Enjuiciamiento Criminal establece para las notificaciones, citaciones y emplazamientos, y que, en definitiva, la verificación de la citación ha de proporcionar al órgano judicial elementos necesarios que permitan identificar al receptor de la cédula y comprobar así si se ha cumplido con lo preceptuado en la mencionada Ley.</w:t>
      </w:r>
    </w:p>
    <w:p w:rsidR="00FE0907" w:rsidRDefault="00FE0907" w:rsidP="00FE0907">
      <w:pPr>
        <w:pStyle w:val="TextoNormal"/>
      </w:pPr>
      <w:r>
        <w:t>En este sentido, el art. 271 de la Ley Orgánica 6/1985, de 1 de julio, del Poder Judicial permite que las notificaciones se practiquen por medio del correo, del telégrafo o de cual</w:t>
      </w:r>
      <w:r>
        <w:lastRenderedPageBreak/>
        <w:t>quier otro medio técnico siempre que se asegure la constancia de su práctica y las circunstancias esenciales de la misma. El Decreto de 12 de noviembre de 1952, que, con carácter especial, establece la regulación y tramitación procesal del juicio de faltas, se remite a las Disposiciones generales de la Ley de Enjuiciamiento Criminal, y esta última Ley, en sus arts. 166 y siguientes, determina minuciosamente la forma en la que han de practicarse las notificaciones, emplazamientos y citaciones y requiere igualmente la necesaria constancia en autos de la citación practicada, así como, a salvo los casos de citación edictal, de su recepción por el destinatario o, en ausencia de éste, por la persona de las autorizadas en la Ley a la que se le hace entrega de la misma.</w:t>
      </w:r>
    </w:p>
    <w:p w:rsidR="00FE0907" w:rsidRDefault="00FE0907" w:rsidP="00FE0907">
      <w:pPr>
        <w:pStyle w:val="TextoNormal"/>
      </w:pPr>
    </w:p>
    <w:p w:rsidR="00FE0907" w:rsidRDefault="00FE0907" w:rsidP="00FE0907">
      <w:pPr>
        <w:pStyle w:val="TextoNormal"/>
      </w:pPr>
      <w:r w:rsidRPr="00FE0907">
        <w:rPr>
          <w:rStyle w:val="NumeroAFNegritaCaracter"/>
        </w:rPr>
        <w:t>3</w:t>
      </w:r>
      <w:r>
        <w:t>. En el caso que ahora nos ocupa, es cierto no existe constancia alguna en las actuaciones correspondientes al juicio verbal de faltas ni de la providencia señalatoria de la fecha de celebración del juicio y que ordena la citación de las partes, ni de la citación de éstas y la forma en que fue practicada, ni, finalmente, en lo que aquí interesa, de la recepción de la comunicación judicial por el solicitante de amparo, sin que nada se diga al respecto en la Sentencia de instancia, reflejándose únicamente en el acta del juicio que aquél no compareció al mismo, por no haber sido citado debidamente, personándose con posterioridad en segunda instancia para solicitar la nulidad de actuaciones, en una apelación por él mismo interpuesta.</w:t>
      </w:r>
    </w:p>
    <w:p w:rsidR="00FE0907" w:rsidRDefault="00FE0907" w:rsidP="00FE0907">
      <w:pPr>
        <w:pStyle w:val="TextoNormal"/>
      </w:pPr>
      <w:r>
        <w:t>Sin embargo, ésta no es la única versión de los hechos posible, sin necesidad de ponerla en duda, pues, hay que tener en cuenta que es perfectamente compatible con las afirmaciones que hace la representación de "Neurología Quirúrgica S.A.", en su escrito de alegaciones ante este Tribunal, como contraparte del recurrente, oponiéndose a la concesión del amparo y según resulta de los antecedentes de hecho (antecedente 8º). Efectivamente, según éstas, y sin necesidad de aceptar al pie de la letra las afirmaciones que se hacen en cuanto al supuesto comportamiento del recurrente, es perfectamente verosímil, en cuanto estas manifestaciones no contradicen las efectuadas por aquel, sino que las complementan, que, hallándose en Madrid el día 18 de noviembre de 1988, fecha en que tuvo lugar la celebración del juicio de faltas, como también acepta y reconoce el propio recurrente, aunque no hubiera podido asistir al juicio, como de contrario se pretende por su contraparte, lo que si hubiera podido hacer es personarse en el Juzgado, antes de dictar Sentencia, para poner de manifiesto la indefensión alegada. Nada de esto hizo en cambio el recurrente, esperando a que se dictase Sentencia y, al serle contraria, interpuso recurso de apelación, en cuya vista su Abogado se limitó en primer lugar, a solicitar se decretara la nulidad de actuaciones, no intentando prueba alguna al respecto y, subsidiariamente, a que se le rebajara la condena de primera instancia.  En esta situación, el Juzgado de Instrucción confirmó la Sentencia y desestimó la nulidad de actuaciones por no resultar acreditado que el aviso de Correos aportado se correspondiera con el telegrama enviado por el Juzgado de Distrito en fecha 16 de noviembre de 1988 y entendió que el Juez a quo había actuado correctamente al considerar que el ahora solicitante de amparo había sido citado en legal forma y, en consecuencia, al celebrar el juicio, pese a su incomparecencia, pues no le había sido devuelto el telegrama ni se le había comunicado por aquel su recepción tardía.</w:t>
      </w:r>
    </w:p>
    <w:p w:rsidR="00FE0907" w:rsidRDefault="00FE0907" w:rsidP="00FE0907">
      <w:pPr>
        <w:pStyle w:val="TextoNormal"/>
      </w:pPr>
    </w:p>
    <w:p w:rsidR="00FE0907" w:rsidRDefault="00FE0907" w:rsidP="00FE0907">
      <w:pPr>
        <w:pStyle w:val="TextoNormal"/>
      </w:pPr>
      <w:r w:rsidRPr="00FE0907">
        <w:rPr>
          <w:rStyle w:val="NumeroAFNegritaCaracter"/>
        </w:rPr>
        <w:t>4</w:t>
      </w:r>
      <w:r>
        <w:t>. Ante la realidad de los hechos tenemos que valorar si el recurrente ha sufrido la indefensión que alega, con vulneración del art. 24.1 C.E. o, si esa supuesta indefensión ha sido debida, más que a la Sentencia impugnada, a su falta de diligencia y pericia, teniendo en cuenta que el amparo planteado dimana de un juicio de faltas en el que, aparte del recurrente, se hallan interesadas otras personas.</w:t>
      </w:r>
    </w:p>
    <w:p w:rsidR="00FE0907" w:rsidRDefault="00FE0907" w:rsidP="00FE0907">
      <w:pPr>
        <w:pStyle w:val="TextoNormal"/>
      </w:pPr>
      <w:r>
        <w:lastRenderedPageBreak/>
        <w:t>El parecer del Ministerio Fiscal, en su escrito de alegaciones, no puede ser compartido, pues, resulta más de la insatisfacción que le produce la falta de datos que no suministra al respecto el acta del juicio que de otra cosa, pero de ello no se puede concluir que no se han cumplido las previsiones legales en materia de citaciones, pues, como el mismo afirma, "no diciendo nada al respecto la Sentencia, la única noticia viene proporcionada por las manifestaciones de su Letrado -se refiere al Letrado del recurrente- en la vista de la apelación, de modo que de momento queda reflejado que la previsión legislativa del art. 271 L.O.P.J., no se ha cumplido en cuanto que las actuaciones no reflejan la constancia de la citación".  Lo que, en definitiva, le lleva a considerar que la Sentencia del Juzgado de Instrucción es contradictoria al admitir y al no admitir la existencia del telegrama de citación.</w:t>
      </w:r>
    </w:p>
    <w:p w:rsidR="00FE0907" w:rsidRDefault="00FE0907" w:rsidP="00FE0907">
      <w:pPr>
        <w:pStyle w:val="TextoNormal"/>
      </w:pPr>
      <w:r>
        <w:t>Esta apreciación del Ministerio Fiscal descansa fundamentalmente en las manifestaciones de la parte, sin que, por otro lado, se pueda decir que, en el presente caso, falte en absoluto constancia de que la citación no ha sido debidamente practicada que es lo que exige el art.  271 L.O.P.J., como resulta de los hechos controvertidos. Es más, ni siquiera lo niega el recurrente, puesto que se apoya en estos mismos hechos, lo único que niega es la apreciación de los mismos efectuada por el Juzgado de Instrucción.  Efectivamente, la citación se ajusta a las normas aplicables y se envía dentro de plazo, por telégrafo, con la antelación suficiente para que el emplazamiento quede efectuado con el tiempo debido (Decreto de 21 de noviembre de 1952; arts.  965 y 166 a 182 L.E.Crim. y art.  271 L.O.P.J.). El recurrente la recibe el mismo día de la celebración del juicio, hecho posterior sobrevenido que ha de hacer valer adecuadamente para la mejor defensa de su derecho.  Según las alegaciones de la contraparte, el recurrente tuvo conocimiento del juicio antes de que se celebrara, pero al saber de que se trataba, en vez de comparecer para pedir un aplazamiento o para defender su derecho, prefirió desentenderse, personándose en segunda instancia para alegar unicamente la nulidad de actuaciones.  Según sus propias alegaciones que acepta de plano el Ministerio Fiscal, el recurrente pretende que cuando recibió la citación ya no tenía tiempo de comparecer en el juicio y que, en vista de ello, no tenía otro camino que actuar como lo hizo.</w:t>
      </w:r>
    </w:p>
    <w:p w:rsidR="00FE0907" w:rsidRDefault="00FE0907" w:rsidP="00FE0907">
      <w:pPr>
        <w:pStyle w:val="TextoNormal"/>
      </w:pPr>
      <w:r>
        <w:t xml:space="preserve">Sin necesidad de pronunciarnos sobre cual de las dos versiones es la más verosímil, aun aceptando los hechos establecidos por el recurrente, podemos decidir en favor de la desestimación del recurso de amparo. Es cierto que, las normas sobre citaciones, no son meras formalidades procesales y que en toda clase de procedimientos garantizan la posibilidad de un juicio contradictorio para que no tenga lugar indefensión.  Asimismo, los Tribunales se hallan obligados al cumplimiento escrupuloso de tales normas para que se satisfaga plenamente la tutela judicial efectiva, como es doctrina reiterada de este Tribunal.  Pero también hay que tener en cuenta que la efectividad de este derecho fundamental, solo puede defenderse teniendo en cuenta los derechos fundamentales de todas las partes, cuya colaboración ha de procurar eliminar, sin daño para ninguna de ellas, las lesiones que podría originar la pasividad o negligencia en la conducción del proceso (SSTC 9/1981, 1/1983, 22/1987, 72/1988, 205/1988, 142/1989 etc.). Ahora bien, en el presente recurso, del retraso con que le llegó al recurrente la citación, no se deriva necesariamente una lesión material de su derecho fundamental, ya que interponiendo recurso de apelación contó con un juicio contradictorio, donde tuvo ocasión de hacer toda clase de alegaciones y servirse de los medios de prueba pertinentes. Sin embargo, en la vista de esta segunda instancia, en relación con la supuesta infracción, como ya queda reiterado, se limitó a alegar la nulidad de actuaciones no intentando valerse de ningún medio de prueba en relación con el telegrama sin conformar o adverar (art. 16.2 del Decreto de 21 de noviembre de 1952). Siendo esto así, la contestación que le da el Juzgado de Instrucción, no es contradictoria, </w:t>
      </w:r>
      <w:r>
        <w:lastRenderedPageBreak/>
        <w:t>como pretende el Ministerio Fiscal ni tampoco incorrecta o infundada. Todo lo cual, nos lleva a la conclusión de que no se ha producido la lesión constitucional que el recurrente atribuye a la Sentencia impugnada.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don Jesús Ocejo Calvo.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diez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1" w:name="SENTENCIA_1992_18"/>
      <w:r>
        <w:lastRenderedPageBreak/>
        <w:t>SENTENCIA 18/1992, de 10 de febrero de 1992</w:t>
      </w:r>
    </w:p>
    <w:bookmarkEnd w:id="21"/>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54, de 3 de marzo de 1992)</w:t>
      </w:r>
    </w:p>
    <w:p w:rsidR="00FE0907" w:rsidRDefault="00FE0907" w:rsidP="00FE0907">
      <w:pPr>
        <w:pStyle w:val="TtuloBOE"/>
      </w:pPr>
    </w:p>
    <w:p w:rsidR="00FE0907" w:rsidRDefault="00FE0907" w:rsidP="00FE0907">
      <w:pPr>
        <w:pStyle w:val="SntesisDescriptiva"/>
      </w:pPr>
      <w:r>
        <w:t>ECLI:ES:TC:1992:18</w:t>
      </w:r>
    </w:p>
    <w:p w:rsidR="00FE0907" w:rsidRDefault="00FE0907" w:rsidP="00FE0907">
      <w:pPr>
        <w:pStyle w:val="SntesisDescriptiva"/>
      </w:pPr>
    </w:p>
    <w:p w:rsidR="00FE0907" w:rsidRDefault="00FE0907" w:rsidP="00FE0907">
      <w:pPr>
        <w:pStyle w:val="SntesisDescriptiva"/>
      </w:pPr>
      <w:r>
        <w:t>Recurso de amparo 1.610/1989. Federación Española de Fútbol-Sala contra Sentencia de la Sala Especial del Tribunal Supremo, dictada en recurso extraordinario de revisión, estimatoria del recurso promovido por la Real Federación Española de Fútbol contra Sentencias anteriores del Tribunal Supremo y de la Audiencia Nacional.</w:t>
      </w:r>
    </w:p>
    <w:p w:rsidR="00FE0907" w:rsidRDefault="00FE0907" w:rsidP="00FE0907">
      <w:pPr>
        <w:pStyle w:val="SntesisDescriptiva"/>
      </w:pPr>
    </w:p>
    <w:p w:rsidR="00FE0907" w:rsidRDefault="00FE0907" w:rsidP="00FE0907">
      <w:pPr>
        <w:pStyle w:val="SntesisAnaltica"/>
      </w:pPr>
      <w:r>
        <w:t>Extemporaneidad de la acción</w:t>
      </w:r>
    </w:p>
    <w:p w:rsidR="00FE0907" w:rsidRDefault="00FE0907" w:rsidP="00FE0907">
      <w:pPr>
        <w:pStyle w:val="SntesisAnaltica"/>
      </w:pPr>
    </w:p>
    <w:p w:rsidR="00FE0907" w:rsidRDefault="00FE0907" w:rsidP="00FE0907">
      <w:pPr>
        <w:pStyle w:val="Extracto"/>
      </w:pPr>
      <w:r>
        <w:t>1.</w:t>
      </w:r>
      <w:r>
        <w:tab/>
        <w:t>El precepto contenido en el art. 50.1d) de la LOTC no encierra más que una cláusula de habilitación a este Tribunal para inadmitir recursos sobre cuestiones ya examinadas y decididas en resoluciones anteriores, conformadoras de una doctrina que el Tribunal no considere oportuno revisar en el momento, sin que tal precepto opere frente a los eventuales recurrentes como cláusula impeditiva de la interposición de una demanda de amparo; es, en todo caso, este Tribunal -no los demandantes- quien decide acerca de la aplicabilidad «ad casum» de la regla contenida en el art. 50.1 d), sin que los cálculos que sobre su concreta aplicación puedan aventurar los recurrentes les exima de atenerse al plazo de caducidad establecido en la LOTC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1.610/89, interpuesto por el Procurador de los Tribunales don Ignacio Corujo Pita, en nombre y representación de don Germán-Eduardo Rodríguez Conchado, de la Federación Española de Fútbol-Sala , representante de las asociaciones deportivas de fútbol-sala "COTISA", "DISCOTECA MANUEL", "PORVEN", "MARINEDA", "SURECO", "PASCUAL", "DECORACIONES PAMPIN", "PARQUE SIBONEY", "INDEPENDIENTE", "DRAGADOS Y CONSTRUCCIONES", "TECNOR", "GEF", "DISCOTECA CHAQUETON", "SUIN", "AGOCA P. CELTIA", "HUARTE", "OXFORD PUB", "DEINSA", "NARANJAS IBAÑEZ B", "J.B. FARIÑA", "SERMATICA", "MAESTRANZA", "TRADISCO", "TABOO", "THOMSON", "BANCO OCCI</w:t>
      </w:r>
      <w:r>
        <w:lastRenderedPageBreak/>
        <w:t>DENTAL", "SANCHEZ SEAT", "FRIGOLURO", "TALLERES CASTRO", "RENFE", "CHEINOS", "AUTOCARROCERIAS GALICIA", "ALUMINIOS GALICIA", "BOUTIQUE 2.000", "PORTO DO SON", "AFICO", "NARANJAS IBAÑEZ A", "GALICIA DE NOCHE", "MANHATTAN", "FOTO ESTUDIO ARTE", "BALPECAN", "GECA", "JOYERIA GARCIA", "MADERAS PETEIRO", "CAJA DE AHORROS", "VALCARCE", "BEXUMEIROS", "EX-ALCOHOLICOS", "DROGUERIA FREIXAN", "MAGDALENAS EL ZANGANO", "ROTULOS SOL", "ATLANTICA", "CONFECCIONES BALLESTA". Han comparecido el Abogado del Estado, el Ministerio Fiscal y, como codemandada, la Real Federación Española de Fútbol, representada por el Procurador de los Tribunales don José Pedro Vila Rodríguez y asistida por el Letrado don Fernando Lorente Hurtado. Ha sido Ponente el Presidente don Francisco Rubio Llorente,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registrado en este Tribunal el 29 de julio de 1989, don Ignacio Corujo Pita, Procurador de los Tribunales, interpuso, en la representación que ostenta, recurso de amparo contra la Sentencia de la Sala Especial del Tribunal Supremo de 8 de junio de 1989, dictada en el recurso extraordinario de revisión núm. 114/88, estimatoria del recurso promovido por la Real Federación Española de Fútbol contra las dictadas por la Sala Tercera del Tribunal Supremo, de 2 de noviembre de 1987, y por la Sección Segunda de la Sala de lo Contencioso-administrativo de la Audiencia Nacional, de 3 de abril de 1985, y que declara rescindidas tales Sentencias en cuanto anulan la Resolución del Consejo Superior de Deportes de 3 de noviembre de 1982, sobre reconocimiento e inscripción de la Federación Española de Fútbol-Sala.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fundamenta en los siguientes antecedentes: </w:t>
      </w:r>
    </w:p>
    <w:p w:rsidR="00FE0907" w:rsidRDefault="00FE0907" w:rsidP="00FE0907">
      <w:pPr>
        <w:pStyle w:val="TextoNormal"/>
      </w:pPr>
      <w:r>
        <w:t xml:space="preserve">a) El Consejo Superior de Deportes, por Resolución de 20 de enero de 1983, desestimó el recurso de reposición interpuesto por don Germán-Eduardo Rodríguez Conchado y don Manuel Estévez Mengotti contra la dictada por dicho Consejo, de 3 de noviembre de 1982, que denegaba la inscripción de la Federación Española de Fútbol-Sala en el Registro de Asociaciones y Federaciones Deportivas. Contra tales Resoluciones interpusieron los hoy recurrentes dos recursos contencioso-administrativos ante la Audiencia Nacional, uno de ellos al amparo de la Ley 62/1978. Este último recurso fue resuelto por Sentencia de 20 de julio de 1985, en la que se declara que las Resoluciones impugnadas no vulneran el derecho de asociación establecido en el art. 22 de la Constitución; en este procedimiento se planteó una cuestión de inconstitucionalidad resuelta por la STC 67/1985. La mencionada Sentencia fue confirmada en apelación por la de 5 de diciembre de 1985, del Tribunal Supremo. El recurso contencioso ordinario se resolvió por Sentencia de la Audiencia Nacional de 3 de abril de 1985, en la que se anula la Resolución del Consejo Superior de Deportes de 3 de noviembre de 1982 por entender que la inscripción había sido concedida por silencio positivo al haber transcurrido los seis meses a que se refiere el art. 6.4 del Real Decreto 177/1981 sin que la Administración resolviera expresamente. Recurrida esta resolución en apelación por el Abogado del Estado, la Sala Tercera del Tribunal Supremo dictó Sentencia de 2 de noviembre de 1987, confirmatoria de la anterior. </w:t>
      </w:r>
    </w:p>
    <w:p w:rsidR="00FE0907" w:rsidRDefault="00FE0907" w:rsidP="00FE0907">
      <w:pPr>
        <w:pStyle w:val="TextoNormal"/>
      </w:pPr>
      <w:r>
        <w:t xml:space="preserve">b) Por Auto de 22 de enero de 1985, la Sección Segunda de la Sala de lo Contencioso-administrativo de la Audiencia Nacional, que conocía de la ejecución de la Sentencia de 3 </w:t>
      </w:r>
      <w:r>
        <w:lastRenderedPageBreak/>
        <w:t xml:space="preserve">de abril de 1985, requirió al Consejo Superior de Deportes para que procediera de inmediato a la inscripción acordada. Por Orden del Ministerio de Cultura de 30 de enero de 1986 (B.O.E. de 4 de febrero) se procedió a la inscripción provisional de la Federación Española de Fútbol-Sala en los términos que establece el art. 15.2 de la Ley 13/1080, General de la Cultura Física y del Deporte, es decir, por un plazo de cuatro años. </w:t>
      </w:r>
    </w:p>
    <w:p w:rsidR="00FE0907" w:rsidRDefault="00FE0907" w:rsidP="00FE0907">
      <w:pPr>
        <w:pStyle w:val="TextoNormal"/>
      </w:pPr>
      <w:r>
        <w:t xml:space="preserve">c) Las dos Sentencias dictadas por el Tribunal Supremo en cada uno de los dos procedimientos fueron objeto de sendos recursos extraordinarios de revisión. La de 5 de diciembre de 1985 fue recurrida por los hoy demandantes de amparo, alegando como motivo de revisión el art. 102.1 a) de la L.J.C.A. y el art. 11 del Convenio Europeo para la Protección de los Derechos del Hombre y Libertades Fundamentales, ya que, a su juicio, el fallo de la Sentencia incurría en una contradicción al declarar, por una parte, que el acto impugnado era conforme a Derecho y, por otra, que tal acto no lesionaba el derecho de asociación, cuando éste no puede realizarse por la falta de inscripción. Este recurso de revisión fue resuelto por Sentencia de la Sala Especial del Tribunal Supremo de 30 de septiembre de 1987, que lo declaró improcedente. </w:t>
      </w:r>
    </w:p>
    <w:p w:rsidR="00FE0907" w:rsidRDefault="00FE0907" w:rsidP="00FE0907">
      <w:pPr>
        <w:pStyle w:val="TextoNormal"/>
      </w:pPr>
      <w:r>
        <w:t>d) La Sentencia del Tribunal Supremo de 2 de noviembre de 1987 fue recurrida en revisión por la Real Federación Española de Fútbol, alegando el motivo contemplado en el art. 102.1 b) de la L.J.C.A. dada la contradicción existente entre aquella resolución (dictada en el procedimiento ordinario) y la de 5 de diciembre de 1985 (resolutoria del recurso promovido al amparo de la Ley 62/1978). Tal recurso fue resuelto por Sentencia estimatoria de la Sala Especial del Tribunal Supremo de 8 de junio de 1989, en la que se declaran rescindidas las Sentencias del Tribunal Supremo de 2 de noviembre de 1987 y de la Audiencia Nacional de 3 de abril de 1985, en cuanto anulan la Resolución del Consejo Superior de Deportes de 3 de noviembre de 1982, Resolución que se declara conforme a Derecho, todo ello sin perjuicio del derecho de los interesados a ser calificados como asociaciones deportivas.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Se interpone recurso de amparo contra la Sentencia de 8 de junio de 1989 de la Sala Especial de Revisión del Tribunal Supremo. Entienden los demandantes que la citada Sentencia ha vulnerado sus derechos fundamentales establecidos en los arts. 22 y 23.2 de la Constitución. El primero, porque la Sentencia recurrida postula la desaparición de la Federación Española de Fútbol-Sala, obligando así a las asociaciones y deportistas que a ella pertenecen a asociarse con la Real Federación Española de Fútbol, con clara vulneración del derecho de asociación en su vertiente negativa, esto es, conculcando el derecho a no asociarse. El segundo, porque la resolución judicial impugnada niega a los recurrentes el derecho a ejercer funciones públicas como Federación inscrita en el Consejo Superior de Deportes; y lo hace, además, infringiendo su derecho a acceder al ejercicio de tales funciones con los requisitos que señalen las leyes (no se habría respetado el silencio positivo instaurado en el art. 6.4 del Real Decreto 177/1981), así como el derecho de acceso en condiciones de igualdad (dado que en otros supuestos similares se ha procedido a la inscripción en virtud de silencio positivo) y el derecho a no ser removidos de funciones o cargos públicos si no es por causas y procedimientos legalmente establecidos (pues desde la fecha de la inscripción provisional la Federación ha venido ejerciendo funciones públicas y sólo puede verse privada de tal ejercicio si media la declaración de lesividad de la Orden Ministerial de 30 de enero de 1986, de acuerdo con lo dispuesto en los arts. 110 L.P.A. y 56 L.J.C.A., nunca a través de una Sentencia dictada en revisión). </w:t>
      </w:r>
    </w:p>
    <w:p w:rsidR="00FE0907" w:rsidRDefault="00FE0907" w:rsidP="00FE0907">
      <w:pPr>
        <w:pStyle w:val="TextoNormal"/>
      </w:pPr>
      <w:r>
        <w:t>Se suplica de este Tribunal que dicte Sentencia en la que, otorgando el amparo solicitado, se decrete la nulidad de la Sentencia de 8 de junio de 1989 de la Sala Especial de Re</w:t>
      </w:r>
      <w:r>
        <w:lastRenderedPageBreak/>
        <w:t>visión del Tribunal Supremo y de las Resoluciones del Consejo Superior de Deportes de 3 de noviembre de 1982 y 20 de enero de 1983, reconociendo el derecho de los recurrentes a quedar inscritos como Federación para el ejercicio de la modalidad deportiva del fútbol-sala dentro del Registro del Consejo Superior de Deportes, imponiendo las costas a la Real Federación Española de Fútbol por su temeridad o mala fe demostrada con la interposición del recurso de revisión ante el Tribunal Supremo. Solicita asimismo, por otrosí, la suspensión de la ejecución de la Sentencia objeto del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la Sección Tercera de 18 de septiembre de 1989 se acordó admitir a trámite la demanda de amparo, así como requerir al Tribunal Supremo para que remitiera testimonio de los recursos de revisión núms. 114/88 y 10/86 y de los recursos de apelación núm. 2.086/85 y 1.866/85 (Sala Tercera) y a la Sección Segunda de la Sala de lo Contencioso-administrativo de la Audiencia Nacional para que aportara igualmente testimonio de las actuaciones correspondientes al recurso contencioso-administrativo tramitado bajo el núm. 23.920 y acumulados, interesándose al propio tiempo se emplazara a quienes hubiesen sido parte en la vía judicial, con excepción de los demandantes de amparo, haciendo constar en dicho emplazamiento la exclusión de quienes quisieran coadyuvar con los recurrentes o formular cualquier impugnación y les hubiera transcurrido ya el plazo que la LOTC establece para recurrir. </w:t>
      </w:r>
    </w:p>
    <w:p w:rsidR="00FE0907" w:rsidRDefault="00FE0907" w:rsidP="00FE0907">
      <w:pPr>
        <w:pStyle w:val="TextoNormal"/>
      </w:pPr>
      <w:r>
        <w:t>En la citada providencia se acordó no haber lugar a tener por adheridas al presente recurso a las Federaciones Territoriales de Fútbol-Sala que lo hacen representadas por el Procurador de los Tribunales don Juan Antonio García San Miguel y Orueta mediante escrito de 31 de julio de 1989.</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providencia de 2 de octubre de 1989 la Sección Tercera acordó tener por personado al Procurador de los Tribunales don Juan Corujo López Villamil en representación de los solicitantes de amparo, sustituyendo a su compañero don Ignacio Corujo Pita, entendiéndose con aquél las sucesivas diligencias.</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30 de octubre de 1989 se tuvo por comparecida y por parte en el presente proceso a la Real Federación Española de Fútbol, representada por el Procurador de los Tribunales don José Pedro Vila Rodríguez, entendiéndose con él las posteriores diligencias y ordenándose la incorporación a la pieza de suspensión del escrito de oposición a la misma.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Por Auto de 13 de noviembre de 1989, la Sala Segunda acordó la suspensión de la ejecución de la Sentencia recurrida. Interpuesto contra el mismo recurso de súplica por la Real Federación Española de Fútbol, la Sala Segunda dictó nuevo Auto de fecha 19 de diciembre de 1989, en el que se acuerda modificar parcialmente el anterior, condicionando la efectividad de la suspensión a la presentación por los recurrentes de caución que asegure la devolución, en su caso, de las subvenciones y demás cantidades que pudiesen percibir durante la pendencia del recurso de amparo y que pudieran corresponder, caso de que éste fuese denegado, a la Real Federación Española de Fútbol. Promovido incidente de ejecución de este último Auto por parte de los recurrentes, cuya tramitación se acordó por Auto de 12 de febrero de 1990, la Sala Segunda dictó nuevo Auto de fecha 12 de marzo de 1990, en el que se acordó fijar la cuantía de la caución señalada en el Auto de 19 de diciembre en cero pesetas y expedir, como se solicitaba, certificación del propio Auto y de </w:t>
      </w:r>
      <w:r>
        <w:lastRenderedPageBreak/>
        <w:t>los dictados en la pieza separada de suspensión. Promovido otro incidente de ejecución por parte de los recurrentes, la Sala Segunda acordó mediante Auto de 29 de octubre de 1990 mantener la suspensión de la ejecución de la Sentencia recurrida y que continuara en vigor la inscripción provisional de la Federación Española de Fútbol-Sala en el Registro de Asociaciones y Federaciones Deportivas del Consejo Superior de Deportes.</w:t>
      </w:r>
    </w:p>
    <w:p w:rsidR="00FE0907" w:rsidRDefault="00FE0907" w:rsidP="00FE0907">
      <w:pPr>
        <w:pStyle w:val="TextoNormal"/>
      </w:pPr>
    </w:p>
    <w:p w:rsidR="00FE0907" w:rsidRDefault="00FE0907" w:rsidP="00FE0907">
      <w:pPr>
        <w:pStyle w:val="TextoNormal"/>
      </w:pPr>
      <w:r w:rsidRPr="00FE0907">
        <w:rPr>
          <w:rStyle w:val="NumeroAFNegritaCaracter"/>
        </w:rPr>
        <w:t>8</w:t>
      </w:r>
      <w:r>
        <w:t>. Mediante providencia de la Sección Tercera de 4 de junio de 1990 se acordó acusar recibo de las actuaciones interesadas y finalmente remitidas tras varios escritos recordatorios de lo acordado en la Providencia de 18 de septiembre de 1989, así como dar vista de las mismas por plazo común de veinte días a la representación procesal de los demandantes de amparo y de la Federación Española de Fútbol y al Abogado del Estado y al Ministerio Fiscal para que formulasen las alegaciones que estimasen pertinentes.</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Por escrito registrado en este Tribunal el 25 de junio de 1990, la representación procesal de la Federación Española de Fútbol evacuó el trámite requerido. Comienza destacando que el acto contra el que debe entenderse dirigido el recurso de amparo es la Resolución del Consejo Superior de Deportes de 3 de noviembre de 1982 y no la Sentencia del Tribunal Supremo de 8 de junio de 1989, que no hace más que confirmar la corrección jurídica de aquélla, de manera que el marco procedimental del recurso viene dado por el art. 43 de la LOTC. Sentado lo anterior, se observa la concurrencia de varias causas de inadmisibilidad del recurso, que en este momento procesal serían de desestimación. En primer lugar, entiende la parte que la resolución judicial que pone fin al proceso previo al que se refiere el art. 43 LOTC no puede ser otra que la Sentencia de 30 de septiembre de 1987 dictada por el Tribunal Supremo en el recurso extraordinario de revisión interpuesto por los hoy demandantes contra la Sentencia de la Sala Tercera de ese Tribunal con la que concluyó el procedimiento de impugnación de las resoluciones del Consejo Superior de Deportes por la vía de la Ley 62/1978; y ello porque, de acuerdo con la doctrina de este Tribunal (así, STC 42/1989, fundamento jurídico 2º), el acceso al amparo queda abierto desde que se agota el procedimiento de la Ley 62/1978, aun cuando penda resolución en el recurso ordinario, cuyo objeto son las cuestiones de mera legalidad. De otro lado, tampoco se habría respetado el carácter subsidiario del recurso de amparo, toda vez que no se invocaron en la vía previa las supuestas vulneraciones constitucionales; así, el art. 23.2 C.E. ni siquiera se menciona en ninguna de las dos vías procesales transitadas por los recurrentes y el derecho de asociación en su vertiente negativa -única aducida en la demanda- tampoco se planteó en las vías antecedentes, en las cuales los recurrentes se centraron en su derecho a crear una Federación. </w:t>
      </w:r>
    </w:p>
    <w:p w:rsidR="00FE0907" w:rsidRDefault="00FE0907" w:rsidP="00FE0907">
      <w:pPr>
        <w:pStyle w:val="TextoNormal"/>
      </w:pPr>
      <w:r>
        <w:t xml:space="preserve">En un segundo orden de consideraciones, y por si el Tribunal no aceptara la concurrencia de las meritadas causas de inadmisión y entendiera que el verdadero objeto del recurso es la Sentencia impugnada por los recurrentes, sostiene la Real Federación Española de Fútbol que la demanda incurriría también en la falta de invocación de los derechos fundamentales conculcados, pues si estimaban los recurrentes que la rescisión de las Sentencias anteriores podría afectar a sus derechos constitucionales debieron ponerlo de manifiesto en la contestación a la demanda de revisión. </w:t>
      </w:r>
    </w:p>
    <w:p w:rsidR="00FE0907" w:rsidRDefault="00FE0907" w:rsidP="00FE0907">
      <w:pPr>
        <w:pStyle w:val="TextoNormal"/>
      </w:pPr>
      <w:r>
        <w:t xml:space="preserve">Subsidiariamente, procedería también desestimar el presente recurso por no haberse producido ninguna de las violaciones de derechos fundamentales denunciadas. Tras indicar que lo pretendido por los recurrentes rebasa el ámbito de competencias de este Tribunal por reducirse tal pretensión a solicitar que aquél se pronuncie acerca de si el fútbol-sala es o no una modalidad del fútbol en general o de si el retraso de la Administración en </w:t>
      </w:r>
      <w:r>
        <w:lastRenderedPageBreak/>
        <w:t xml:space="preserve">resolver puede otorgar derechos que no podrían haberse otorgado, por contrarios al ordenamiento, de forma expresa, y después de señalar que la no inscripción de la Federación Española de Fútbol-Sala se debió en realidad al no cumplimiento de todos los requisitos establecidos en la Ley 13/1980 y en el Real Decreto 177/1981 la Real Federación Española de Fútbol pasa a demostrar que, a su juicio, no ha habido vulneración alguna del art. 23.2 C.E. -que no contempla la atribución a un ente asociativo privado de funciones objetivamente administrativas- ya que ni se han satisfecho los requisitos legalmente establecidos para la constitución de Federaciones, ni los supuestos aportados como términos de comparación para demostrar un presunto trato desigual presentan con el aquí debatido una mínima identidad, ni, por último, puede sostenerse que una resolución judicial no sea medio adecuado para remover a una Federación del ejercicio de sus funciones. Finalmente, y por lo que se refiere a la supuesta infracción del art. 22 C.E., entiende la parte que en ningún momento se ha obligado a los recurrentes a asociarse a la Real Federación Española de Fútbol, siendo una cuestión distinta el que si desean participar en competiciones oficiales las asociaciones deportivas deban adscribirse a una Federación (art. 12.2 Ley 13/1980). Lo que en realidad pretenderían los recurrentes es tener el derecho de elegir una Federación, cosa imposible desde el momento en que sólo puede existir una por cada modalidad deportiva. </w:t>
      </w:r>
    </w:p>
    <w:p w:rsidR="00FE0907" w:rsidRDefault="00FE0907" w:rsidP="00FE0907">
      <w:pPr>
        <w:pStyle w:val="TextoNormal"/>
      </w:pPr>
      <w:r>
        <w:t>Por las razones expresadas se termina suplicando que se dicte Sentencia desestimatoria, bien por concurrir las causas de inadmisión señaladas, bien por no haberse producido vulneración de derechos fundamentales.</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El 27 de junio de 1990 se registró el escrito de alegaciones del Ministerio Fiscal. Tras exponer brevemente los antecedentes del caso, señala el Ministerio Fiscal que la demanda incurre en un vicio de extemporaneidad, ya que la supuesta vulneración de derechos fundamentales resultaría de las Resoluciones del Consejo Superior de Deportes y respecto de las mismas la vía judicial precedente concluyó con anterioridad a la Sentencia impugnada en este recurso de amparo. Con todo, centra su oposición en el hecho de que en ninguna de las vías judiciales antecedentes se hizo invocación de los preceptos constitucionales presuntamente infringidos. En lo que al fondo del asunto se refiere, considera el Ministerio Fiscal que no se ha vulnerado ningún derecho fundamental de los recurrentes. Sin entrar a discutir si las Federaciones ejercen o no funciones públicas y están por ello amparadas por el art. 23.2 C.E., estaría claro, por un lado, que la denegación de la inscripción se fundamenta, motivadamente, en la no satisfacción de todos los requisitos legalmente establecidos al efecto -cuestión ésta que no corresponde fiscalizar, en cuanto a su corrección, al Tribunal Constitucional- ; por otro, que los términos de comparación aportados para demostrar un presunto trato desigual en perjuicio de los recurrentes no presentan ninguna identidad con el caso debatido; y, finalmente, que, frente a lo sostenido por los recurrentes, la Sentencia impugnada no les ha removidode función alguna y que la pretendida falta de legitimación de la Federación recurrente en revisión no puede traerse ahora a este proceso a través del art. 23.2 C.E. Respecto de la vulneración del derecho de asociación en su vertiente negativa, entiende el Ministerio Fiscal que la incorporación a una Federación no constituye una asociación: federarse y asociarse son dos cosas claramente diversas. Lo que en el fondo plantea la demanda es la posibilidad de actuar deportivamente fuera de la Federación, cuestión que en ningún momento previo ha sido planteada y que no puede reconducirse al objeto que ha sido de todas las actuaciones judiciales: si el fútbol-sala es cosa diferente del fútbol. Se concluye suplicando del Tribunal que dicte </w:t>
      </w:r>
      <w:r>
        <w:lastRenderedPageBreak/>
        <w:t>Sentencia desestimatoria, ya sea por inadmisibilidad de la demanda o por no haberse producido las vulneraciones denunciadas.</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Las alegaciones del Abogado del Estado se registraron en este Tribunal el 29 de junio de 1990. Comienza señalando que, al menos en su núcleo, las supuestas infracciones de derechos fundamentales no pueden imputarse a la Sentencia impugnada, sino al acto administrativo que aquélla declara ajustado a Derecho, razón por la cual el recurso, en su parte más significativa, ha de encuadrarse en el art. 43 de la LOTC. Con todo, el presente sería un recurso mixto, pues una parte del amparo puede incluirse en la esfera del art. 44 LOTC, pudiendo imputarse algunas supuestas infracciones del derecho a acceder a la función pública en condiciones de igualdad y del derecho a no ser removido de la misma a la Sentencia recurrida. </w:t>
      </w:r>
    </w:p>
    <w:p w:rsidR="00FE0907" w:rsidRDefault="00FE0907" w:rsidP="00FE0907">
      <w:pPr>
        <w:pStyle w:val="TextoNormal"/>
      </w:pPr>
      <w:r>
        <w:t xml:space="preserve">La complejidad en el objeto y contenido del amparo determinaría que algunas causas de inadmisión sólo tengan alcance par cial y relativo a algunas de las infracciones aducidas. Teniendo en cuenta que contra la Resolución del Consejo Superior de Deportes se siguieron dos vías procesales diferentes -la ordinaria y la de la Ley 62/1978- planteándose en la primera cuestiones de legalidad e invocando en la segunda la infracción del derecho de asociación, y que la vía especial concluyó con Sentencia desestimatoria contra la que no se procedió en amparo, finalizando la ordinaria con la Sentencia contra la que ahora se recurre, parece evidente que concurren varias causas de inadmisión. Respecto de la infracción del art. 23.2 no se ha invocado el derecho vulnerado en ninguno de los dos procedimientos; por su parte, la lesión de la libertad negativa de asociación o se considera implícita en la lesión del art. 22 aducida en la vía especial -y, en ese caso, el recurso de amparo es extemporáneo- o bien debió plantearse, y no se hizo, en la vía ordinaria, faltando en este último supuesto la invocación del derecho conculcado. </w:t>
      </w:r>
    </w:p>
    <w:p w:rsidR="00FE0907" w:rsidRDefault="00FE0907" w:rsidP="00FE0907">
      <w:pPr>
        <w:pStyle w:val="TextoNormal"/>
      </w:pPr>
      <w:r>
        <w:t xml:space="preserve">Se sostiene, además, que las personas físicas recurrentes carecen de interés legítimo para recurrir, pues hay que referir a la Federación Española de Fútbol-Sala la legitimación para pedir el amparo sobre la base del art. 23.2 C.E. y a los clubes la relativa a la violación de la libertad negativa de asociarse. Considera, por último, improcedente la petición de que se condene en costas a la Real Federación Española de Fútbol por haber interpuesto el recurso de revisión del que resulta la Sentencia impugnada. </w:t>
      </w:r>
    </w:p>
    <w:p w:rsidR="00FE0907" w:rsidRDefault="00FE0907" w:rsidP="00FE0907">
      <w:pPr>
        <w:pStyle w:val="TextoNormal"/>
      </w:pPr>
      <w:r>
        <w:t xml:space="preserve">Subsidiariamente procede a examinar el fondo del asunto, afirmando que no se ha producido ninguna de las vulneraciones denunciadas. No ha habido infracción del art. 23.2 C.E., en primer lugar, porque el derecho en él consagrado no tiene más titulares que las personas físicas (SSTC 53/1982, 23/1983, 217/1988). Abstracción hecha de lo anterior, dado que las funciones públicas deportivas no son de representación política, el derecho del art. 23.2 se ciñe a la quiebra de la igualdad (STC 24/1990). La denegación de la inscripción de la Federación recurrente se fundamentó en el no cumplimiento de los requisitos legalmente establecidos y la interpretación de tales requisitos, cuando no se trata de funciones de representación política, es cuestión de mera legalidad (STC 24/1990), sobre la que nada puede decir este Tribunal, como tampoco puede pronunciarse sobre si la estimación del recurso de revisión fue o no jurídicamente correcta, entre otras cosas porque falta en la demanda toda invocación al art. 24.1 C.E. Tampoco puede admitirse la denunciada quiebra de la igualdad en el acceso a las funciones públicas deportivas, pues ninguno de los términos de comparación aportados es procedente (órganos judiciales distintos, supuestos no equiparables, el hecho de que la referencia al no reconocimiento por el C.O.I. contenida en la Sentencia impugnada es un mero obiter dictum y el dato de que el acuerdo suscrito entre dos asociaciones de clubes es anterior a la Sentencia impugnada y posterior </w:t>
      </w:r>
      <w:r>
        <w:lastRenderedPageBreak/>
        <w:t xml:space="preserve">a la Resolución administrativa denegatoria de la inscripción). Por último, tampoco se ha infringido el derecho de no remoción, pues ni ha existido acto declarativo de derechos ni puede sostenerse que la Sentencia impugnada no sea título jurídico suficiente para incidir en la esfera jurídica de una de las partes de este recurso. </w:t>
      </w:r>
    </w:p>
    <w:p w:rsidR="00FE0907" w:rsidRDefault="00FE0907" w:rsidP="00FE0907">
      <w:pPr>
        <w:pStyle w:val="TextoNormal"/>
      </w:pPr>
      <w:r>
        <w:t xml:space="preserve">En cuanto a la vulneración de la libertad de asociación, entiende el Abogado del Estado que lo que verdaderamente se discute en el presente recurso es cuál debe ser la federación única (art. 14.3 de la Ley 13/1989) en la modalidad deportiva fútbol-sala, algo que nada tiene que ver con el art. 22 C.E.; a continuación, y para terminar, a efectos puramente dialécticos -pues tampoco es esa una cuestión suscitada por los recurrentes-, argumenta en el sentido de que la libertad negativa de asociación no padece por el estímulo que la Ley 13/1980 da a la adscripción de los clubes a la Federación, pues el régimen de la adscripción estimulada estaría suficientemente justificado por el art. 43.3 C.E. </w:t>
      </w:r>
    </w:p>
    <w:p w:rsidR="00FE0907" w:rsidRDefault="00FE0907" w:rsidP="00FE0907">
      <w:pPr>
        <w:pStyle w:val="TextoNormal"/>
      </w:pPr>
      <w:r>
        <w:t>El escrito de alegaciones concluye suplicando del Tribunal que dicte Sentencia totalmente denegatoria del amparo pretendido y que, en atención a la duración del proceso, a su trascendencia para el ordenamiento deportivo español y a las graves dudas jurídicas que plantea la actual situación, se señale a la mayor brevedad para votación y fallo del asunto.</w:t>
      </w:r>
    </w:p>
    <w:p w:rsidR="00FE0907" w:rsidRDefault="00FE0907" w:rsidP="00FE0907">
      <w:pPr>
        <w:pStyle w:val="TextoNormal"/>
      </w:pPr>
    </w:p>
    <w:p w:rsidR="00FE0907" w:rsidRDefault="00FE0907" w:rsidP="00FE0907">
      <w:pPr>
        <w:pStyle w:val="TextoNormal"/>
      </w:pPr>
      <w:r w:rsidRPr="00FE0907">
        <w:rPr>
          <w:rStyle w:val="NumeroAFNegritaCaracter"/>
        </w:rPr>
        <w:t>12</w:t>
      </w:r>
      <w:r>
        <w:t>. La representación procesal de los recurrentes presentó su escrito de alegaciones el 6 de julio de 1990. Se reitera en él la denuncia de que, declarado por silencio positivo el derecho de los demandantes a constituirse en Federación y quedar inscritos en el correspondiente Registro, dicho acto declarativo de derecho sólo puede ser anulado a través del recurso de lesividad -que debió interponerse antes del 22 de octubre de 1986, fecha en la que, pasados los cuatros años de provisionalidad de la inscripción, adquirió firmeza el acto presunto por silencio-, no mediante una Sentencia como la ahora impugnada. Tras unas referencias a ciertas actuaciones del Consejo Superior de Deportes de las que deducen los recurrentes una actitud de la Administración poco respetuosa con el carácter sub iudice de la cuestión sometida al conocimiento de este Tribunal y después de reiterar que la modalidad deportiva del fútbol-sala es completamente diferente al fútbol, lo que justifica la existencia de una Federación específica para aquel deporte, se centra el escrito de alegaciones en las vulneraciones de derechos fundamentales en las que a su juicio ha incurrido la Sentencia impugnada, reproduciendo prácticamente lo ya aducido en la demanda. Suplicando que continúe el procedimiento hasta dictar Sentencia estimatoria, concluye este escrito solicitando que se tenga por promovido incidente de ejecución de la pieza separada de suspensión y se adopten las medidas necesarias para preservar los efectos de los Autos dictados en dicha pieza, dado que en un próximo Pleno del Consejo Superior de Deportes habría de discutirse acerca de la confirmación o denegación de la inscripción provisional de la Federación Española de Fútbol-Sala.</w:t>
      </w:r>
    </w:p>
    <w:p w:rsidR="00FE0907" w:rsidRDefault="00FE0907" w:rsidP="00FE0907">
      <w:pPr>
        <w:pStyle w:val="TextoNormal"/>
      </w:pPr>
    </w:p>
    <w:p w:rsidR="00FE0907" w:rsidRDefault="00FE0907" w:rsidP="00FE0907">
      <w:pPr>
        <w:pStyle w:val="TextoNormal"/>
      </w:pPr>
      <w:r w:rsidRPr="00FE0907">
        <w:rPr>
          <w:rStyle w:val="NumeroAFNegritaCaracter"/>
        </w:rPr>
        <w:t>13</w:t>
      </w:r>
      <w:r>
        <w:t>. Por providencia de 16 de julio de 1990 la Sección Tercera acordó incorporar al proceso los escritos de alegaciones presentados por las partes, el Ministerio Fiscal y el Abogado del Estado, así como declarar que no ha lugar a la tramitación del incidente de ejecución de la pieza de suspensión promovido por los recurrentes en su escrito de alegaciones, por tratarse lo allí alegado de una mera hipótesis de un acontecimiento futuro.</w:t>
      </w:r>
    </w:p>
    <w:p w:rsidR="00FE0907" w:rsidRDefault="00FE0907" w:rsidP="00FE0907">
      <w:pPr>
        <w:pStyle w:val="TextoNormal"/>
      </w:pPr>
    </w:p>
    <w:p w:rsidR="00FE0907" w:rsidRDefault="00FE0907" w:rsidP="00FE0907">
      <w:pPr>
        <w:pStyle w:val="TextoNormal"/>
      </w:pPr>
      <w:r w:rsidRPr="00FE0907">
        <w:rPr>
          <w:rStyle w:val="NumeroAFNegritaCaracter"/>
        </w:rPr>
        <w:t>14</w:t>
      </w:r>
      <w:r>
        <w:t xml:space="preserve">. Mediante providencia de 15 de abril de 1991 la Sección Tercera acordó tener por parte en nombre de la Federación Española de Fútbol-Sala al Procurador de los Tribunales don Juan Antonio García San Miguel y Orueta, en sustitución de su compañero fallecido </w:t>
      </w:r>
      <w:r>
        <w:lastRenderedPageBreak/>
        <w:t>don Juan Corujo López Villamil y requerir a los otros recurrentes para que, ante el fallecimiento del Procurador que los representaba, comparezcan en forma con nueva representación procesal, librándose al efecto las correspondientes comunicaciones al Juzgado Decano de los de Primera Instancia de La Coruña.</w:t>
      </w:r>
    </w:p>
    <w:p w:rsidR="00FE0907" w:rsidRDefault="00FE0907" w:rsidP="00FE0907">
      <w:pPr>
        <w:pStyle w:val="TextoNormal"/>
      </w:pPr>
    </w:p>
    <w:p w:rsidR="00FE0907" w:rsidRDefault="00FE0907" w:rsidP="00FE0907">
      <w:pPr>
        <w:pStyle w:val="TextoNormal"/>
      </w:pPr>
      <w:r w:rsidRPr="00FE0907">
        <w:rPr>
          <w:rStyle w:val="NumeroAFNegritaCaracter"/>
        </w:rPr>
        <w:t>15</w:t>
      </w:r>
      <w:r>
        <w:t>. Por providencia de 18 de julio de 1991 se acordó tener por comparecido al Procurador de los Tribunales don Juan Antonio García San Miguel y Orueta, en nombre de don Germán-Eduardo Rodríguez Conchado y de las cincuenta y tres asociaciones deportivas que en la demanda aparecían representadas por don Manuel Estévez Mengotti.</w:t>
      </w:r>
    </w:p>
    <w:p w:rsidR="00FE0907" w:rsidRDefault="00FE0907" w:rsidP="00FE0907">
      <w:pPr>
        <w:pStyle w:val="TextoNormal"/>
      </w:pPr>
    </w:p>
    <w:p w:rsidR="00FE0907" w:rsidRDefault="00FE0907" w:rsidP="00FE0907">
      <w:pPr>
        <w:pStyle w:val="TextoNormal"/>
      </w:pPr>
      <w:r w:rsidRPr="00FE0907">
        <w:rPr>
          <w:rStyle w:val="NumeroAFNegritaCaracter"/>
        </w:rPr>
        <w:t>16</w:t>
      </w:r>
      <w:r>
        <w:t>. Por providencia de 26 de septiembre de 1991, y a la vista del contenido de las manifestaciones de don Manuel Estévez Mengotti en diligencia ante el Secretario del juzgado de Primera Instancia núm. 4 de La Coruña, de fecha 10 de mayo de 1991, en el sentido de que no tiene en el momento ninguna relación con las entidades recurrentes, se acordó tenerlo por desistido y apartado de la prosecución del presente recurso.</w:t>
      </w:r>
    </w:p>
    <w:p w:rsidR="00FE0907" w:rsidRDefault="00FE0907" w:rsidP="00FE0907">
      <w:pPr>
        <w:pStyle w:val="TextoNormal"/>
      </w:pPr>
    </w:p>
    <w:p w:rsidR="00FE0907" w:rsidRDefault="00FE0907" w:rsidP="00FE0907">
      <w:pPr>
        <w:pStyle w:val="TextoNormal"/>
      </w:pPr>
      <w:r w:rsidRPr="00FE0907">
        <w:rPr>
          <w:rStyle w:val="NumeroAFNegritaCaracter"/>
        </w:rPr>
        <w:t>17</w:t>
      </w:r>
      <w:r>
        <w:t>. Por providencia de 19 de diciembre de 1991, se señaló para deliberación y votación de la Sentencia el día 27 de enero, quedando conclusa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Dos son las causas de inadmisibilidad denunciadas tanto por la entidad codemandada como por el Ministerio Fiscal y el Abogado del Estado, razón por la cual, y con carácter previo a cualquier consideración sobre el fondo del asunto, procede examinar su concurrencia, que en este momento procesal supondría la desestimación del presente recurso de amparo.</w:t>
      </w:r>
    </w:p>
    <w:p w:rsidR="00FE0907" w:rsidRDefault="00FE0907" w:rsidP="00FE0907">
      <w:pPr>
        <w:pStyle w:val="TextoNormal"/>
      </w:pPr>
      <w:r>
        <w:t>Las supuestas vulneraciones de derechos fundamentales denunciadas por los recurrentes traen su causa de la Resolución del Consejo Superior de Deportes de 3 de noviembre de 1982, denegatoria de la inscripción de la Federación Española de Fútbol-Sala en el Registro de Asociaciones y Federaciones Deportivas, si bien los demandantes erigen en objeto inmediato del presente recurso a la Sentencia de la Sala Especial del Tribunal Supremo de 8 de junio de 1989, que declara ajustada a Derecho aquel acto administrativo. En la medida en que esta resolución judicial no es objeto de una impugnación autónoma, sino que se recurre en tanto que confirmatoria del acto generador de la supuesta vulneración de los derechos constitucionales de los recurrentes, ha de entenderse que el marco procedimental de este recurso no puede ser otro que el establecido en el art. 43 de la LOTC. Así resulta, en efecto, no sólo de la constatación de que en la mencionada Resolución del C.S.D. se encuentra el origen último de la infracción denunciada, sino también de la circunstancia de que la no invocación del art. 24 C.E. en la demanda de amparo evidencia que, en la opinión de los recurrentes, la Sentencia del Tribunal Supremo sólo constituye la culminación de un proceso judicial previo en el que, lejos de procederse a la reparación de sus derechos, se confirma la conculcación que de los mismos se ha operado con la Resolución del C.S.D., siendo tal confirmación el único motivo de impugnación de la Sentencia. Cierto que en la demanda se exponen las razones que a juicio de los recurrentes impedían reconocer a la Real Federación Española de Fútbol la legitimación necesaria para instar el procedimiento de revisión del que dimana la Sentencia formalmente impugnada, pero cier</w:t>
      </w:r>
      <w:r>
        <w:lastRenderedPageBreak/>
        <w:t>to también que ni en la demanda de amparo se invoca en ningún momento, expresa o implícitamente, una presunta vulneración del art. 24 de la Constitución, ni la excepción de inadmisibilidad opuesta ante el Tribunal Supremo se fundamenta en otras razones que el contenido del art. 14.3 de la Ley 132/1980 y la especificidad del fútbol-sala como modalidad deportiva no equiparable al fútbol, razones todas ellas que, a partir de una interpretación de la legalidad que no puede aquí cuestionarse, fueron desestimadas por el Tribunal Supremo.</w:t>
      </w:r>
    </w:p>
    <w:p w:rsidR="00FE0907" w:rsidRDefault="00FE0907" w:rsidP="00FE0907">
      <w:pPr>
        <w:pStyle w:val="TextoNormal"/>
      </w:pPr>
    </w:p>
    <w:p w:rsidR="00FE0907" w:rsidRDefault="00FE0907" w:rsidP="00FE0907">
      <w:pPr>
        <w:pStyle w:val="TextoNormal"/>
      </w:pPr>
      <w:r w:rsidRPr="00FE0907">
        <w:rPr>
          <w:rStyle w:val="NumeroAFNegritaCaracter"/>
        </w:rPr>
        <w:t>2</w:t>
      </w:r>
      <w:r>
        <w:t>. Así delimitados el objeto y el marco procesal del presente recurso, es evidente que procede estimar la concurrencia de la causa de inadmisibilidad -en este momento, de desestimación- establecida en el art. 50.1 a) de la LOTC, en relación con el art.  43.2 del mismo texto normativo. Y ello porque, instados frente a la Resolución del C.S.D. dos procesos judiciales paralelos -uno por la vía ordinaria, en el que sólo se discute si la inscripción pretendida debe o no entenderse concedida por silencio administrativo, esto es, una cuestión de mera legalidad, y otro a través del procedimiento de la Ley 62/1978, centrado en la posible vulneración del derecho de asociación- y concluido por Sentencia del Tribunal Supremo de 30 de septiembre de 1987 el proceso tramitado de conformidad con lo dispuesto en la Ley de Protección Jurisdiccional de los Derechos Fundamentales, es evidente (así, STC 42/1989, entre otras) que la resolución judicial con la que concluye el proceso previo al que se refiere el art.  43 de la LOTC es esta última Sentencia y no la tomada por los recurrentes como término de referencia, esto es, la de 8 de junio de 1989. La demanda de amparo es pues manifiestamente extemporánea.</w:t>
      </w:r>
    </w:p>
    <w:p w:rsidR="00FE0907" w:rsidRDefault="00FE0907" w:rsidP="00FE0907">
      <w:pPr>
        <w:pStyle w:val="TextoNormal"/>
      </w:pPr>
      <w:r>
        <w:t>Pudiera oponerse a esta conclusión el argumento de que hubiera resultado previsiblemente inviable un recurso de amparo contra la Sentencia que puso fin al procedimiento de la Ley 62/1978, dado que en el trámite de admisión habría podido oponerse la causa de inadmisibilidad establecida en el art. 50.1 d) de la LOTC, por haber resuelto este Tribunal una cuestión de inconstitucionalidad promovida precisamente en el curso del procedimiento de la Ley 62/1978. En efecto, resuelta dicha cuestión por la STC 67/1985 -en la que se declararon conformes a la Constitución las normas fundamentadoras de la resolución judicial cuyo contenido vendría de nuevo a discutirse-, cabría pensar que un eventual recurso de amparo contra la Sentencia que puso fin al procedimiento especial hubiera sido inadmitido en aplicación de lo dispuesto en el art.  50.1 d) de la LOTC, no pudiendo exigirse a los recurrentes que promuevan recursos que razonablemente están de inicio condenados a no prosperar.</w:t>
      </w:r>
    </w:p>
    <w:p w:rsidR="00FE0907" w:rsidRDefault="00FE0907" w:rsidP="00FE0907">
      <w:pPr>
        <w:pStyle w:val="TextoNormal"/>
      </w:pPr>
      <w:r>
        <w:t xml:space="preserve">Aun si así fuere, tampoco cabe llegar a una decisión que no sea la de apreciar la concurrencia de una de las causas de inadmisibilidad establecidas en el art. 50.1 de la LOTC. El recurso es, desde luego, extemporáneo, porque el precepto contenido en el art. 50.1 d) de la LOTC no encierra más que una cláusula de habilitación a este Tribunal para inadmitir recursos sobre cuestiones ya examinadas y decididas en resoluciones anteriores, conformadoras de una doctrina que el Tribunal no considere oportuno revisar en el momento, sin que tal precepto opere frente a los eventuales recurrentes como cláusula impeditiva de la interposición de una demanda de amparo; es, en todo caso, este Tribunal -no los demandantes- quien decide acerca de la aplicabilidad ad casum de la regla contenida en el art.  50.1 d), sin que los cálculos que sobre su concreta aplicación puedan aventurar los recurrentes les exima de atenerse al plazo de caducidad establecido en la LOTC. Pero si, hipotéticamente, se admitiese que la inviabilidad de un eventual recurso de amparo contra la Sentencia del Tribunal Supremo de 30 de septiembre de 1987 obliga a no tener el presente recurso por extemporáneo, cabría oponer ahora la causa de inadmisión contemplada en el </w:t>
      </w:r>
      <w:r>
        <w:lastRenderedPageBreak/>
        <w:t>art.  50.1 d) de la LOTC, dado que al no tener este Tribunal intención de separarse de la doctrina sentada en la STC 67/1985, puede oponerse en este momento aquella causa al presente recurso de amparo en lo que tiene de reproducción frente a la Sentencia del Tribunal Supremo de 8 de junio de 1989 de los argumentos que sólo serían esgrimibles frente a la que puso fin a la dictada en el procedimiento de la Ley 62/1978, toda vez que la cuestión debatida fue ya resuelta en la citada STC 67/1985.</w:t>
      </w:r>
    </w:p>
    <w:p w:rsidR="00FE0907" w:rsidRDefault="00FE0907" w:rsidP="00FE0907">
      <w:pPr>
        <w:pStyle w:val="TextoNormal"/>
      </w:pPr>
    </w:p>
    <w:p w:rsidR="00FE0907" w:rsidRDefault="00FE0907" w:rsidP="00FE0907">
      <w:pPr>
        <w:pStyle w:val="TextoNormal"/>
      </w:pPr>
      <w:r w:rsidRPr="00FE0907">
        <w:rPr>
          <w:rStyle w:val="NumeroAFNegritaCaracter"/>
        </w:rPr>
        <w:t>3</w:t>
      </w:r>
      <w:r>
        <w:t>. Apreciada la extemporaneidad del recurso en lo que tiene de planteamiento de cuestiones que debieron traerse ante este Tribunal frente a la Sentencia del Tribunal Supremo de 30 de septiembre de 1987, y constriñéndose así la cuestión ahora debatible a las posibles infracciones constitucionales directa o indirectamente imputables a la Sentencia de 8 de junio de 1989 contra la que expresamente se dirigen los demandantes de amparo, procede oponer como motivo de desestimación, de un lado, el hecho de que los preceptos constitucionales en los que se fundamenta la demanda no han sido invocados en ningún momento en la fase judicial antecedente -habiendo debido hacerse en el trámite de contestación a la demanda-, con lo que se desvirtúa el carácter subsidiario del recurso de amparo; desde luego no lo ha sido el art. 23.2, cuya invocación se verifica por vez primera en la demanda de amparo, y tampoco el art. 22 en su vertiente de derecho a no asociarse, al que ni siquiera en el proceso previo de la Ley 62/1978 se hizo referencia alguna, centrándose en aquel momento los recurrentes en la defensa de su derecho a constituir una asociación. De otro, el que, según se ha señalado, la Sentencia del Tribunal Supremo de 8 de junio de 1989 ha resultado de un procedimiento en el que únicamente se plantearon cuestiones de legalidad ordinaria que, resueltas de manera razonada y no arbitraria por los órganos judiciales ordinarios, no pueden ser revisadas por este Tribunal, no cabiendo más que circunscribir en su caso el recurso a las posibles vulneraciones de derechos fundamentales inmediatamente imputables a la referida Sentencia, cosa que -ante la inexistencia de toda alusión expresa o tácita al art. 24 de la Constitución- resulta a todas luces manifiestamente inviable. En estas circunstancias, es evidente la improcedencia de cualquier pronunciamiento sobre el fondo del asunto debatido.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interpuesto por don Germán Eduardo Rodríguez Conchado, cincuenta y tres clubs de fútbol-sala y la Federación Española de Fútbol-Sala y levantar la suspensión de la Sentencia recurrida.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diez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2" w:name="SENTENCIA_1992_19"/>
      <w:r>
        <w:lastRenderedPageBreak/>
        <w:t>SENTENCIA 19/1992, de 14 de febrero de 1992</w:t>
      </w:r>
    </w:p>
    <w:bookmarkEnd w:id="22"/>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ECLI:ES:TC:1992:19</w:t>
      </w:r>
    </w:p>
    <w:p w:rsidR="00FE0907" w:rsidRDefault="00FE0907" w:rsidP="00FE0907">
      <w:pPr>
        <w:pStyle w:val="SntesisDescriptiva"/>
      </w:pPr>
    </w:p>
    <w:p w:rsidR="00FE0907" w:rsidRDefault="00FE0907" w:rsidP="00FE0907">
      <w:pPr>
        <w:pStyle w:val="SntesisDescriptiva"/>
      </w:pPr>
      <w:r>
        <w:t>Recurso de amparo 1.685/1988. Contra Sentencia del Juzgado de Instrucción núm. 1 de Madrid, dictada en apelación de la del Juzgado de Distrito núm. 30 igualmente de Madrid, en juicio de faltas por accidente de tráfico con resultado de muerte.</w:t>
      </w:r>
    </w:p>
    <w:p w:rsidR="00FE0907" w:rsidRDefault="00FE0907" w:rsidP="00FE0907">
      <w:pPr>
        <w:pStyle w:val="SntesisDescriptiva"/>
      </w:pPr>
    </w:p>
    <w:p w:rsidR="00FE0907" w:rsidRDefault="00FE0907" w:rsidP="00FE0907">
      <w:pPr>
        <w:pStyle w:val="SntesisAnaltica"/>
      </w:pPr>
      <w:r>
        <w:t>Vulneración del derecho a la tutela judicial efectiva: "reformatio in peius" (revisión indebida de la declaración relativa al nacimiento de la acción civil)</w:t>
      </w:r>
    </w:p>
    <w:p w:rsidR="00FE0907" w:rsidRDefault="00FE0907" w:rsidP="00FE0907">
      <w:pPr>
        <w:pStyle w:val="SntesisAnaltica"/>
      </w:pPr>
    </w:p>
    <w:p w:rsidR="00FE0907" w:rsidRDefault="00FE0907" w:rsidP="00FE0907">
      <w:pPr>
        <w:pStyle w:val="Extracto"/>
      </w:pPr>
      <w:r>
        <w:t>1.</w:t>
      </w:r>
      <w:r>
        <w:tab/>
        <w:t>Como ya ha tenido ocasión de poner de manifiesto este Tribunal (por todas, STC 17/1989),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De esta manera, el recurso de apelación delimita la pretensión concreta de la segunda instancia, con la previsión de los temas o puntos que plantea, que enmarcan y predeterminan el alcance de la decisión del Juez superior, fuera de lo cual no puede actuar éste agravando la situación del apelante, salvo que frente a la pretensión del mismo se hayan sostenido otras pretensiones de la parte apelada, dentro de cuyos límites objetivos y subjetivos de las pretensiones de ambas partes, apelante y apelada, ha de quedar delimitada la actividad decisoria del órgano jurisdiccional «ad quem» [F.J. 2].</w:t>
      </w:r>
    </w:p>
    <w:p w:rsidR="00FE0907" w:rsidRDefault="00FE0907" w:rsidP="00FE0907">
      <w:pPr>
        <w:pStyle w:val="Extracto"/>
      </w:pPr>
    </w:p>
    <w:p w:rsidR="00FE0907" w:rsidRDefault="00FE0907" w:rsidP="00FE0907">
      <w:pPr>
        <w:pStyle w:val="Extracto"/>
      </w:pPr>
      <w:r>
        <w:t>2.</w:t>
      </w:r>
      <w:r>
        <w:tab/>
        <w:t>La vigencia de este principio y su aplicación a las apelaciones de los juicios de faltas, aunque sin un precepto legal ordinario que así lo disponga, ha sido reconocido reiteradamente por la jurisprudencia de este Tribunal [F.J. 2].</w:t>
      </w:r>
    </w:p>
    <w:p w:rsidR="00FE0907" w:rsidRDefault="00FE0907" w:rsidP="00FE0907">
      <w:pPr>
        <w:pStyle w:val="Extracto"/>
      </w:pPr>
    </w:p>
    <w:p w:rsidR="00FE0907" w:rsidRDefault="00FE0907" w:rsidP="00FE0907">
      <w:pPr>
        <w:pStyle w:val="Extracto"/>
      </w:pPr>
      <w:r>
        <w:t>3.</w:t>
      </w:r>
      <w:r>
        <w:tab/>
        <w:t>En el proceso penal son las conclusiones definitivas el acto procesal a través del cual se determina «definitivamente» el objeto del proceso penal; en consecuencia, la Sentencia penal ha de resolver sobre las conclusiones definitivas de las partes (STC 91/1989) [F.J. 4].</w:t>
      </w:r>
    </w:p>
    <w:p w:rsidR="00FE0907" w:rsidRDefault="00FE0907" w:rsidP="00FE0907">
      <w:pPr>
        <w:pStyle w:val="Extracto"/>
      </w:pPr>
    </w:p>
    <w:p w:rsidR="00FE0907" w:rsidRDefault="00FE0907" w:rsidP="00FE0907">
      <w:pPr>
        <w:pStyle w:val="Extracto"/>
      </w:pPr>
      <w:r>
        <w:t>4.</w:t>
      </w:r>
      <w:r>
        <w:tab/>
        <w:t>En el contexto de las previsiones que establece, en el orden procesal, el texto refundido de la Ley 122/1962 (especialmente, la posibilidad de que el asegurador se oponga a la ejecución de la indemnización por daños producidos en accidente de tráfico cuando medie culpa o negligencia de la víctima), la declaración efectuada por el Juzgado de Instrucción, al resolver el recurso de apelación, de la culpabilidad exclusiva de la víctima, declaración efectuada infringiendo la prohibición constitucional de la «reformatio in peius», conlleva la violación del derecho a la tutela al haberse producido la enervación de la acción civil del recurrente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1.685/88, interpuesto por la Procuradora doña María de las Mercedes Blanco Fernández, designada en el turno de oficio para la representación de doña María Magdalena Domínguez de Miguel, asistida del Letrado don Eloy Manuel Herrero Reino, contra la Sentencia del Juzgado de Instrucción núm. 1 de Madrid, dictada el 2 de diciembre de 1987 en apelación de la del Juzgado de Distrito núm. 30 de la misma ciudad en el juicio de faltas núm. 1.124/86. Ha sido parte el Ministerio Fiscal y don Mariano Pacheco Faura, parte apelada en dicho procedimiento, representado por el Procurador don Fernando Gala Escribano y asistido del Letrado don José Collado Flores, siendo Ponente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25 de octubre de 1988, doña María Magdalena Domínguez de Miguel presentó ante este Tribunal un escrito solicitando el nombramiento de Procurador de Oficio a fin de interponer recurso de amparo. Tras los trámites pertinentes, se tuvo por designada de oficio a la Procuradora doña María de las Mercedes Blanco Fernández quien, en unión del Letrado designado por la recurrente en su comparecencia inicial, formalizaron, mediante escrito registrado en este Tribunal el 20 de diciembre de 1988, la correspondiente demanda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tiene su origen en los siguientes antecedentes de hecho: </w:t>
      </w:r>
    </w:p>
    <w:p w:rsidR="00FE0907" w:rsidRDefault="00FE0907" w:rsidP="00FE0907">
      <w:pPr>
        <w:pStyle w:val="TextoNormal"/>
      </w:pPr>
      <w:r>
        <w:t xml:space="preserve">A) El 18 de marzo de 1986 falleció, a consecuencia de un accidente de circulación, el marido de la recurrente don Andrés Quevedo Lacalle. Por tales hechos se siguieron los autos de juicio de faltas núm. 1.124/86 ante el entonces Juzgado de Distrito núm. 30 de Madrid. El 9 de septiembre de 1987, se dictó Sentencia cuya declaración de hechos probados recogía que, a consecuencia de una colisión producida entre el ve- hículo conducido por el fallecido y la parte trasera del camión M-6165-DL, conducido por su propietario don Mariano Pacheco Faura, al invadir aquél el carril de circulación derecho "por causas que se desconocen", el esposo de la actora sufrió lesiones que determinaron su posterior fallecimiento. En consecuencia, el fallo de la citada Sentencia absolvía a don Mariano Pacheco Faura y declaraba que una vez "firme esta resolución se dictase Auto de responsabilidad civil objetiva a favor de la viuda doña Magdalena Domínguez de Miguel". </w:t>
      </w:r>
    </w:p>
    <w:p w:rsidR="00FE0907" w:rsidRDefault="00FE0907" w:rsidP="00FE0907">
      <w:pPr>
        <w:pStyle w:val="TextoNormal"/>
      </w:pPr>
      <w:r>
        <w:lastRenderedPageBreak/>
        <w:t>B) Contra la anterior resolución recurrió en apelación la demandante, correspondiendo su conocimiento al Juzgado de Instrucción núm. 1 de Madrid. En la vista del recurso, la actora pidió la revocación de la Sentencia, mientras que, por su parte, tanto el Ministerio Fiscal como don Mariano Pacheco Faura, como apelados, pidieron que se confirmase la misma. El 2 de diciembre de 1987, se pronunció la Sentencia de apelación y ésta, aceptando los hechos probados y los fundamentos de derecho de la de instancia, desestimó el recurso y confirmó la recurrida. El fundamento de Derecho único de la precitada resolución afirma que "procede la confirmación de la Sentencia absolutoria, pues de los hechos declarados probados se desprende que el accidente fue debido a culpa exclusiva de la víctima".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demandante de amparo afirma que mientras la Sentencia de instancia fundamenta su fallo absolutorio en la falta de prueba suficiente sobre los hechos, la de apelación lo basa en que el accidente fue debido a culpa exclusiva de la víctima, lo que conlleva la inviabilidad del Auto de responsabilidad civil objetiva. </w:t>
      </w:r>
    </w:p>
    <w:p w:rsidR="00FE0907" w:rsidRDefault="00FE0907" w:rsidP="00FE0907">
      <w:pPr>
        <w:pStyle w:val="TextoNormal"/>
      </w:pPr>
      <w:r>
        <w:t xml:space="preserve">Se dirige, así, el presente recurso de amparo exclusivamente contra la Sentencia de segunda instancia, pues si en la primera Sentencia, donde se practicó toda la prueba, no se declaró por el juzgador que el accidente fuera causado por culpa exclusiva de la víctima y, en la vista de la apelación, ni el Ministerio Fiscal ni la parte apelada alegaron este moti- vo -ya que se limitaron a pedir su confirmación-, el Juez superior, al introducir esta causa de producción del accidente sin que nadie lo haya pedido, ha agravado la situación de la única recurrente, quien tiene y ve cerrada de hecho la vía civil para poder resarcirse de los perjuicios sufridos. </w:t>
      </w:r>
    </w:p>
    <w:p w:rsidR="00FE0907" w:rsidRDefault="00FE0907" w:rsidP="00FE0907">
      <w:pPr>
        <w:pStyle w:val="TextoNormal"/>
      </w:pPr>
      <w:r>
        <w:t xml:space="preserve">De otro lado, los hechos dieron origen, en su inicio, a las diligencias previas núm. 1.225/86 seguidas en el mismo Juzgado de Instrucción que conoció de la apelación, quien remitió las actuaciones al entonces Juzgado de Distrito por si los mismos eran constitutivos de falta. Es evidente, pues, que el propio Juzgado advirtió indicios de responsabilidad penal ya que, de no haber sido así y de estimar que el accidente fue producido por culpa exclusiva de la víctima, debió ordenar el archivo de las actuaciones y no su prosecución por los trámites del juicio de faltas. </w:t>
      </w:r>
    </w:p>
    <w:p w:rsidR="00FE0907" w:rsidRDefault="00FE0907" w:rsidP="00FE0907">
      <w:pPr>
        <w:pStyle w:val="TextoNormal"/>
      </w:pPr>
      <w:r>
        <w:t xml:space="preserve">Agravando la Sentencia de apelación la situación de la única recurrente se vulnera el art. 24 de la Constitución, que incluye la prohibición de la reformatio in peius, faceta ésta del derecho a la tutela judicial efectiva que, según reiterada jurisprudencia de este Tribunal Constitucional, es perfectamente aplicable en los juicios de faltas. </w:t>
      </w:r>
    </w:p>
    <w:p w:rsidR="00FE0907" w:rsidRDefault="00FE0907" w:rsidP="00FE0907">
      <w:pPr>
        <w:pStyle w:val="TextoNormal"/>
      </w:pPr>
      <w:r>
        <w:t>Termina suplicando de este Tribunal que se dicte Sentencia otorgando el amparo solicitado, declare no haber lugar a determinar que el accidente fue debido a culpa exclusiva de la víctima y, al quedar definitivamente juzgado, se dicte Auto de responsabilidad civil objetiva a favor de la demandante, tal y como se declaraba en la primera instancia.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17 de mayo de 1989 la Sala Primera -Sección Segunda- de este Tribunal acordó admitir a trámite la demanda de amparo formulada por la Procuradora Sra. Blanco Fernández en nombre de doña María Magdalena Domínguez de Miguel y, a tenor de lo dispuesto en el art. 51 de la LOTC, re- querir atentamente al Juzgado de Distrito núm. 30 de Madrid y al Juzgado de Instrucción núm. 1 de dicha capital para que, en término de diez días, remitiesen, respectivamente, testimonio del juicio de faltas núm. 1.124/86 y del rollo de apelación 122/87, interesando, al mismo tiempo, que se emplazase a cuantos fueron parte en el procedimiento, a excepción del recurrente, para que en el plazo de diez días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5</w:t>
      </w:r>
      <w:r>
        <w:t>. Mediante escrito registrado en este Tribunal el 25 de julio de 1989 compareció el Procurador don Fernando Gala Escribano en nombre y representación de don Mariano Pacheco Faura, parte apelada en el proceso judicial, y en virtud de providencia de 18 de septiembre de 1989 la Sección tuvo por recibidas las actuaciones remitidas por el Juzgado de Distrito núm. 30 y por el Juzgado de Instrucción núm. 1 de Madrid, e igualmente, por personado y parte al expresado Procurador comparecido. A tenor de lo dispuesto en el art. 52 de la LOTC, en la misma providencia, se acordó dar traslado de todas las actuaciones, por plazo común de veinte días, al Ministerio Fiscal y a los Procuradores personados para que formularan las alegaciones que a su derecho conviniesen.</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10 de octubre de 1989, el Ministerio Fiscal formuló escrito de alegaciones en el que, tras un breve resumen de los hechos, pone de relieve que el problema planteado en el presente amparo radica en dilucidar si la situación de la parte apelante en el proceso judicial es o no peor después de la Sentencia dictada a instancia suya por el Juzgado de Instrucción. Al respecto, tras afirmar la aplicabilidad de la prohibición de la reformatio in peius al juicio de faltas según se ha reconocido desde antiguo por este Tribunal, advierte que la apelación de una única parte no puede conducir a unos resultados que estén en contradicción con su propio interés, pero que el interés de cada parte no depende de su opinión, sino que deriva de la Ley, por lo que conviene delimitar cuál puede ser el efecto de la Sentencia impugnada. </w:t>
      </w:r>
    </w:p>
    <w:p w:rsidR="00FE0907" w:rsidRDefault="00FE0907" w:rsidP="00FE0907">
      <w:pPr>
        <w:pStyle w:val="TextoNormal"/>
      </w:pPr>
      <w:r>
        <w:t xml:space="preserve">La misma no excluye que se dicte Auto ejecutivo de responsabilidad civil pues la Sentencia de apelación confirma en todo la del Juzgado de Distrito. Por ello, el temor de la recurrente puede deberse a que la declaración de culpa exclusiva de la víctima puede perjudicarle en la vía civil. El Auto es ejecutivo y se ha dictado en un procedimiento sumario de tal naturaleza y, si bien es cierto que cabe su posterior revisión en juicio declarativo ordinario, es jurisprudencia constante que no producen efectos de cosa juzgada las declaraciones efectuadas en un proceso penal respecto de otro civil. </w:t>
      </w:r>
    </w:p>
    <w:p w:rsidR="00FE0907" w:rsidRDefault="00FE0907" w:rsidP="00FE0907">
      <w:pPr>
        <w:pStyle w:val="TextoNormal"/>
      </w:pPr>
      <w:r>
        <w:t xml:space="preserve">Por otra parte, la segunda Sentencia está llamada a ser ejecutada y, como ha declarado este Tribunal, las Sentencias han de llevarse a cabo en sus propios términos, entendiendo por tales los del fallo. </w:t>
      </w:r>
    </w:p>
    <w:p w:rsidR="00FE0907" w:rsidRDefault="00FE0907" w:rsidP="00FE0907">
      <w:pPr>
        <w:pStyle w:val="TextoNormal"/>
      </w:pPr>
      <w:r>
        <w:t>En consecuencia, es opinión del Ministerio Fiscal que no existe el empeoramiento temido y alegado por el recurrente, por lo que interesa que se dicte Sentencia denegando el amparo ya que no se ha producido lesión de los derechos fundamentales que apoyan el recurso.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En la misma fecha de 10 de octubre de 1989 presentó su escrito de alegaciones la demandante quien, tras resumir los motivos de su recurso, considera que la Sentencia de segunda instancia incurre en incongruencia al aceptar, de un lado, los hechos probados y fundamentos de la apelada y declarar después, en un fundamento de Derecho, la culpa exclusiva de la víctima. Además, sin pretensión de parte alguna, el Juez superior ha producido una extralimitación que vulnera la tutela efectiva y las garantías procesales de la recurrente, dando lugar a una reformatio in peius cuyo efecto inmediato ha sido que la compañía aseguradora del vehículo conducido por don Mariano Pacheco rehusa hacer efectivo el Auto de responsabilidad civil objetiva dictado por el Juzgado de Distrito, lo que la coloca en situación de total desamparo. </w:t>
      </w:r>
    </w:p>
    <w:p w:rsidR="00FE0907" w:rsidRDefault="00FE0907" w:rsidP="00FE0907">
      <w:pPr>
        <w:pStyle w:val="TextoNormal"/>
      </w:pPr>
      <w:r>
        <w:t>Concluye reiterando la súplica de su demanda.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8</w:t>
      </w:r>
      <w:r>
        <w:t xml:space="preserve">. El 11 de octubre de 1989 formuló su escrito de alegaciones la otra parte comparecida en este proceso, don Mariano Pacheco Faura. En él señala que hay que partir de la base de que ninguna responsabilidad se deduce de las Sentencias de instancia y apelación contra él, y que la referencia a un Auto de responsabilidad objetiva no dice nada en cuanto a la valoración de los hechos, ya que el propio Juez deberá tener en cuenta la colaboración de la víctima en su propio accidente para establecer, en el Auto, la cantidad máxima a reclamar. </w:t>
      </w:r>
    </w:p>
    <w:p w:rsidR="00FE0907" w:rsidRDefault="00FE0907" w:rsidP="00FE0907">
      <w:pPr>
        <w:pStyle w:val="TextoNormal"/>
      </w:pPr>
      <w:r>
        <w:t xml:space="preserve">El Juez de Instrucción, en la apelación, tiene plena capacidad para la apreciación de las pruebas y valoración de las alegaciones de las partes y así no dudó en manifestar la culpa exclusiva de la víctima en el accidente, porque, afirma, los juicios de faltas "no se rigen por el principio acusatorio" y el Juez de la apelación tiene libertad de actuación sin someterse a los deseos del apelante. </w:t>
      </w:r>
    </w:p>
    <w:p w:rsidR="00FE0907" w:rsidRDefault="00FE0907" w:rsidP="00FE0907">
      <w:pPr>
        <w:pStyle w:val="TextoNormal"/>
      </w:pPr>
      <w:r>
        <w:t xml:space="preserve">La recurrente fue amparada correctamente y ha obtenido la tutela efectiva de sus derechos. Fue la misma quien impidió, con su apelación, la firmeza de la Sentencia del Juzgado de Distrito y, al no tener el Juez de apelación "limitada su decisión por las pretensiones de las partes", ha de dictar Sentencia examinando y valorando los hechos y las pruebas. </w:t>
      </w:r>
    </w:p>
    <w:p w:rsidR="00FE0907" w:rsidRDefault="00FE0907" w:rsidP="00FE0907">
      <w:pPr>
        <w:pStyle w:val="TextoNormal"/>
      </w:pPr>
      <w:r>
        <w:t xml:space="preserve">Afirma, por otro lado, que "no existe interdicción expresa de la reformatio in peius en los juicios de faltas", y en todo caso no se demuestra que tal circunstancia se haya producido, puesto que, aun en el supuesto de que se hubiera dictado Auto de responsabilidad objetiva, difícilmente podría haberse reflejado cantidad alguna en él, ya que la colaboración de la víctima era evidente en su propia muerte, lo que limita el alcance de la cantidad que pudiera corresponder a los herederos y perjudicados. </w:t>
      </w:r>
    </w:p>
    <w:p w:rsidR="00FE0907" w:rsidRDefault="00FE0907" w:rsidP="00FE0907">
      <w:pPr>
        <w:pStyle w:val="TextoNormal"/>
      </w:pPr>
      <w:r>
        <w:t>Por todo lo expuesto termina suplicando que se dicte resolución que declare no haber lugar al amparo solicitado al no existir vulneración alguna de la Constitución.</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del día 12 de febrero de 1992, se señaló el día 14 del mismo mes y año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tiene por objeto decidir si la Sentencia dictada por el Juzgado de Instrucción núm. 1 de Madrid, en apelación de un juicio de faltas por accidente de tráfico en el que resultó muerto uno de los conductores, al afirmar en uno de sus fundamentos jurídicos que el accidente se produjo por culpa exclusiva de la víctima contradiciendo los hechos probados de la Sentencia de instancia, que la de apelación ha admitido como válidos, y sin que tal extremo fuera pedido por la recurrente ni por ninguna de las partes del recurso, supone una reformatio in peius de la Sentencia apelada que agrava la situación de la única recurrente, viuda del fallecido, quien ve cerrada de hecho la vía civil para poder resarcirse de los perjuicios sufridos por el siniestro.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Como ya ha tenido ocasión de poner de manifiesto con anterioridad este Tribunal (por todas, STC 17/1989)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w:t>
      </w:r>
      <w:r>
        <w:lastRenderedPageBreak/>
        <w:t>De esta manera, el recurso de apelación delimita la pretensión concreta de la segunda instancia, con la previsión de los temas o puntos que plantea, que enmarcan y predeterminan el alcance de la decisión del Juez superior, fuera de lo cual no puede actuar éste agravando la situación del apelante, salvo que frente a la pre- tensión del mismo se hayan sostenido otras pretensiones de la parte apelada (STC 15/1987), dentro de cuyos límites objetivos y subjetivos de las pretensiones de ambas partes, apelante y apelada, ha de quedar delimitada la actividad decisoria del órgano jurisdiccional ad quem, quien no podrá gravar más la situación del recurrente de lo que ya lo estaba en la primera instancia.</w:t>
      </w:r>
    </w:p>
    <w:p w:rsidR="00FE0907" w:rsidRDefault="00FE0907" w:rsidP="00FE0907">
      <w:pPr>
        <w:pStyle w:val="TextoNormal"/>
      </w:pPr>
      <w:r>
        <w:t>La vigencia de este principio y su aplicación a las apelaciones de los juicios de faltas, aunque sin un precepto legal ordinario que así lo disponga, ha sido reconocido reiteradamente por la jurisprudencia de este Tribunal (entre otras, SSTC 54/1985, 84/1985, 115/1986 y 202/1988) que, además de otorgar efectividad al principio acusatorio en este tipo de procesos, ya declaró que el derecho a la tutela judicial efectiva puesto en relación, por un lado, con el deber de los Jueces y Tribunales de actuar con independencia e imparcialidad y, por otro, con la obligación de que exista en el proceso penal una acusación, determina la exigencia constitucional de evitar que el Juez actúe como parte en el proceso contradictorio.  Sometido, además, el juicio de faltas a una doble instancia no puede el Juez superior actuar agravando la situación del apelante, con violación del axioma tantum apellatum, tantum devolutum, por todo lo cual no puede el Juez ad quem, de oficio, imponer superiores sanciones o mayor número de penas o crear o ampliar el contenido de las indemnizaciones establecidas por el juez a quo, salvo si concurren otras partes apelantes que con sus peticiones permitieran efectuar una decisión de superior contenido pues, aunque la apelación se considere un novum iudicium, la revisión que supone debe encuadrarse dentro de las pretensiones ejercitadas en la segunda instancia.</w:t>
      </w:r>
    </w:p>
    <w:p w:rsidR="00FE0907" w:rsidRDefault="00FE0907" w:rsidP="00FE0907">
      <w:pPr>
        <w:pStyle w:val="TextoNormal"/>
      </w:pPr>
      <w:r>
        <w:t>Por su parte, las SSTC 15/1987 y 202/1988 ya afirmaron que "también en lo que toca a las indemnizaciones por daños resultantes de delito o falta rige en el ámbito penal la regla prohibitiva de la reformatio in peius".</w:t>
      </w:r>
    </w:p>
    <w:p w:rsidR="00FE0907" w:rsidRDefault="00FE0907" w:rsidP="00FE0907">
      <w:pPr>
        <w:pStyle w:val="TextoNormal"/>
      </w:pPr>
    </w:p>
    <w:p w:rsidR="00FE0907" w:rsidRDefault="00FE0907" w:rsidP="00FE0907">
      <w:pPr>
        <w:pStyle w:val="TextoNormal"/>
      </w:pPr>
      <w:r w:rsidRPr="00FE0907">
        <w:rPr>
          <w:rStyle w:val="NumeroAFNegritaCaracter"/>
        </w:rPr>
        <w:t>3</w:t>
      </w:r>
      <w:r>
        <w:t>. Se hace preciso, pues, a la luz de la anterior doctrina constitucional, examinar ahora si en el caso enjuiciado se ha producido en la Sentencia de apelación una reforma peyorativa de la de primera instancia al declararse en la misma que el accidente de circulación, en el que falleció el marido de la demandante, fue causado por culpa exclusiva de la víctima, ya que tal afirmación, ni formaba parte del contenido de la Sentencia de instancia -que, por el contrario, declaraba que el accidente fue producido por causas desconocidas-, ni fue pedido por la recurrente, ni fue solicitado por las partes apeladas, quienes se limitaron a instar la confirmación en todos sus extremos de la Sentencia apelada.</w:t>
      </w:r>
    </w:p>
    <w:p w:rsidR="00FE0907" w:rsidRDefault="00FE0907" w:rsidP="00FE0907">
      <w:pPr>
        <w:pStyle w:val="TextoNormal"/>
      </w:pPr>
      <w:r>
        <w:t>Argumenta la actora que dicha declaración agrava la situación de la única recurrente, que ve cerrada la vía civil para resarcirse de los perjuicios causados, y conlleva la inviabilidad del Auto de responsabilidad civil objetiva, que el Juez de Distrito dispuso que se dictara una vez firme la Sentencia.  Por tal razón es conveniente determinar el alcance de una y otra resolución -en primera instancia y apelación- para así poder concluir si la segunda Sentencia agrava realmente la situación de la recurrente de manera tal que pueda suponer una reforma peyorativa de la dictada en primera instancia.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La prohibición de la reformatio in peius constituye, como se ha dicho, la manifestación del principio constitucional de congruencia (implícito en el derecho a la tutela) en la segunda instancia. Dicha prohibición se erige, pues, en una garantía procesal consistente en que los pronunciamientos de la Sentencia apelada, no impugnados por ninguno de los </w:t>
      </w:r>
      <w:r>
        <w:lastRenderedPageBreak/>
        <w:t>litigantes, han de quedar fuera de la función revisora del órgano judicial de segunda instancia, de tal forma que el apelante queda a salvo de la posibilidad de que la Sentencia de apelación exceda de los límites en que formula su recurso y, en consecuencia, que éste no servirá de cauce para que los pronunciamientos de la Sentencia que le son favorables se revoquen en su perjuicio.</w:t>
      </w:r>
    </w:p>
    <w:p w:rsidR="00FE0907" w:rsidRDefault="00FE0907" w:rsidP="00FE0907">
      <w:pPr>
        <w:pStyle w:val="TextoNormal"/>
      </w:pPr>
      <w:r>
        <w:t>En el proceso penal son las conclusiones definitivas el acto procesal, a través del cual se determina "definitivamente" el objeto del proceso penal; en consecuencia, la Sentencia penal ha de resolver sobre las conclusiones definitivas de las partes (STC 91/1989).  Así, en el presente juicio de faltas que dio lugar al posterior recurso de apelación, el Ministerio Fiscal solicitó la absolución del conductor del camión y que se dictase Auto de responsabilidad civil objetiva a favor de la demandante.  La acusación particular, por su parte, interesó la condena de dicho conductor y pidió una indemnización a favor de la perjudicada de 8.661.299 pts. más la de 60.000 pts. por los daños y, en fin, la defensa de don Mariano Pacheco se mostró conforme con la calificación del Fiscal y pidió la absolución de su representado.</w:t>
      </w:r>
    </w:p>
    <w:p w:rsidR="00FE0907" w:rsidRDefault="00FE0907" w:rsidP="00FE0907">
      <w:pPr>
        <w:pStyle w:val="TextoNormal"/>
      </w:pPr>
      <w:r>
        <w:t>De dichas conclusiones se deduce, de un lado, que la acusación particular, en representación de la recurrente, ejercitó la acción penal y civil dentro del proceso en los términos previstos en los arts. 110 y 112 de la L.E.Crim., y de otro, que tanto el Ministerio Fiscal como la defensa pidieron la absolución del conductor del camión sin imputar responsabilidad alguna en el accidente al conductor fallecido.  De aquí que la Sentencia del Juzgado de distrito, en congruencia con las peticiones formuladas, pronunció una Sentencia absolutoria ordenando que se dictase Auto de responsabilidad civil objetiva por considerar que se desconocían las causas originadoras del siniestro.</w:t>
      </w:r>
    </w:p>
    <w:p w:rsidR="00FE0907" w:rsidRDefault="00FE0907" w:rsidP="00FE0907">
      <w:pPr>
        <w:pStyle w:val="TextoNormal"/>
      </w:pPr>
      <w:r>
        <w:t>No conforme con tal Sentencia recurrió en apelación exclusivamente la acusación particular, sosteniendo su pretensión de condena penal y civil, a la que se opusieron las demás partes -ninguna de las cuales se adhirió a la apelación- quienes pidieron la confirmación de la Sentencia.  Por su parte, el Juez de segunda instancia, aunque confirma la Sentencia, introduce una declaración nueva y no pedida por ninguna de las partes: que el accidente se produjo por "culpa exclusiva de la víctima".  De tal manera que, aun cuando el Ministerio Fiscal y el acusado no habían apelado la parte civil dispositiva de la primera instancia y habían solicitado, en la segunda, la conformidad de la misma y sin perjuicio de que la resolución, recaida en segunda instancia, declaraba que "se aceptan los hechos probados y los fundamentos de derecho de la Sentencia apelada", dicha Sentencia vino a alterar los términos del debate procesal resolviendo un problema y una cuestión jurídica que no había sido planteado por ninguno de los litigantes.  Por consiguiente, forzoso es concluir en que la Sentencia recurrida en amparo, ha incurrido en incongruencia extra petita por cuanto el órgano de la apelación se ha pronunciado sobre algo distinto de lo que constituía el objeto del recurso, declaración que, además se efectua sin razonamiento alguno e incluso en manifiesta contradicción con su propia afirmación de aceptar los hechos probados y fundamentos de derecho de la primera Sentencia.</w:t>
      </w:r>
    </w:p>
    <w:p w:rsidR="00FE0907" w:rsidRDefault="00FE0907" w:rsidP="00FE0907">
      <w:pPr>
        <w:pStyle w:val="TextoNormal"/>
      </w:pPr>
    </w:p>
    <w:p w:rsidR="00FE0907" w:rsidRDefault="00FE0907" w:rsidP="00FE0907">
      <w:pPr>
        <w:pStyle w:val="TextoNormal"/>
      </w:pPr>
      <w:r w:rsidRPr="00FE0907">
        <w:rPr>
          <w:rStyle w:val="NumeroAFNegritaCaracter"/>
        </w:rPr>
        <w:t>5</w:t>
      </w:r>
      <w:r>
        <w:t>. Partiendo, pues, de la existencia de este vicio de incongruencia, preciso es examinar si la misma es generadora de alguna infracción constitucional, por cuanto sólo alcanza esta relevancia aquella incongruencia que además produce indefensión a las partes (SSTC 34/1985, 86/1986, 8/1988 y ATC 407/1989 entre otros).</w:t>
      </w:r>
    </w:p>
    <w:p w:rsidR="00FE0907" w:rsidRDefault="00FE0907" w:rsidP="00FE0907">
      <w:pPr>
        <w:pStyle w:val="TextoNormal"/>
      </w:pPr>
      <w:r>
        <w:t xml:space="preserve">El art. 1º del Decreto de 21 de marzo de 1968 por el que se aprueba el Texto Refundido de la Ley 122/1962 de 24 de diciembre sobre uso y circulación de vehículos de motor, disponía que el conductor de un vehículo que con motivo de la circulación, cause daños a </w:t>
      </w:r>
      <w:r>
        <w:lastRenderedPageBreak/>
        <w:t>las personas o a las cosas estará obligado a reparar el mal causado, excepto cuando se pruebe que el hecho fuera debido a culpa o negligencia del perjudicado (dicho precepto fue derogado por el Real Decreto Ley 1.301/86).  Para exigir el cumplimiento de tal obligación de indemnizar, el perjudicado o sus herederos tendrán acción directa contra el asegurador del vehículo que ha producido el daño, hasta el límite del seguro obligatorio (art. 4º) y, por su parte, el asegurador sólo quedará exento de esta obligación si prueba que el hecho no da lugar a la exigencia de responsabilidad civil conforme al art. 1º (art. 5).</w:t>
      </w:r>
    </w:p>
    <w:p w:rsidR="00FE0907" w:rsidRDefault="00FE0907" w:rsidP="00FE0907">
      <w:pPr>
        <w:pStyle w:val="TextoNormal"/>
      </w:pPr>
      <w:r>
        <w:t>En el orden procesal, el Texto refundido de la Ley de 24 de diciembre de 1962 prevé que, cuando en un proceso penal, incoado por un hecho cubierto por el seguro obligatorio, se declare la rebeldía del acusado o recayere Sentencia absolutoria, si el perjudicado no hubiere renunciado a la acción civil ni la hubiere reservado para ejercitarla separadamente (tal como acontece en el caso ahora enjuiciado), antes de acordar el archivo de la causa, el Juez o tribunal que hubiera conocido de la misma dictará Auto en el que se determinará la cantidad líquida máxima que puede reclamarse como indemnización de los daños y perjuicios sufridos por cada perjudicado, amparados por el seguro obligatorio (art. 10).  Dicho Auto, que tiene el carácter de título ejecutivo, es suficiente para instar la demanda que puede abrir el proceso sumario ejecutivo previsto en los arts. 1.440 y siguientes de la L.E.C., en el cual el asegurador puede oponerse a la ejecución, alegando, además de los motivos autorizados en los arts.  1.464 y 1.467 de la L.E.C., los señalados en el art.  1º de esta Ley (arts. 15 y 18), entre los que se encuentra, como hemos dicho, la de haberse cometido el hecho mediante culpa o negligencia de la víctima.</w:t>
      </w:r>
    </w:p>
    <w:p w:rsidR="00FE0907" w:rsidRDefault="00FE0907" w:rsidP="00FE0907">
      <w:pPr>
        <w:pStyle w:val="TextoNormal"/>
      </w:pPr>
      <w:r>
        <w:t>En consecuencia, la declaración efectuada por el Juzgado de Instrucción, al resolver el recurso de apelación, relativa a que el accidente se produjo por culpa exclusiva de la víctima, no sólo puede suponer un obstáculo para que se dicte el Auto de responsabilidad civil objetiva -aun cuando aquí dicho extremo no se ha producido por cuanto consta de las actuaciones que el citado Auto fue emitido el 22 de noviembre de 1988-, sino que podría servir de base para fundar una oposición de la aseguradora en el juicio ejecutivo correspondiente ya que la misma constituye una causa de exclusión de la cobertura del seguro obligatorio.</w:t>
      </w:r>
    </w:p>
    <w:p w:rsidR="00FE0907" w:rsidRDefault="00FE0907" w:rsidP="00FE0907">
      <w:pPr>
        <w:pStyle w:val="TextoNormal"/>
      </w:pPr>
    </w:p>
    <w:p w:rsidR="00FE0907" w:rsidRDefault="00FE0907" w:rsidP="00FE0907">
      <w:pPr>
        <w:pStyle w:val="TextoNormal"/>
      </w:pPr>
      <w:r w:rsidRPr="00FE0907">
        <w:rPr>
          <w:rStyle w:val="NumeroAFNegritaCaracter"/>
        </w:rPr>
        <w:t>6</w:t>
      </w:r>
      <w:r>
        <w:t>. En definitiva, este Tribunal no puede sino constatar, desde el examen de la resolución impugnada y el de las actuaciones, la indefensión material que se le ha generado a la recurrente como consecuencia de la declaración de culpabilidad exclusiva de la víctima efectuada en la resolución recurrida, toda vez que, acumulada la acción civil a la penal, dimanante de delito y, efectuada dicha declaración, con manifiestos efectos prejudiciales en la jurisdicción civil, al faltar causa alguna de nacimiento de la obligación de resarcimiento (desterrada, incluso, la de la responsabilidad civil objetiva), se le vedan a la recurrente la posibilidad de ejercitar con éxito su derecho a la tutela judicial "efectiva" en el referido proceso sumario o en cualquier otro civil de carácter declarativo.</w:t>
      </w:r>
    </w:p>
    <w:p w:rsidR="00FE0907" w:rsidRDefault="00FE0907" w:rsidP="00FE0907">
      <w:pPr>
        <w:pStyle w:val="TextoNormal"/>
      </w:pPr>
      <w:r>
        <w:t>Por consiguiente, la Sentencia impugnada ha ocasionado a la recurrente una manifiesta situación material de indefensión, todo ello como consecuencia de la infracción de la prohibición constitucional de la reformatio in peius, puesto que, si bien es cierto que el órgano jurisdiccional de apelación es libre de valorar, tanto el resultado probatorio, como la aplicación del Derecho efectuada por el Juzgador de instancia, tampoco lo es menos que dicha revisión no es absoluta, sino, antes bien, tiene como límite el principio de congruencia, trazado por las pretensiones de las partes en la segunda instancia, de entre las que no se encontraba la revisión de la declaración relativa al nacimiento de la acción civil, la que ha quedado enervada como consecuencia de aquel pronunciamiento, ocasionado ex offi</w:t>
      </w:r>
      <w:r>
        <w:lastRenderedPageBreak/>
        <w:t>cio, sin razonamiento o justificación alguna y en flagrante contradicción con la manifestación de conformidad con los hechos probados que efectua la Sentencia impugnada, razones todas ellas que inexorablemente han de conducir a declarar la violación del derecho a la tutela del art. 24 y a la estimación del presente recurso de amparo.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1º Otorgar el amparo solicitado por la Procuradora doña María de las Mercedes Blanco Fernández en nombre de doña María Magdalena Domínguez de Miguel.</w:t>
      </w:r>
    </w:p>
    <w:p w:rsidR="00FE0907" w:rsidRDefault="00FE0907" w:rsidP="00FE0907">
      <w:pPr>
        <w:pStyle w:val="TextoNormal"/>
      </w:pPr>
      <w:r>
        <w:t>2º Reconocer el derecho de la recurrente a que no se le cause indefensión y a obtener la tutela judicial efectiva.</w:t>
      </w:r>
    </w:p>
    <w:p w:rsidR="00FE0907" w:rsidRDefault="00FE0907" w:rsidP="00FE0907">
      <w:pPr>
        <w:pStyle w:val="TextoNormal"/>
      </w:pPr>
      <w:r>
        <w:t>3º Anular la Sentencia dictada el 2 de diciembre de 1987 por el Juzgado de Instrucción núm.  1 de Madrid en apelación del juicio de faltas núm. 1.124/86.</w:t>
      </w:r>
    </w:p>
    <w:p w:rsidR="00FE0907" w:rsidRDefault="00FE0907" w:rsidP="00FE0907">
      <w:pPr>
        <w:pStyle w:val="TextoNormal"/>
      </w:pPr>
      <w:r>
        <w:t>4º Declarar firme la Sentencia pronunciada por el Juzgado de Distrito núm. 30 de Madrid el 9 de septiembre de 1987 en el expresado juicio de faltas.</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3" w:name="SENTENCIA_1992_20"/>
      <w:r>
        <w:lastRenderedPageBreak/>
        <w:t>SENTENCIA 20/1992, de 14 de febrero de 1992</w:t>
      </w:r>
    </w:p>
    <w:bookmarkEnd w:id="23"/>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ECLI:ES:TC:1992:20</w:t>
      </w:r>
    </w:p>
    <w:p w:rsidR="00FE0907" w:rsidRDefault="00FE0907" w:rsidP="00FE0907">
      <w:pPr>
        <w:pStyle w:val="SntesisDescriptiva"/>
      </w:pPr>
    </w:p>
    <w:p w:rsidR="00FE0907" w:rsidRDefault="00FE0907" w:rsidP="00FE0907">
      <w:pPr>
        <w:pStyle w:val="SntesisDescriptiva"/>
      </w:pPr>
      <w:r>
        <w:t>Recurso de amparo 1.696/1988. Prensa Nova, S.A., contra Sentencia del Tribunal Supremo desestimatoria parcialmente de la dictada en apelación por la Audiencia Territorial de Palma de Mallorca.</w:t>
      </w:r>
    </w:p>
    <w:p w:rsidR="00FE0907" w:rsidRDefault="00FE0907" w:rsidP="00FE0907">
      <w:pPr>
        <w:pStyle w:val="SntesisDescriptiva"/>
      </w:pPr>
    </w:p>
    <w:p w:rsidR="00FE0907" w:rsidRDefault="00FE0907" w:rsidP="00FE0907">
      <w:pPr>
        <w:pStyle w:val="SntesisAnaltica"/>
      </w:pPr>
      <w:r>
        <w:t>Supuesta vulneración del derecho a difundir libremente información: lesión del derecho a la intimidad personal y familiar</w:t>
      </w:r>
    </w:p>
    <w:p w:rsidR="00FE0907" w:rsidRDefault="00FE0907" w:rsidP="00FE0907">
      <w:pPr>
        <w:pStyle w:val="SntesisAnaltica"/>
      </w:pPr>
    </w:p>
    <w:p w:rsidR="00FE0907" w:rsidRDefault="00FE0907" w:rsidP="00FE0907">
      <w:pPr>
        <w:pStyle w:val="Extracto"/>
      </w:pPr>
      <w:r>
        <w:t>1.</w:t>
      </w:r>
      <w:r>
        <w:tab/>
        <w:t>Lo que se requiere de los órganos jurisdiccionales no es sólo que ponderen explícitamente, antes de adoptar su decisión, los ámbitos respectivos de los derechos en tensión, sino que dicha ponderación se acomode, como exigencia sustantiva, a la propia configuración de tales derechos en la Constitución y en las leyes que los desarrollan, según la interpretación que expresa la doctrina de este Tribunal [F.J. 2].</w:t>
      </w:r>
    </w:p>
    <w:p w:rsidR="00FE0907" w:rsidRDefault="00FE0907" w:rsidP="00FE0907">
      <w:pPr>
        <w:pStyle w:val="Extracto"/>
      </w:pPr>
    </w:p>
    <w:p w:rsidR="00FE0907" w:rsidRDefault="00FE0907" w:rsidP="00FE0907">
      <w:pPr>
        <w:pStyle w:val="Extracto"/>
      </w:pPr>
      <w:r>
        <w:t>2.</w:t>
      </w:r>
      <w:r>
        <w:tab/>
        <w:t>La intimidad que la Constitución protege, y cuya garantía civil articula la Ley Orgánica 1/1982, no es menos digna de respeto por el hecho de que resulten veraces las informaciones relativas «a la vida privada de una persona o familia que afecten a su reputación y buen nombre» (art. 7.3 de dicha Ley Orgánica), según hemos tenido ya ocasión de precisar en resoluciones anteriores (STC 197/1991), ya que, tratándose de la intimidad, la veracidad no es paliativo, sino presupuesto, en todo caso, de la lesión. Lo sustantivo es si los órganos judiciales identificaron con corrección el ámbito de protección constitucional que para sí invocaron los demandantes en el proceso «a quo» y si tal valoración fue respetuosa, de otra parte, con la definición constitucional del derecho a la libertad de información [F.J. 3].</w:t>
      </w:r>
    </w:p>
    <w:p w:rsidR="00FE0907" w:rsidRDefault="00FE0907" w:rsidP="00FE0907">
      <w:pPr>
        <w:pStyle w:val="Extracto"/>
      </w:pPr>
    </w:p>
    <w:p w:rsidR="00FE0907" w:rsidRDefault="00FE0907" w:rsidP="00FE0907">
      <w:pPr>
        <w:pStyle w:val="Extracto"/>
      </w:pPr>
      <w:r>
        <w:t>3.</w:t>
      </w:r>
      <w:r>
        <w:tab/>
        <w:t>Cuando la libertad de información se quiere ejercer sobre ámbitos que pueden afectar a otros bienes constitucionales, como son el honor y la intimidad, es preciso, para que su proyección sea legítima, que lo informado resulte de interés público (STC 171/1990). Tal relevancia comunitaria, y no la simple satisfacción de la curiosidad ajena, es lo único que puede justificar la exigencia de que se asuman las perturbaciones o molestias ocasionadas por la difusión de una determinada noticia, y reside en tal criterio, por consiguiente, el elemento final de valoración para dirimir, en estos supuestos, el conflicto entre el honor y la intimidad, de una parte, y la libertad de información, de la otra [F.J. 3].</w:t>
      </w:r>
    </w:p>
    <w:p w:rsidR="00FE0907" w:rsidRDefault="00FE0907" w:rsidP="00FE0907">
      <w:pPr>
        <w:pStyle w:val="Extracto"/>
      </w:pPr>
    </w:p>
    <w:p w:rsidR="00FE0907" w:rsidRDefault="00FE0907" w:rsidP="00FE0907">
      <w:pPr>
        <w:pStyle w:val="Extracto"/>
      </w:pPr>
      <w:r>
        <w:t>4.</w:t>
      </w:r>
      <w:r>
        <w:tab/>
        <w:t>La intimidad personal y familiar es un bien que tiene la condición de derecho fundamental (art. 18.1 de la Constitución) y sin el cual no es realizable, ni concebible siquiera, la existencia en dignidad que a todos quiere asegurar la Norma fundamental (art. 10.1). Y aunque no todo alegato en defensa de lo que se diga vida privada será, como la legislación y nuestra jurisprudencia muestran, mere</w:t>
      </w:r>
      <w:r>
        <w:lastRenderedPageBreak/>
        <w:t>cedor de tal aprecio y protección, sí es preciso reiterar que la preservación de ese reducto de inmunidad sólo puede ceder, cuando del derecho a la información se trata, si lo difundido afecta, por su objeto y por su valor, al ámbito de lo público, no coincidente, claro es, con aquello que pueda suscitar o despertar, meramente, la curiosidad ajena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José Gimeno Sendra, Magistrado,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1.696/88, interpuesto por PREMSA NOVA S.A. y don Miguel Serra Magraner, representados por don Argimiro Vazquez Guillén y asistidos del Letrado Sr. Santaella contra la Sentencia de la Sala Primera del Tribunal Supremo, de 18 de julio de 1988, que desestima parcialmente la casación contra la dictada en apelación por la Sala de lo Civil de la Audiencia Territorial de Palma de Mallorca, de 21 de marzo de 1987, que modifica parcialmente la dictada por el Juzgado de Primera Instancia núm. 4 de Palma, de 19 de junio de 1986. Han comparecido quienes fueron parte en el proceso y el Ministerio Fiscal y ha sido Ponente el Magistrado don Francisco Tomás y Valiente,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26 de octubre de 1988 tuvo entrada en el registro de este Tribunal un escrito de don Argimiro Vázquez Guillén, Procurador de los Tribunales, que en nombre y representación de PREMSA NOVA, S.A. y de don Miguel Serra Magraner, interpone recurso de amparo contra la Sentencia de la Sala Primera del Tribunal Supremo, de 18 de julio de 1988, que desestima parcialmente la casación y confirma la condena a los recurrentes al pago de una determinada cantidad como consecuencia de un procedimiento civil de protección jurisdiccional del honor, la intimidad y la propia imagen.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los que se fundamenta la demanda de amparo son, en síntesis, los siguientes: </w:t>
      </w:r>
    </w:p>
    <w:p w:rsidR="00FE0907" w:rsidRDefault="00FE0907" w:rsidP="00FE0907">
      <w:pPr>
        <w:pStyle w:val="TextoNormal"/>
      </w:pPr>
      <w:r>
        <w:t xml:space="preserve">a) El diario de información general "BALEARES", editado y dirigido respectivamente por los recurrentes de amparo publicó en la sección de sucesos de su edición del día 15 de febrero de 1986, un suelto sin firma bajo el título "Un arquitecto palmesano con SIDA" del siguiente tenor literal: </w:t>
      </w:r>
    </w:p>
    <w:p w:rsidR="00FE0907" w:rsidRDefault="00FE0907" w:rsidP="00FE0907">
      <w:pPr>
        <w:pStyle w:val="TextoNormal"/>
      </w:pPr>
      <w:r>
        <w:lastRenderedPageBreak/>
        <w:t xml:space="preserve">"El cuarto caso que se produce en Mallorca del Síndrome de Inmunodeficiencia Adquirida, lo padece un arquitecto palmesano, quien convivía desde hace algún tiempo con otro compañero de profesión, catalán. Al parecer, el enfermo es L.V., de 39 años de edad. Los facultativos están efectuando distintas pruebas al compañero de vivienda del enfermo para comprobar si éste también padece el síndrome". </w:t>
      </w:r>
    </w:p>
    <w:p w:rsidR="00FE0907" w:rsidRDefault="00FE0907" w:rsidP="00FE0907">
      <w:pPr>
        <w:pStyle w:val="TextoNormal"/>
      </w:pPr>
      <w:r>
        <w:t xml:space="preserve">b) Don Lorenzo Vallés Gual y don Jaime Roiget Pou ejercieron acción sobre protección jurisdiccional de derechos fundamentales contra los ahora recurrentes en amparo y subsidiariamente contra todos los miembros del consejo de administración del periódico por entender que la noticia publicada constituía una intromisión ilegítima en el derecho fundamental al honor a la intimidad personal y familiar y a la propia imagen, y solicitando una indemnización de 50 millones de pesetas para cada uno de ellos. Los demandados solicitaron su absolución por entender que la noticia no había sobrepasado los límites de la libertad de ex- presión. El Juzgado de Primera Instancia de Palma de Mallorca, por Sentencia de 19 de junio de 1986, absuelve a los miembros del consejo de administración del diario y estima la demanda en todos sus extremos en relación a los recurrentes de amparo, pero reduciendo la indemnización a la cantidad de cinco millones de pesetas para cada uno de los actores. </w:t>
      </w:r>
    </w:p>
    <w:p w:rsidR="00FE0907" w:rsidRDefault="00FE0907" w:rsidP="00FE0907">
      <w:pPr>
        <w:pStyle w:val="TextoNormal"/>
      </w:pPr>
      <w:r>
        <w:t xml:space="preserve">c) Interpuesto recurso de apelación por todas las partes procesales, la Audiencia Territorial de Palma, por Sentencia de 21 de marzo de 1987, desestimó el interpuesto por los recurrentes de amparo y estimó parcialmente el interpuesto por uno de los actores y la única heredera del otro, fallecido, a quien había sustituido procesalmente, elevando la cantidad a indemnizar a cada uno de ellos a diez millones de pesetas. </w:t>
      </w:r>
    </w:p>
    <w:p w:rsidR="00FE0907" w:rsidRDefault="00FE0907" w:rsidP="00FE0907">
      <w:pPr>
        <w:pStyle w:val="TextoNormal"/>
      </w:pPr>
      <w:r>
        <w:t>d) Interpuesto recurso de casación por los recurrentes de amparo, fue desestimado por Sentencia del Tribunal Supremo, de 18 de julio de 1988, con excepción de lo referente a la condena en costas de la apelación.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 invoca una triple violación de derechos fundamentales: </w:t>
      </w:r>
    </w:p>
    <w:p w:rsidR="00FE0907" w:rsidRDefault="00FE0907" w:rsidP="00FE0907">
      <w:pPr>
        <w:pStyle w:val="TextoNormal"/>
      </w:pPr>
      <w:r>
        <w:t xml:space="preserve">a) Del art. 24 C.E. en cuanto legítima una litis a la que no ha sido llamado el periodista autor de la información, que es el causante de la conducta objeto de la condena, lo que supone por una parte que se vieron imposibilitados de argumentar en contra de la responsabilidad que les era exigida con las razones que sólo eran propias del autor no llamado al pleito, y por otra que les es imposible ejercer contra él la acción de repetición. </w:t>
      </w:r>
    </w:p>
    <w:p w:rsidR="00FE0907" w:rsidRDefault="00FE0907" w:rsidP="00FE0907">
      <w:pPr>
        <w:pStyle w:val="TextoNormal"/>
      </w:pPr>
      <w:r>
        <w:t xml:space="preserve">b) Del art. 20.1 a) y d) C.E., al considerar prevalente el art. 18.1 C.E., en abierta contradicción con la doctrina del Tribunal Constitucional (citando al respecto las SSTC 104/1986, 6/1988 y 107/1988), dejando de valorar la veracidad insita en la afirmación, la abso- luta asepsia informativa y su interés público, e ignorando que, a pesar del tenor literal del art. 20.4 C.E. no siempre y necesariamente prevalecen los derechos de la personalidad sobre el derecho a la información. </w:t>
      </w:r>
    </w:p>
    <w:p w:rsidR="00FE0907" w:rsidRDefault="00FE0907" w:rsidP="00FE0907">
      <w:pPr>
        <w:pStyle w:val="TextoNormal"/>
      </w:pPr>
      <w:r>
        <w:t xml:space="preserve">c) Del art. 14 en relación al 24, denunciando una supuesta ilegalidad en la aplicación de la ley y ofreciendo como término de comparación la STS de 23 de marzo de 1987 en la que según afirma y ante una petición idéntica de reducción de la cuantía indemnizatoria, se llega a una solución distinta a la de la Sentencia recurrida. En relación también a la cuantia indemnizatoria alegan una supuesta violación del art. 24 por resultar inmotivada. </w:t>
      </w:r>
    </w:p>
    <w:p w:rsidR="00FE0907" w:rsidRDefault="00FE0907" w:rsidP="00FE0907">
      <w:pPr>
        <w:pStyle w:val="TextoNormal"/>
      </w:pPr>
      <w:r>
        <w:t>Solicitan que se declare la nulidad de la Sentencia impugnada y asimismo la suspensión de su ejecución.</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Con fecha 7 de noviembre de 1988 la Sección Tercera dictó providencia en la que con carácter previo a decidir sobre la admisión del recurso de amparo se solicitaba de los </w:t>
      </w:r>
      <w:r>
        <w:lastRenderedPageBreak/>
        <w:t>recurrentes certificación acreditativa de la notificación de la resolución impugnada, a efectos del art. 44.2 LOTC.</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Mediante nueva providencia de la Sección Tercera, de 23 de diciembre de 1988, se acordó tener por recibida la certificación requerida, y, en aplicación del art. 50.3 de la LOTC conceder a los demandantes en amparo y al Ministerio Fiscal el plazo común de diez días para formular alegaciones en torno a la carencia manifiesta de contenido constitucional de la demanda [art. 50.1 c) LOTC]. </w:t>
      </w:r>
    </w:p>
    <w:p w:rsidR="00FE0907" w:rsidRDefault="00FE0907" w:rsidP="00FE0907">
      <w:pPr>
        <w:pStyle w:val="TextoNormal"/>
      </w:pPr>
      <w:r>
        <w:t xml:space="preserve">En el citado plazo el Ministerio Fiscal considera que no hay vulneración alguna del art. 24.1 por la legitimación procesal de la litis, al tratarse de un procedimiento civil y al no empecer la hipotética responsabilidad del autor de la información la del director y la entidad editora, rechaza también las alegaciones en torno al quantum indemnizatorio, en su aspecto de igualdad en la aplicación de la ley por no ser la Sentencia aportada término hábil de comparación y en su aspecto de falta de motivación por la propia lectura del fundamento quinto de la Sentencia, y por último, en relación al aspecto central del recurso, la supuesta vulneración del art. 20, considera que la noticia está rodeada de un abanico de elementos totalmente innecesarios y superfluos para poder justificar su pretendido interés social y que claramente invaden el respeto que merece el derecho también fundamental a la intimidad personal y familiar. Concluye en consecuencia solicitando la inadmisión del recurso mediante Auto por carencia manifiesta de contenido constitucional. </w:t>
      </w:r>
    </w:p>
    <w:p w:rsidR="00FE0907" w:rsidRDefault="00FE0907" w:rsidP="00FE0907">
      <w:pPr>
        <w:pStyle w:val="TextoNormal"/>
      </w:pPr>
      <w:r>
        <w:t>Por su parte la representación de los recurrentes subraya el manifiesto contenido constitucional de la demanda, para reiterar a continuación sus argumentaciones en torno a la prevalencia del derecho a la libertad de expresión, la autonomía del derecho a difundir información veraz y los aspectos procesales denunciados inicialmente en la demanda. Suplica que se dicte resolución declarando la admisión a trámite del recurso.</w:t>
      </w:r>
    </w:p>
    <w:p w:rsidR="00FE0907" w:rsidRDefault="00FE0907" w:rsidP="00FE0907">
      <w:pPr>
        <w:pStyle w:val="TextoNormal"/>
      </w:pPr>
    </w:p>
    <w:p w:rsidR="00FE0907" w:rsidRDefault="00FE0907" w:rsidP="00FE0907">
      <w:pPr>
        <w:pStyle w:val="TextoNormal"/>
      </w:pPr>
      <w:r w:rsidRPr="00FE0907">
        <w:rPr>
          <w:rStyle w:val="NumeroAFNegritaCaracter"/>
        </w:rPr>
        <w:t>6</w:t>
      </w:r>
      <w:r>
        <w:t>. La Sección Primera, en providencia de 17 de abril de 1989, acordó la admisión a trámite de la demanda de amparo, la solicitud de remisión de los antecedentes judiciales obrantes en el Tribunal Supremo, y la Audiencia Territorial y Juzgado núm. 4 de Palma de Mallorca, así como el emplazamiento de quienes fueron parte en el proceso.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En providencia de la misma fecha, la Sección acordó abrir pieza separada de suspensión y, conforme a lo dispuesto en el art. 56.2 LOTC, otorgar plazo común de tres días a los recurrentes y al Ministerio Fiscal para que alegasen lo que estimaran procedente sobre la suspensión solicitada. </w:t>
      </w:r>
    </w:p>
    <w:p w:rsidR="00FE0907" w:rsidRDefault="00FE0907" w:rsidP="00FE0907">
      <w:pPr>
        <w:pStyle w:val="TextoNormal"/>
      </w:pPr>
      <w:r>
        <w:t>Finalizado el trámite de alegaciones, la Sala Primera dictó Auto de 22 de mayo de 1989 en el que se acordaba denegar la suspensión solicitada, condicionando la denegación a que por los perceptores de la indemnización se afianzase su eventual devolución.</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La Sección Primera, en providencia de 5 de junio de 1989, acordó acusar recibo de las actuaciones, tener por personados y partes a don Jaime Roiget Cabré y doña Angela Gual Fornés, y dar vista de las actuaciones a las partes y al Ministerio Fiscal para que en el plazo común de veinte días formularan las alegaciones que estimasen procedentes. </w:t>
      </w:r>
    </w:p>
    <w:p w:rsidR="00FE0907" w:rsidRDefault="00FE0907" w:rsidP="00FE0907">
      <w:pPr>
        <w:pStyle w:val="TextoNormal"/>
      </w:pPr>
      <w:r>
        <w:t xml:space="preserve">La representación de don Jaime Roiget y doña Angela Gual, contraparte en el proceso previo, analiza las alegaciones de los recurrentes. Sobre la falta de litisconsorcio considera que las víctimas no tenían medios para conocer la identidad del autor y que existe una responsabilidad civil solidaria del director y los editores. Juzga inexistente la supuesta falta </w:t>
      </w:r>
      <w:r>
        <w:lastRenderedPageBreak/>
        <w:t xml:space="preserve">de motivación del quantum indemnizatorio. Por último en relación a la supuesta violación del art. 20 C.E. considera que la noticia publicada no es veraz, carece de interés público informativo y evidencia falta de buena fé de los responsables, y que frente a ella ha de prevalecer el derecho al honor la intimidad y la propia imagen de los afectados. Concluye solicitando la desestimación de la demanda y, en aplicación del art. 95.2 de la LOTC, la condena en costas de los demandantes. </w:t>
      </w:r>
    </w:p>
    <w:p w:rsidR="00FE0907" w:rsidRDefault="00FE0907" w:rsidP="00FE0907">
      <w:pPr>
        <w:pStyle w:val="TextoNormal"/>
      </w:pPr>
      <w:r>
        <w:t xml:space="preserve">Los recurrentes, en aras de la economía procesal y por haber sido la fase de admisión un verdadero debate en torno al fondo, remiten en su escrito a lo ya alegado, añadiendo una serie de consideraciones generales sobre los problemas de la libertad de información en España, del tratamiento informativo del SIDA y de otros aspectos globalmente relacionados con el recurso. Concluyen suplicando la concesión del amparo, la nulidad de la decisión que ha impedido el pleno ejercicio del derecho a difundir información veraz, y la adopción de las medidas accesorias procedentes. </w:t>
      </w:r>
    </w:p>
    <w:p w:rsidR="00FE0907" w:rsidRDefault="00FE0907" w:rsidP="00FE0907">
      <w:pPr>
        <w:pStyle w:val="TextoNormal"/>
      </w:pPr>
      <w:r>
        <w:t>Por su parte, el Ministerio Fiscal reitera en su escrito el contenido de las alegaciones sobre la inadmisión a trámite del recurso de amparo. Añade únicamente la consideración de que la conducta de los recurrentes no sólo es una posible intromisión ilegítima en el honor, sino también en la intimidad de los afectados, precisión que es importante desde su punto de vista porque si bien la veracidad de una noticia puede excluir la intromisión ilegítima en el honor, por el contrario la intimidad presupone la veracidad de las informaciones, y se vulnera por el hecho de dar publicidad a hechos ciertos, pero cuyo sujeto tenía pleno derecho a mantener en su esfera privada. Concluye solicitando la denegación del amparo.</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12 de febrero de 1992, se fijó para deliberación y fallo el día 14 de febrero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Como en los antecedentes se ha expuesto, la demanda de amparo formula, frente a la Sentencia que impugna, tanto el reproche de haberse lesionado en ella los derechos constitucionales a la libertad de expresión e información [ art.  20.1 a) y d) de la norma fundamental] como la queja de que dicha resolución judicial menoscabó, asimismo, el derecho de los actores a la tutela judicial efectiva, sin indefensión (art.  24.1 de la Constitución), reproche, este último, que se pone en conexión, en uno de los planteamientos que a tal efecto la demanda expone, con la interdicción constitucional de la discriminación (art.  14). Antes de entrar, si procede, en el examen de aquella queja sustantiva es preciso considerar, por lo tanto, las que se aducen con cita de los arts.  24.1 y 14 de la Constitución.</w:t>
      </w:r>
    </w:p>
    <w:p w:rsidR="00FE0907" w:rsidRDefault="00FE0907" w:rsidP="00FE0907">
      <w:pPr>
        <w:pStyle w:val="TextoNormal"/>
      </w:pPr>
      <w:r>
        <w:t>Tales alegatos no pueden ser compartidos por este Tribunal ni en lo que se refiere a la supuesta indefensión ocasionada por la falta de llamamiento al proceso del autor de la noticia de la que trae causa este amparo ni tampoco, en segundo lugar, en lo relativo a la lesión de aquel mismo derecho, y del de igualdad, por los pronunciamientos recaídos en el procedimiento que antecede en orden a la cuantía de la indemnización civil a cuyo pago fueron condenados los actores.</w:t>
      </w:r>
    </w:p>
    <w:p w:rsidR="00FE0907" w:rsidRDefault="00FE0907" w:rsidP="00FE0907">
      <w:pPr>
        <w:pStyle w:val="TextoNormal"/>
      </w:pPr>
      <w:r>
        <w:t xml:space="preserve">Es patente, desde luego, la falta de razón jurídica del primero de dichos alegatos. Con independencia de que la noticia publicada el día 15 de febrero de 1986 en el Diario "Baleares", y de la que aquí se trata, apareció sin firmar por su autor, es lo cierto que los órganos judiciales que han examinado esta queja estimaron correcta la constitución, ante ellos, </w:t>
      </w:r>
      <w:r>
        <w:lastRenderedPageBreak/>
        <w:t>de la relación jurídico-procesal sobre la base de lo dispuesto en el artículo 1144 del Código Civil en orden a las obligaciones solidarias, sin que dicha calificación de estricta legalidad (la de que son solidarias las responsabilidades derivadas de una intromisión ilegítima en el ámbito de protección de la Ley Orgánica 1/1982) pueda ser discutida en este cauce, pues tal apreciación corresponde, inequívocamente, a los órganos jurisdiccionales que aquí resolvieron de un modo -esto es lo relevante- que en manera alguna puede ser tachado de inmotivado o de irrazonable.  Todo ello sin perjuicio de que, como ha observado el Ministerio Fiscal, los propios actores asumieron en la vista del recurso de casación el carácter solidario, que hoy discuten, de las responsabilidades mencionadas (fundamento jurídico 5º de la Sentencia de la Sala Primera del Tribunal Supremo, impugnada en este recurso).</w:t>
      </w:r>
    </w:p>
    <w:p w:rsidR="00FE0907" w:rsidRDefault="00FE0907" w:rsidP="00FE0907">
      <w:pPr>
        <w:pStyle w:val="TextoNormal"/>
      </w:pPr>
      <w:r>
        <w:t>No mejor suerte ha de correr el segundo de los argumentos expuestos en la demanda con cita de los arts.  14 y 24.1 de la Constitución, pues es notorio que bajo la invocación de tales preceptos lo que se plantea no es, en rigor, sino una discusión, en la que este Tribunal tampoco ha de entrar, sobre el quantum de la indemnización, cuya estimación no puede controvertirse en este cauce sino cuando resulte -lo que aquí, desde luego, no ocurre- manifiestamente irrazonable o desproporcionada. Obvio es, en fin, que tal fijación judicial del monto de la indemnización tampoco puede ser objeto de controversia a la luz, como aquí se pretende, de resoluciones anteriores del mismo órgano judicial que versaron sobre asuntos distintos, como por definición lo son todos aquellos en los que se examinan las circunstancias fácticas de una actuación para determinar, a la vista de sus efectos concretos, la indemnización que resulte, en cada caso, procedente.</w:t>
      </w:r>
    </w:p>
    <w:p w:rsidR="00FE0907" w:rsidRDefault="00FE0907" w:rsidP="00FE0907">
      <w:pPr>
        <w:pStyle w:val="TextoNormal"/>
      </w:pPr>
      <w:r>
        <w:t>El recurso, pues, no puede ser acogido en cuanto a estas quejas.</w:t>
      </w:r>
    </w:p>
    <w:p w:rsidR="00FE0907" w:rsidRDefault="00FE0907" w:rsidP="00FE0907">
      <w:pPr>
        <w:pStyle w:val="TextoNormal"/>
      </w:pPr>
    </w:p>
    <w:p w:rsidR="00FE0907" w:rsidRDefault="00FE0907" w:rsidP="00FE0907">
      <w:pPr>
        <w:pStyle w:val="TextoNormal"/>
      </w:pPr>
      <w:r w:rsidRPr="00FE0907">
        <w:rPr>
          <w:rStyle w:val="NumeroAFNegritaCaracter"/>
        </w:rPr>
        <w:t>2</w:t>
      </w:r>
      <w:r>
        <w:t>. El núcleo de la argumentación actora se encuentra, con todo, en la parte de la demanda que afirma la lesión de los derechos ex artículo 20.1 a) y d) de la Constitución por no haber acogido el Tribunal Supremo el alegato de los actores según el cual la noticia periodística considerada en primera instancia y en apelación como la intromisión ilegítima a la que se refiere el art.  7.3 de la Ley Orgánica 1/1982 habría sido redactada y publicada, sin embargo, en el legítimo ejercicio de las invocadas libertades fundamentales. A tal efecto los demandantes aducen -en síntesis- que la Sala Primera del Tribunal Supremo no valoró, en su Sentencia, la "veracidad" de la noticia transmitida ni su "asepsia informativa", no ponderándose tampoco -añaden- el "interés público" al que tal información respondería, todo lo cual habría redundado en efectivo menoscabo de los derechos de quienes recurren a la expresión e información libres.</w:t>
      </w:r>
    </w:p>
    <w:p w:rsidR="00FE0907" w:rsidRDefault="00FE0907" w:rsidP="00FE0907">
      <w:pPr>
        <w:pStyle w:val="TextoNormal"/>
      </w:pPr>
      <w:r>
        <w:t xml:space="preserve">Se plantea así, una vez más, una controversia sobre la delimitación concreta, a la luz de la citada Ley Orgánica, de los derechos que enuncian los arts.  18.1 y 20.1 de la Constitución, delimitación que, en abstracto, la propia Norma fundamental se ha cuidado de preservar en el núm.  4 de este último precepto.  Sobre la interacción y delimitación recíproca que así se produce entre unos y otros de tales derechos existe, como bien se sabe, una muy reiterada doctrina constitucional a la que se habrá de hacer referencia para resolver el caso presente, no sin antes adelantar dos puntualizaciones sobre lo expuesto y fundamentado, al respecto, en la demanda. La primera de dichas matizaciones se refiere a la correcta identificación del derecho fundamental que aquí, de ser correcto lo alegado en la demanda, habría sido vulnerado, derecho que no sería el reconocido en el art.  20.1 a) (libertad de expresión), sino el enunciado, más bien, en la letra d) del mismo artículo (derecho "a comunicar ...  libremente información"), pues es del todo claro que entra en el ámbito de este último precepto, no en el de aquél, la información escueta y ajena a toda glosa, comentario </w:t>
      </w:r>
      <w:r>
        <w:lastRenderedPageBreak/>
        <w:t>o apreciación subjetiva, ello sin perjuicio, claro está, de que no falten supuestos para los que han de ser relevantes una y otra libertad.  La segunda puntualización lo es respecto de uno de los reproches formulados frente a la Sentencia que se impugna, a la que se tacha, según se ha dicho, de no haber valorado determinados rasgos de la noticia, como serían su "veracidad" y "asepsia informativa", así como el interés público al que la misma serviría. Pero cualquiera que sea el criterio que se mantenga sobre la fundamentación jurídica expuesta por el Tribunal Supremo - y en ello entraremos a continuación-, es de todo punto evidente que tal reproche de falta de valoración o ponderación no puede sostenerse, pues, efectivamente, la Sentencia dictada en casación examinó suficientemente los extremos que quedan dichos. Así hay que dejarlo sentado desde ahora, aunque ello no baste para concluir la presente Sentencia, pues lo que se requiere de los órganos jurisdiccionales, en casos como el presente, no es sólo que ponderen explícitamente, antes de adoptar su decisión, los ámbitos respectivos de los derechos en tensión, sino que dicha ponderación se acomode, como exigencia ya sustantiva, a la propia configuración de tales derechos en la Constitución y en las leyes que los desarrollan, según la interpretación que expresa la doctrina de este Tribunal (STC 65/1991, fundamento jurídico 4º).</w:t>
      </w:r>
    </w:p>
    <w:p w:rsidR="00FE0907" w:rsidRDefault="00FE0907" w:rsidP="00FE0907">
      <w:pPr>
        <w:pStyle w:val="TextoNormal"/>
      </w:pPr>
    </w:p>
    <w:p w:rsidR="00FE0907" w:rsidRDefault="00FE0907" w:rsidP="00FE0907">
      <w:pPr>
        <w:pStyle w:val="TextoNormal"/>
      </w:pPr>
      <w:r w:rsidRPr="00FE0907">
        <w:rPr>
          <w:rStyle w:val="NumeroAFNegritaCaracter"/>
        </w:rPr>
        <w:t>3</w:t>
      </w:r>
      <w:r>
        <w:t>. Nosotros no podemos sino compartir, en este caso, la ponderación llevada a cabo por el Tribunal Supremo, lo que nos conduce al rechazo de la pretensión actora.</w:t>
      </w:r>
    </w:p>
    <w:p w:rsidR="00FE0907" w:rsidRDefault="00FE0907" w:rsidP="00FE0907">
      <w:pPr>
        <w:pStyle w:val="TextoNormal"/>
      </w:pPr>
      <w:r>
        <w:t>No es primordial para resolver este recurso, en contra de lo que los actores creen, la cuestión de si la noticia fue, en este caso, veraz o no, pues la intimidad que la Constitución protege, y cuya garantía civil articula la repetida Ley Orgánica 1/1982, no es menos digna de respeto por el hecho de que resulten veraces las informaciones relativas "a la vida privada de una persona o familia que afecten a su reputación y buen nombre" (art.  7.3 de dicha Ley Orgánica), según hemos tenido ya ocasión de precisar en resoluciones anteriores ( STC 197/1991, fundamento jurídico 2º), ya que, tratándose de la intimidad, la veracidad no es paliativo, sino presupuesto, en todo caso, de la lesión.  Lo sustantivo es, más bien, si los órganos judiciales que aquí intervinieron -y, en especial, la Sala Primera del Tribunal Supremo- identificaron con corrección el ámbito de protección constitucional que para sí invocaron los demandantes en el proceso a quo y si tal valoración fue respetuosa, de otra parte, con la definición constitucional del derecho a la libertad de información. La respuesta no puede ser sino positiva.</w:t>
      </w:r>
    </w:p>
    <w:p w:rsidR="00FE0907" w:rsidRDefault="00FE0907" w:rsidP="00FE0907">
      <w:pPr>
        <w:pStyle w:val="TextoNormal"/>
      </w:pPr>
      <w:r>
        <w:t>La libertad de información es, sin duda, un derecho al que la Constitución dispensa, junto a otros de su misma dignidad, la máxima protección y su ejercicio está ligado, como repetidamente hemos dicho (desde la STC 6/1981, fundamento jurídico 3º), al valor objetivo que es la comunicación pública libre, inseparable de la condición pluralista y democrática del Estado en que nuestra comunidad se organiza. Pero cuando tal libertad se quiere ejercer sobre ámbitos que pueden afectar a otros bienes constitucionales, como son el honor y, en este caso, la intimidad, es preciso, para que su proyección sea legítima, que lo informado resulte de interés público (STC 171/1990, fundamento jurídico 5º, por todas), pues solo entonces puede exigirse de aquellos a quienes afecta o perturba el contenido de la información que, pese a ello, la soporten en aras, precisamente, del conocimiento general y difusión de hechos y situaciones que interesan a la comunidad.  Tal relevancia comunitaria, y no la simple satisfacción de la curiosidad ajena, es lo único que puede justificar la exigencia de que se asuman aquellas perturbaciones o molestias ocasionadas por la difusión de una determinada noticia y reside en tal criterio, por consiguiente, el elemento final de valoración para dirimir, en estos supuestos, el conflicto entre el honor y la intimidad, de una parte, y la libertad de información, de la otra.</w:t>
      </w:r>
    </w:p>
    <w:p w:rsidR="00FE0907" w:rsidRDefault="00FE0907" w:rsidP="00FE0907">
      <w:pPr>
        <w:pStyle w:val="TextoNormal"/>
      </w:pPr>
      <w:r>
        <w:lastRenderedPageBreak/>
        <w:t>No fue el honor de los demandantes en el proceso que antecede agraviado, ciertamente, en este caso, pues, como dicen los hoy recurrentes, ninguna enfermedad es, en sí misma, deshonrosa. Pero sí fue lesionada su intimidad, con claridad plena, porque en modo alguno puede exigirse a nadie que soporte pasivamente la difusión periodística de datos, reales o supuestos, de su vida privada que afecten a su reputación, según el sentir común, y que sean triviales o indiferentes para el interés público.  Ninguna duda hay, en cuanto a lo primero, de que la reputación de las personas (art. 7.3 de la Ley Orgánica 1/1982) fue aquí afectada, bastando, a tal efecto, con remitirse a lo fundamentado al respecto por los órganos jurisdiccionales que resolvieron y que apreciaron, muy razonadamente, que la identificación periodística, indirecta pero inequívoca, de una determinada persona como afectada por el Síndrome de Inmunodeficiencia Adquirida (SIDA) deparaba, teniendo en cuenta actitudes sociales que son hechos notorios, un daño moral (y también económico, como luego se demostró) a quienes así se vieron señalados como afectados por una enfermedad cuyas causas y vías de propagación han generado y generan una alarma social con frecuencia acompañada de reacciones, tan reprobables como desgraciadamente reales, de marginación para muchas de sus víctimas. Y también es notorio, en segundo lugar y por último, que la identificación de las personas así supuestamente afectadas por tal enfermedad fue, en el sentido más propio de las palabras, irrelevante a efectos de la información que se quiso transmitir, pues si ninguna duda hay en orden a la conveniencia de que la comunidad sea informada sobre el origen y la evolución, en todos los órdenes, de un determinado mal, no cabe decir lo mismo en cuanto a la individualización, directa o indirecta, de quienes lo padecen, o así se dice, en tanto ellos mismos no hayan permitido o facilitado tal conocimiento general. Tal información no es ya de interés público, y no lo fue aquí, con la consecuencia, ya clara, de que su difusión comportó un daño o, cuando menos, una perturbación injustificada por carente, en rigor, de todo sentido.</w:t>
      </w:r>
    </w:p>
    <w:p w:rsidR="00FE0907" w:rsidRDefault="00FE0907" w:rsidP="00FE0907">
      <w:pPr>
        <w:pStyle w:val="TextoNormal"/>
      </w:pPr>
      <w:r>
        <w:t>La intimidad personal y familiar es, en suma, un bien que tiene la condición de derecho fundamental (art.  18.1 de la Constitución) y sin el cual no es realizable, ni concebible siquiera, la existencia en dignidad que a todos quiere asegurar la norma fundamental (art.10.1). Y aunque no todo alegato en defensa de lo que se diga vida privada será, como la legislación y nuestra jurisprudencia muestran, merecedor de tal aprecio y protección, sí es preciso reiterar ahora que la preservación de ese reducto de inmunidad sólo puede ceder, cuando del derecho a la información se trata, si lo difundido afecta, por su objeto y por su valor, al ámbito de lo público, no coincidente, claro es, con aquello que pueda suscitar o despertar, meramente, la curiosidad ajena. No se atuvo a este criterio la información enjuiciada en el proceso que antecede y tampoco, por ello mismo, podemos conceder el amparo que se nos pide contra la Sentencia dictada por la Sala Primera del Tribunal Supremo.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interpuesto por Premsa Nova,S.A. y don Miguel Serra Magraner.</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4" w:name="SENTENCIA_1992_21"/>
      <w:r>
        <w:lastRenderedPageBreak/>
        <w:t>SENTENCIA 21/1992, de 14 de febrero de 1992</w:t>
      </w:r>
    </w:p>
    <w:bookmarkEnd w:id="24"/>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ECLI:ES:TC:1992:21</w:t>
      </w:r>
    </w:p>
    <w:p w:rsidR="00FE0907" w:rsidRDefault="00FE0907" w:rsidP="00FE0907">
      <w:pPr>
        <w:pStyle w:val="SntesisDescriptiva"/>
      </w:pPr>
    </w:p>
    <w:p w:rsidR="00FE0907" w:rsidRDefault="00FE0907" w:rsidP="00FE0907">
      <w:pPr>
        <w:pStyle w:val="SntesisDescriptiva"/>
      </w:pPr>
      <w:r>
        <w:t>Recurso de amparo 1.821/1988. Contra Sentencia de la Sala Sexta del Tribunal supremo dictada en autos sobre despido.</w:t>
      </w:r>
    </w:p>
    <w:p w:rsidR="00FE0907" w:rsidRDefault="00FE0907" w:rsidP="00FE0907">
      <w:pPr>
        <w:pStyle w:val="SntesisDescriptiva"/>
      </w:pPr>
    </w:p>
    <w:p w:rsidR="00FE0907" w:rsidRDefault="00FE0907" w:rsidP="00FE0907">
      <w:pPr>
        <w:pStyle w:val="SntesisAnaltica"/>
      </w:pPr>
      <w:r>
        <w:t>Supuesta vulneración de los arts. 14 y 28.1 C.E.: despido improcedente</w:t>
      </w:r>
    </w:p>
    <w:p w:rsidR="00FE0907" w:rsidRDefault="00FE0907" w:rsidP="00FE0907">
      <w:pPr>
        <w:pStyle w:val="SntesisAnaltica"/>
      </w:pPr>
    </w:p>
    <w:p w:rsidR="00FE0907" w:rsidRDefault="00FE0907" w:rsidP="00FE0907">
      <w:pPr>
        <w:pStyle w:val="Extracto"/>
      </w:pPr>
      <w:r>
        <w:t>1.</w:t>
      </w:r>
      <w:r>
        <w:tab/>
        <w:t>Se reitera la doctrina sentada por este Tribunal en relación con los despidos lesivos de derechos fundamentales (SSTC 38/1981, 94/1984, 47/1985, 88/1985, 104/1987, 166/1988, 114/1989, 135/1990 y 197/1990) y, singularmente, del derecho de libertad sindical reconocido en el art. 28.1 de la Constitución ( SSTC 38/1981, 104/1987, 114/1989, 135/1990 y 197/1990) [F.J. 3].</w:t>
      </w:r>
    </w:p>
    <w:p w:rsidR="00FE0907" w:rsidRDefault="00FE0907" w:rsidP="00FE0907">
      <w:pPr>
        <w:pStyle w:val="Extracto"/>
      </w:pPr>
    </w:p>
    <w:p w:rsidR="00FE0907" w:rsidRDefault="00FE0907" w:rsidP="00FE0907">
      <w:pPr>
        <w:pStyle w:val="Extracto"/>
      </w:pPr>
      <w:r>
        <w:t>2.</w:t>
      </w:r>
      <w:r>
        <w:tab/>
        <w:t>Ha de recordarse que este Tribunal debe necesariamente partir de los hechos declarados probados por los órganos judiciales (art. 44.1 LOTC) [F.J. 4].</w:t>
      </w:r>
    </w:p>
    <w:p w:rsidR="00FE0907" w:rsidRDefault="00FE0907" w:rsidP="00FE0907">
      <w:pPr>
        <w:pStyle w:val="Extracto"/>
      </w:pPr>
    </w:p>
    <w:p w:rsidR="00FE0907" w:rsidRDefault="00FE0907" w:rsidP="00FE0907">
      <w:pPr>
        <w:pStyle w:val="Extracto"/>
      </w:pPr>
      <w:r>
        <w:t>3.</w:t>
      </w:r>
      <w:r>
        <w:tab/>
        <w:t>El principio de igualdad ante la Ley no significa un imposible derecho a la igualdad en la ilegalidad, de manera que en ningún caso aquél a quien se aplica la Ley puede considerar violado el citado principio constitucional por el hecho de que la Ley no se aplique a otros que asimismo la han incumplido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1.821/88 promovido por don Miguel Angel García Fernández, representado por la Procura dora de los Tribunales doña Elisa Hurtado Pérez y asistido por el Letrado don Marcial Amor Pérez, contra la Sentencia de la Sala Sexta del Tribunal Supremo de 7 de junio de 1988, dictada en autos sobre despido. Han comparecido el Ministerio Fiscal y el Banco Español de Crédito, S.A., representado por el Procurador de los Tribunales don Aquiles Ullrich y Dotti y asistido por el Letrado don Julio Lapuente Bujía. Ha sido Ponente el Magistrado don Jesús Leguina Villa,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registrado en este Tribunal el 15 de noviembre de 1989, don Miguel Angel García Fernández, representado por la Procuradora de los Tribunales doña Elisa Hurtado Pérez, interpone recurso de amparo contra la Sentencia de la Sala Sexta del Tribunal Supremo de 7 de junio de 1988, dictada en autos sobre despido.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tiene como base los siguientes antecedentes de hecho: </w:t>
      </w:r>
    </w:p>
    <w:p w:rsidR="00FE0907" w:rsidRDefault="00FE0907" w:rsidP="00FE0907">
      <w:pPr>
        <w:pStyle w:val="TextoNormal"/>
      </w:pPr>
      <w:r>
        <w:t xml:space="preserve">a) El demandante, que prestaba sus servicios desde 1975 en el Banco Español de Crédito, fue despedido en julio de 1986 por reiteradas faltas de puntualidad en mayo y junio de dicho año. En la carta de despido se hacía referencia a las anteriores sanciones que se le habían impuesto por esa misma falta; sanciones de traslado, de "recargo" o de pérdida de "grado", que, tras la correspondiente demanda del trabajador, fueron sustituídas por los órganos judiciales por la de amonestación privada, salvo una que fue anulada por no aportar el Banco el Reglamento de Régimen Interior de la Entidad. </w:t>
      </w:r>
    </w:p>
    <w:p w:rsidR="00FE0907" w:rsidRDefault="00FE0907" w:rsidP="00FE0907">
      <w:pPr>
        <w:pStyle w:val="TextoNormal"/>
      </w:pPr>
      <w:r>
        <w:t xml:space="preserve">b) El trabajador impugnó el despido, entendiendo que era discriminatorio respecto de otros trabajadores y motivado en razones sindicales, siendo prueba de ello -se afirmaba- los antecedentes y Sentencias que obran en el expediente de aquél y el hecho de ser conocido como miembro del sindicato Unión General de Trabajadores (UGT). Se solicitaba que el despido fuera declarado radicalmente nulo o, subsidiariamente, improcedente. </w:t>
      </w:r>
    </w:p>
    <w:p w:rsidR="00FE0907" w:rsidRDefault="00FE0907" w:rsidP="00FE0907">
      <w:pPr>
        <w:pStyle w:val="TextoNormal"/>
      </w:pPr>
      <w:r>
        <w:t xml:space="preserve">c) La Sentencia de la Magistratura de Trabajo núm. 3 de Madrid de 10 de diciembre de 1986 estimó la demanda y declaró la nulidad radical del despido. La Sentencia declara probadas las imputadas faltas de puntualidad del trabajador durante los meses de mayo y junio de 1986, si bien -añade- el Banco otorgaba diez minutos por retraso, sin sancionarlos, por lo que se denominaba "cortesía", y en el período señalado el reloj estaba adelantado un minuto. Declara igualmente probado el órgano judicial que en el centro de trabajo del actor había trabajadores con mayores retrasos que no habían sido despedidos y, en fin, que el trabajador, que no era miembro del comité de empresa, pertenecía a la sección sindical de UGT y era muy conocido por sus actividades sindicales, habiendo llegado a presidir en varias ocasiones la asamblea ordinaria de esa sección. </w:t>
      </w:r>
    </w:p>
    <w:p w:rsidR="00FE0907" w:rsidRDefault="00FE0907" w:rsidP="00FE0907">
      <w:pPr>
        <w:pStyle w:val="TextoNormal"/>
      </w:pPr>
      <w:r>
        <w:t>d) El Banco formalizó recurso de casación contra la anterior Sentencia, solicitando que se declarara la procedencia del despido o, subsidiariamente, su improcedencia. La Sentencia de la Sala Sexta del Tribunal Supremo de 7 de junio de 1988 declaró haber lugar al recurso, acogiendo su pretensión subsidiaria, por lo que declaró la improcedencia del despido. El Tribunal Supremo eliminó del relato de hechos probados el que afirmaba que en el centro de trabajo del actor había trabajadores con mayores retrasos. El Tribunal Supremo rechaza que el despido pudiera calificarse de radicalmente nulo, en primer lugar, porque quedó acreditado que las impuntualidades del actor habían sido más numerosas que las de otros compañeros de trabajo, sin que hubiera habido por tanto iguales faltas de aquél y éstos, comportando el del primero menos tiempo de asistencia al trabajo. Y, en segundo término, porque no se había concretado la precisa actividad sindical del actor que pudiera ser la determinante de la reacción empresarial, al margen de sus incumplimientos horarios; sin que sea suficiente la mera invocación de aquella actividad sindical, más o menos destacada, para considerarla determinante, por sí misma y sin más, de la decisión empresarial. El Tribunal Supremo considera que debe acreditarse en alguna medida, siquiera sea en forma indiciaria, la existencia de un hecho de naturaleza sindical o no estric</w:t>
      </w:r>
      <w:r>
        <w:lastRenderedPageBreak/>
        <w:t>tamente laboral que lleva a la empresa a la decisión extintiva, ofreciendo para ello una causa de despido disciplinario carente de consistencia o, incluso, de falta de realidad. Todo lo cual conduce al Tribunal Supremo a entender que se habían ofrecido causas suficientes, reales y serias para el despido, por la concurrencia de gravedad y culpabilidad (si no fuera por lo previsto en la Ordenanza Laboral, a la que luego se hace referencia, así hubiera sido, dice el órgano judicial), habida cuenta la reiteración en la impuntualidad; sin que, por el contrario, se hubieran ofrecido elementos para sostener que la empresa se había valido del mecanismo disciplinario para impedir la actividad sindical del actor. Aun no existiendo desproporción entre las faltas cometidas y la decisión extintiva, la Ordenanza Laboral aplicable tipifica la impuntualidad -sin otras precisiones ni matices respecto a su número y por cuanto tiempo- como falta leve; y como las de esta naturaleza no pueden sancionarse con el despido, éste -concluye el Tribunal Supremo- ha de ser calificado de improcedente.</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Contra la Sentencia del Tribunal Supremo se interpone el presente recurso de amparo, por presunta vulneración de los arts. 14 y 28.1 de la Constitución, solicitándose su nulidad, así como la declaración de la nulidad radical del despido. </w:t>
      </w:r>
    </w:p>
    <w:p w:rsidR="00FE0907" w:rsidRDefault="00FE0907" w:rsidP="00FE0907">
      <w:pPr>
        <w:pStyle w:val="TextoNormal"/>
      </w:pPr>
      <w:r>
        <w:t xml:space="preserve">A) La empresa ha presentado el despido como disciplinario, pero tras ello -se sostiene- se oculta un despido discriminatorio, motivado en la afiliación y activismo sindical del demandante, que fue declarada probada por la sentencia de la Magistratura de Trabajo. El carácter antisindical y discriminatorio del despido no queda descartado por el mero hecho de que la empresa apercibiese a otros trabajadores, ya que a éstos, pese a que también tenían retrasos importantes, simplemente se les apercibió, aparte de que el apercibimiento se hizo después del despido aquí impugnado, para contrarrestar su posible calificación de discriminatorio. El despido no es más que el último acto dentro de un proceso de persecución del actor por sus actividades sindicales, de lo cual es prueba el hecho de que hubiera sido reiteradamente sancionado desde 1981 y de que la jurisdicción laboral declarara en repetidas ocasiones que esas sanciones eran improcedentes o excesivas. La empresa, además, ha seguido una conducta de gran sutileza jurídica, pues ha alegado un conjunto de faltas que por sí solas no tienen entidad para despedir, como entendió incluso el Tribunal Supremo, para dar apariencia de que existían causas de despido distintas de la represión antisindical, que es justamente lo que en realidad motivó la decisión extintiva. Aunque la empresa ha conseguido probar parcialmente los hechos imputados en la carta de despido, no puede descartarse sin más la acusación de atentado a la libertad sindical. Los hechos probados son calificados de mera falta leve por las dos resoluciones judiciales, es decir, como notoriamente inhábiles para justificar la decisión extintiva. Que la calificación de falta leve se haga en aplicación de la Ordenanza Laboral aplicable no empaña su validez. La Ordenanza era de sobra conocida por la empresa. No es de recibo decir que, de haberse valorado la conducta del trabajador unicamente desde el Estatuto de los Trabajadores, los retrasos serían merecedores del despido, y que por tanto la empresa actuó de buena fe. Para demostrar que no se trataba de prescindir del actor por su actividad sindical, bastaba haber acreditado la imposición de sanciones a otros trabajadores, sentando así que la empresa es exigente en el puntual cumplimiento horario de sus empleados. Pero la empresa sólo ha aportado ante los órganos judiciales las cartas de apercibimiento, que no de sanción, de dos trabajadores, que son de fecha posterior al despido del actor. </w:t>
      </w:r>
    </w:p>
    <w:p w:rsidR="00FE0907" w:rsidRDefault="00FE0907" w:rsidP="00FE0907">
      <w:pPr>
        <w:pStyle w:val="TextoNormal"/>
      </w:pPr>
      <w:r>
        <w:t xml:space="preserve">B) A pesar de que el Tribunal Supremo suprimió del relato de hechos probados la afirmación de la sentencia de instancia en el sentido de que en el centro de trabajo había otros trabajadores que tenían mayores retrasos que el actor, no por ello se ha de descartar la </w:t>
      </w:r>
      <w:r>
        <w:lastRenderedPageBreak/>
        <w:t>existencia de trato diferenciado para este último. De la lectura de la Sentencia del Tribunal Supremo se desprende que a otros dos trabajadores, con pocos minutos menos de retraso global, no sólo no se les despide, sino que sólamente se les apercibe. El actor es tratado de modo distinto solamente por su pertenencia a la sección sindical de UGT y ser un militante muy activo de la misma.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19 de diciembre de 1988, la Sección acuerda admitir a trámite la demanda, sin perjuicio de lo que resulte de los antecedentes y, de conformidad con lo dispuesto por el art. 51 de la LOTC, requerir atentamente al Tribunal Supremo y a la Magistratura de Trabajo núm. 3 de Madrid para que en el plazo de diez días remitan, respectivamente, testimonio del recurso de casación núm. 684/87 y de los autos núm. 882/86, interesándose al propio tiempo se emplace a quienes fueron parte en los mencionados procedimientos, con excepción del recurrente, para que en el plazo de diez días puedan personarse en el proceso constitucional. </w:t>
      </w:r>
    </w:p>
    <w:p w:rsidR="00FE0907" w:rsidRDefault="00FE0907" w:rsidP="00FE0907">
      <w:pPr>
        <w:pStyle w:val="TextoNormal"/>
      </w:pPr>
      <w:r>
        <w:t xml:space="preserve">Recibidas las actuaciones, la Sección, por providencia de 6 de febrero de 1989, acuerda tenerlas por recibidas, interesándose al propio tiempo de la Magistratura de Trabajo núm. 3 de Madrid que comunique la fecha de los emplazamientos interesados, ya que los mismos no aparecen en las actuaciones recibidas. </w:t>
      </w:r>
    </w:p>
    <w:p w:rsidR="00FE0907" w:rsidRDefault="00FE0907" w:rsidP="00FE0907">
      <w:pPr>
        <w:pStyle w:val="TextoNormal"/>
      </w:pPr>
      <w:r>
        <w:t xml:space="preserve">Notificado por aquella Magistratura que los emplazamientos se habían realizado el 17 de enero de 1989, y habiendo transcurrido con exceso el plazo de personación ante este Tribunal, la Sección, por providencia de 13 de febrero de 1989, y de conformidad con lo dispuesto por el art. 52 de la LOTC, acuerda dar vista de las actuaciones del presente recurso, por un plazo común de veinte días, al Ministerio Fiscal y al solicitante de amparo, para que dentro del mismo puedan presentar las alegaciones que a su derecho convengan. </w:t>
      </w:r>
    </w:p>
    <w:p w:rsidR="00FE0907" w:rsidRDefault="00FE0907" w:rsidP="00FE0907">
      <w:pPr>
        <w:pStyle w:val="TextoNormal"/>
      </w:pPr>
      <w:r>
        <w:t>Constatado que el emplazamiento se había hecho en la persona del recurrente en lugar de en la parte contraria, e interesándose de nuevo de la Magistratura de Trabajo núm. 3 de Madrid el emplazamiento de dicha parte, se personó el Banco Español de Crédito, S.A., representado por el Procurador de los Tribunales don Aquiles Ullrich y Dotti; por lo que la Sección, por providencia de 17 de abril de 1989, y de conformidad con lo dispuesto por el art. 52 de lo LOTC, acuerda dar vista de todas las actuaciones del presente recurso, por un plazo de veinte días, al citado Procurador para que pueda presentar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Ministerio Fiscal presenta su escrito de alegaciones el 10 de marzo de 1989. En el mismo, tras relatar detenidamente los antecedentes, se recuerda la doctrina sentada, entre otras, por las SSTC 38/1981 y 104/1987. La aplicación de esa doctrina conduce al Ministerio Fiscal a entender que en el presente caso no se ha vulnerado el art. 28.1 de la Constitución. Es cierto que ha quedado probado que el demandante desarrollaba cierta actividad sindical como miembro de UGT. Pero no aparece justificado que dicha actividad haya sido la que provocó la decisión extintiva de la empresa. Partiendo de los hechos probados, resulta claro que la conducta del actor, reiterada a lo largo del tiempo, merece la calificación de falta leve, de conformidad con lo dispuesto por la Ordenanza Laboral aplicable; por lo que, conforme a reiterada jurisprudencia de la Sala Sexta del Tribunal Supremo, el despido debe ser declarado improcedente. Siendo ello así, es obvio que el Banco ha probado unos hechos disciplinarios, correctamente calificados por el órgano judicial. No existe ni ausencia de cobertura fáctica, ni conexión con la actividad sindical del actor. Por lo que no cabe entender vulnerado el art. 28.1 de la Constitución. </w:t>
      </w:r>
    </w:p>
    <w:p w:rsidR="00FE0907" w:rsidRDefault="00FE0907" w:rsidP="00FE0907">
      <w:pPr>
        <w:pStyle w:val="TextoNormal"/>
      </w:pPr>
      <w:r>
        <w:lastRenderedPageBreak/>
        <w:t xml:space="preserve">Por lo que se refiere a la presunta vulneración del art. 14 de la Constitución, el Ministerio Fiscal afirma que, tras la sentencia del Tribunal Supremo que modificó los hechos declarados probados por la sentencia de instancia, no existe situación de desigualdad alguna. En todo caso, se invoca el principio de igualdad desde la ilicitud, lo que no es correcto, como ha señalado este Tribunal. Tampoco ha incurrido la sentencia recurrida, por tanto, en lesión del art. 14 de la Constitución. </w:t>
      </w:r>
    </w:p>
    <w:p w:rsidR="00FE0907" w:rsidRDefault="00FE0907" w:rsidP="00FE0907">
      <w:pPr>
        <w:pStyle w:val="TextoNormal"/>
      </w:pPr>
      <w:r>
        <w:t>Por todo lo expuesto, el Ministerio Fiscal interesa la denegación del amparo solicitado.</w:t>
      </w:r>
    </w:p>
    <w:p w:rsidR="00FE0907" w:rsidRDefault="00FE0907" w:rsidP="00FE0907">
      <w:pPr>
        <w:pStyle w:val="TextoNormal"/>
      </w:pPr>
    </w:p>
    <w:p w:rsidR="00FE0907" w:rsidRDefault="00FE0907" w:rsidP="00FE0907">
      <w:pPr>
        <w:pStyle w:val="TextoNormal"/>
      </w:pPr>
      <w:r w:rsidRPr="00FE0907">
        <w:rPr>
          <w:rStyle w:val="NumeroAFNegritaCaracter"/>
        </w:rPr>
        <w:t>6</w:t>
      </w:r>
      <w:r>
        <w:t>. La representación del solicitante de amparo pre senta su escrito de alegaciones el 11 de marzo de 1989. En el mismo se afirma, en primer lugar, que debe comprobarse si se emplazó al Banco Español de Crédito. Seguidamente, y a la vista de las actuaciones, se ratifican todas las alegaciones contenidas en la demanda, insistiendo en alguna de ellas.</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representación del Banco Español de Crédito, S.A., presenta su escrito de alegaciones el 10 de mayo de 1989. En el mismo se niega, en primer lugar, que se haya lesionado el art. 28.1 de la Constitución, toda vez que, de un lado, el actor había sido advertido con anterioridad por faltas de puntualidad; y, de otro, quedaron probadas las faltas mencionadas en la carta de despido. Ello demuestra una inveterada conducta del demandante de constantes impuntualidades; lo que podrá o no tener entidad suficiente a efectos de la procedencia de la decisión extintiva, pero acredita palmariamente, en todo caso, la ausencia de toda intención discriminatoria por parte de la empresa. Ha quedado acreditado, asimismo, que no ha habido iguales faltas entre el actor y otros compañeros de trabajo, pues las impuntualidades de aquél han sido más numerosas y han comportado menos tiempo de asistencia al trabajo. De conformidad con la doctrina de este Tribunal, el alegato de discriminación adquiere relevancia cuando no quedan probadas las causas de despido invocadas, lo que no ha ocurrido en el presente caso. Tampoco puede entenderse que se haya incurrido en lesión del art. 14 de la Constitución, pues, como se ha visto, no ha habido faltas iguales entre el actor y otros compañeros de trabajo. </w:t>
      </w:r>
    </w:p>
    <w:p w:rsidR="00FE0907" w:rsidRDefault="00FE0907" w:rsidP="00FE0907">
      <w:pPr>
        <w:pStyle w:val="TextoNormal"/>
      </w:pPr>
      <w:r>
        <w:t>Por todo lo expuesto, se solicita la denegación del amparo solicitado.</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12 de febrero de 1992, se señala para deliberación y votación de la presente Sentencia el día 14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demanda se interpone contra la Sentencia de la Sala Sexta del Tribunal Supremo de 7 de junio de 1988 que declaró improcedente el despido del solicitante de amparo, revocando así la anterior Sentencia de la Magistratura de Trabajo núm.  3 de Madrid que había declarado el despido radicalmente nulo.  Según la demanda, es esta última la calificación que necesariamente merece un despido que ha vulnerado los arts. 14 y 28.1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Para el adecuado análisis de la queja planteada han de sentarse las siguientes premisas:</w:t>
      </w:r>
    </w:p>
    <w:p w:rsidR="00FE0907" w:rsidRDefault="00FE0907" w:rsidP="00FE0907">
      <w:pPr>
        <w:pStyle w:val="TextoNormal"/>
      </w:pPr>
      <w:r>
        <w:t xml:space="preserve">a) El demandante fue despedido en julio de 1986 por faltas de puntualidad durante los meses de mayo y junio de ese mismo año.  Anteriormente había sido sancionado por las </w:t>
      </w:r>
      <w:r>
        <w:lastRenderedPageBreak/>
        <w:t>mismas faltas con sanciones distintas e inferiores al despido (traslado, "recargo", pérdida de "grado"), que fueron anuladas por los Tribunales laborales y sustituídas por otras sanciones menores (casi siempre, por la de amonestación privada).</w:t>
      </w:r>
    </w:p>
    <w:p w:rsidR="00FE0907" w:rsidRDefault="00FE0907" w:rsidP="00FE0907">
      <w:pPr>
        <w:pStyle w:val="TextoNormal"/>
      </w:pPr>
      <w:r>
        <w:t>b) La Sentencia de la Magistratura de Trabajo núm. 3 de Madrid, de 10 de diciembre de 1986, declaró la nulidad radical del despido. La Sentencia declara probadas las faltas de puntualidad imputadas al trabajador; declara igualmente probado que en el centro de trabajo del actor había trabajadores con mayores retrasos que no fueron despedidos; y, en fin, que el trabajador pertenecía a la sección sindical de UGT de la empresa y era muy conocido por sus actividades sindicales, habiendo llegado a presidir en varias ocasiones la asamblea ordinaria de esa sección.</w:t>
      </w:r>
    </w:p>
    <w:p w:rsidR="00FE0907" w:rsidRDefault="00FE0907" w:rsidP="00FE0907">
      <w:pPr>
        <w:pStyle w:val="TextoNormal"/>
      </w:pPr>
      <w:r>
        <w:t>c) Recurrida la anterior Sentencia por la empresa, solicitando la procedencia o subsidiaria improcedencia del despido, la sentencia de la Sala Sexta del Tribunal Supremo de 7 de junio de 1988 acoge esta última petición, rechazando que el despido fuera radicalmente nulo. El Tribunal Supremo suprime del relato de hechos probados de la Sentencia de instancia el que afirmaba que en la empresa en la que prestaba sus servicios el actor había trabajadores con mayores retrasos. No es posible calificar el despido de aquél de radicalmente nulo, toda vez que no hay igualdad de faltas entre unos y otros, sino que son más numerosas las impuntualidades del primero. Partiendo de que quedaron probadas dichas impuntualidades, el Tribunal Supremo considera que la empresa ha invocado causas suficientes, reales y serias para el despido. Causas basadas en incumplimientos que, según el Tribunal Supremo, conducirían a declarar procedente el despido, por su gravedad y culpabilidad, teniendo en cuenta su reiteración, si no fuera porque la Ordenanza Laboral aplicable tipifica la impuntualidad como falta leve, en todos los casos y sin excepción alguna, y esas faltas no pueden sancionarse con el despido; lo que obliga a declarar la improcedencia del mismo. El Tribunal Supremo entiende, por lo demás, que para considerar que es la actividad sindical del actor y no sus incumplimientos horarios el hecho determinante del despido no es suficiente la mera invocación de aquella actividad, sin mayor concreción, sino que debe acreditarse, siquiera sea en forma indiciaria, la existencia de un hecho de naturaleza sindical o no estrictamente laboral; hecho que se hallaría en el origen del despido, ofreciendo la empresa como cobertura del mismo una causa de despido disciplinario carente de consistencia o incluso de falta de realidad.</w:t>
      </w:r>
    </w:p>
    <w:p w:rsidR="00FE0907" w:rsidRDefault="00FE0907" w:rsidP="00FE0907">
      <w:pPr>
        <w:pStyle w:val="TextoNormal"/>
      </w:pPr>
    </w:p>
    <w:p w:rsidR="00FE0907" w:rsidRDefault="00FE0907" w:rsidP="00FE0907">
      <w:pPr>
        <w:pStyle w:val="TextoNormal"/>
      </w:pPr>
      <w:r w:rsidRPr="00FE0907">
        <w:rPr>
          <w:rStyle w:val="NumeroAFNegritaCaracter"/>
        </w:rPr>
        <w:t>3</w:t>
      </w:r>
      <w:r>
        <w:t>. El adecuado análisis de la cuestión planteada requiere partir, asimismo, de la doctrina sentada por este Tribunal en relación con los despidos lesivos de derechos fundamentales (SSTC 38/1981, 94/1984, 47/1985, 88/1985, 104/1987, 166/1988, 114/1989, 135/1990 y 197/1990) y, singularmente, del derecho de libertad sindical reconocido en el art.  28.1 de la Constitución (SSTC 38/1981, 104/1987, 114/1989, 135/1990 y 197/1990).</w:t>
      </w:r>
    </w:p>
    <w:p w:rsidR="00FE0907" w:rsidRDefault="00FE0907" w:rsidP="00FE0907">
      <w:pPr>
        <w:pStyle w:val="TextoNormal"/>
      </w:pPr>
      <w:r>
        <w:t>Doctrina de la que aquí es de interés destacar lo siguiente:</w:t>
      </w:r>
    </w:p>
    <w:p w:rsidR="00FE0907" w:rsidRDefault="00FE0907" w:rsidP="00FE0907">
      <w:pPr>
        <w:pStyle w:val="TextoNormal"/>
      </w:pPr>
      <w:r>
        <w:t>a) En los casos en que se alegue, en los términos que luego se concretan, que el despido es discriminatorio o lesivo de cualquier otro derecho fundamental del trabajador, el empresario tiene la carga de probar la existencia de causas suficientes, reales y serias para calificar de razonable, desde la perspectiva disciplinaria, la decisión extintiva y que expliquen por sí mismas el despido, permitiendo eliminar cualquier sospecha o presunción deducible claramente de las circunstancias.  No se trata de situar al empresario ante la prueba diabólica de un hecho negativo (la no discriminación o la no lesión de cualquier otro derecho fundamental) pero sí de entender que el despido, tachado de haber incurrido en aquella discriminación o en esta lesión, obedece a motivos razonables, extraños a todo propósito atentatorio contra el derecho fundamental en cuestión.</w:t>
      </w:r>
    </w:p>
    <w:p w:rsidR="00FE0907" w:rsidRDefault="00FE0907" w:rsidP="00FE0907">
      <w:pPr>
        <w:pStyle w:val="TextoNormal"/>
      </w:pPr>
      <w:r>
        <w:lastRenderedPageBreak/>
        <w:t>b) Lo anterior tiene su base no sólo en la primacía o en el mayor valor de los derechos fundamentales, sino más en concreto en la dificultad que el trabajador encuentra en poder probar la causa discriminatoria, o lesiva de otro derecho fundamental, del despido y en la facilidad con que, dado el régimen jurídico de los despidos nulos por razones formales e improcedentes, podría un empresario encubrir un despido atentario contra un derecho fundamental del trabajador bajo la apariencia de un despido sin causa, por medio de un requerimiento o carta de despido que diera lugar a una declaración de despido nulo o, todavía más, improcedente. Es cierto que, tras la L.P.L.  de 1990, si el despido es declarado nulo se ha de condenar a la inmediata readmisión del trabajador (art. 113.1). Pero también lo es que, si el despido se ha declarado nulo por meros defectos de forma (art. 108.2 a, b y c), cabe proceder a un nuevo despido (art. 113.2); y que, si el despido es declarado improcedente, por no quedar acreditado el incumplimiento del trabajador alegado por el empresario, éste puede seguir optando entre la readmisión y el abono de una indemnización (art. 110.1).  Subsiste, pues, la dificultad probatoria señalada, por lo que podría seguir encubriéndose un despido lesivo de derechos fundamentales en un despido sin causa, o en unos hechos cuya veracidad ni siquiera trata de probarse, si, una vez alegado por el trabajador que el despido vulnera un derecho fundamental, el empresario no tuviera que probar la existencia de una causa de entidad suficiente y seria explicativa en sí misma y por sí sola del despido, al margen del derecho fundamental invocado por el trabajador.</w:t>
      </w:r>
    </w:p>
    <w:p w:rsidR="00FE0907" w:rsidRDefault="00FE0907" w:rsidP="00FE0907">
      <w:pPr>
        <w:pStyle w:val="TextoNormal"/>
      </w:pPr>
      <w:r>
        <w:t>c) Ahora bien, para imponer al empresario la carga probatoria descrita, es razonable la posición del Tribunal Supremo que rechaza que sea suficiente para ello la mera afirmación de la existencia de un despido discriminatorio o lesivo de otro derecho fundamental, sino que tal afirmación ha de reflejarse en unos hechos de los que resulte una presunción o apariencia de aquella discriminación o lesión. El anterior criterio ha sido recogido por la L.P.L.  de 1990, si bien no expresamente en la modalidad procesal de despido disciplinario (arts.  103 y ss.).  Así, una vez comprobada la existencia de "indicios" de que se ha producido violación de la libertad sindical (o discriminación por razón de sexo), corresponde al demandado la aportación de una justificación objetiva y razonable, suficientemente probada, de las medidas aportadas y de su proporcionalidad (arts. 96 y 178.2 L.P.L.). Y por lo que se refiere a la modalidad procesal de despido disciplinario, no puede olvidarse que es al demandado a quien corresponde la carga de probar la veracidad de los hechos imputados en la carta de despido como justificativos del mismo (art.  105.1 L.P.L.)  y que, para justificar el despido, al demandado no se le admiten en el juicio otros motivos de oposición a la demanda que los contenidos en la comunicación escrita de dicho despido (art.  105.2 L.P.L.).</w:t>
      </w:r>
    </w:p>
    <w:p w:rsidR="00FE0907" w:rsidRDefault="00FE0907" w:rsidP="00FE0907">
      <w:pPr>
        <w:pStyle w:val="TextoNormal"/>
      </w:pPr>
      <w:r>
        <w:t>d) Si el empresario ha de alcanzar resultado probatorio, sin que le baste intentarlo, el órgano judicial ha de llegar a la paralela convicción no ya de que el despido razonablemente tachado de lesivo de un derecho fundamental no es extraño a la utilización del mecanismo disciplinario, sino de que el despido es absolutamente ajeno a una conducta lesiva de un derecho fundamental (por ejemplo, el de libertad sindical), de modo que pueda estimarse que, aun puesta entre paréntesis la actividad sindical del trabajador, el despido habría tenido lugar verosímilmente en todo caso, por existir causas suficientes, reales y serias para entender que es razonable la decisión disciplinaria adoptada por el empresario.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El recurrente alega la vulneración del art.  14 de la Constitución, porque sólo él fue despedido, siendo así que en su centro de trabajo otros trabajadores habían incurrido también en similares retrasos. Ha de recordarse, no obstante, que este Tribunal debe necesariamente partir de los hechos declarados probados por los órganos judiciales (art. 44.1 </w:t>
      </w:r>
      <w:r>
        <w:lastRenderedPageBreak/>
        <w:t>LOTC). Y el Tribunal Supremo declaró probado, corrigiendo en este extremo al órgano de instancia, que las impuntualidades del actor fueron más numerosas que las de otros compañeros de trabajo, por lo que no fueron iguales las faltas de aquél y las de éstos. Ello, por sí sólo, conduce a rechazar que en la presente ocasión el despido haya vulnerado el art. 14 de la Constitución, al margen ahora de cuál sea la proyección del mismo cuando se comparan las situaciones de trabajadores despedidos disciplinariamente con la de trabajadores no despedidos con similares incumplimientos. Pero es que, además, hemos dicho reiteradamente que el principio de igualdad ante la ley no significa un imposible derecho a la igualdad en la ilegalidad, de manera que en ningún caso aquél a quien se aplica la ley puede considerar violado el citado principio constitucional por el hecho de que la ley no se aplique a otros que asimismo la han incumplido (últimamente, por ejemplo, ATC 27/1991.</w:t>
      </w:r>
    </w:p>
    <w:p w:rsidR="00FE0907" w:rsidRDefault="00FE0907" w:rsidP="00FE0907">
      <w:pPr>
        <w:pStyle w:val="TextoNormal"/>
      </w:pPr>
    </w:p>
    <w:p w:rsidR="00FE0907" w:rsidRDefault="00FE0907" w:rsidP="00FE0907">
      <w:pPr>
        <w:pStyle w:val="TextoNormal"/>
      </w:pPr>
      <w:r w:rsidRPr="00FE0907">
        <w:rPr>
          <w:rStyle w:val="NumeroAFNegritaCaracter"/>
        </w:rPr>
        <w:t>5</w:t>
      </w:r>
      <w:r>
        <w:t>. Tampoco puede prosperar la denunciada infracción del art.  28.1 de la Constitución. En efecto, el actor alega que su despido tuvo por causa su actividad sindical, consiguiendo acreditar (pues así se declaró probado por los órganos judiciales) que pertenecía a una determinada sección sindical, que era muy conocido por sus actividades sindicales y que había llegado a presidir en varias ocasiones la asamblea de esa sección sindical. Pero frente a ello, y por si aquellos hechos pudieran considerarse indicios de lesión de la libertad sindical, el empresario consiguió probar que el actor había incurrido, en efecto, en los retrasos que se le imputaban.  Y consiguió igualmente probar, como finalmente declaró el Tribunal Supremo, que las impuntualidades del actor habían sido más numerosas que las de otros compañeros de trabajo. Por tanto, el empresario alcanzó resultado probatorio y probó que existían causas reales, serias y suficientes para explicar por sí solas el despido, al margen y con independencia de la actividad sindical desplegada por el actor, permitiendo eliminar cualquier sospecha o presunción deducible de las circunstancias. Ha de señalarse, en este sentido, que para el Tribunal Supremo la reiterada impuntualidad del actor habría justificado el despido (habría sido una medida proporcional a aquella impuntualidad, se dice expresamente), si no fuera porque la Ordenanza Laboral la tipifica, sin excepción alguna, como falta leve.</w:t>
      </w:r>
    </w:p>
    <w:p w:rsidR="00FE0907" w:rsidRDefault="00FE0907" w:rsidP="00FE0907">
      <w:pPr>
        <w:pStyle w:val="TextoNormal"/>
      </w:pPr>
      <w:r>
        <w:t>Resultado probatorio el anterior que llevó al Tribunal Supremo a la paralela convicción, y no a la duda, de la existencia de tales causas suficientes, reales y serias para el despido, habida cuenta de la reiteración en la impuntualidad -se dice-, lo que permite concluír que, aun al margen de la actividad sindical desplegada por el actor, el despido habría tenido lugar verosímilmente en todo caso, precisamente por concurrir aquellas causas. La anterior conclusión se refuerza por el dato de que el actor se limitó a apoyar su alegación de discriminación, de un lado, en el conjunto de sanciones que anteriormente y siempre por impuntualidad se le habían impuesto (la mayor parte de las cuales fueron sustituídas en sede judicial por otras más leves, mas sin negar la realidad de los retrasos) y, de otro, en que era muy conocido como miembro de un determinado sindicato.  Esto último le fue reprochado al actor por el Tribunal Supremo, que señala que en ningún momento el actor concretó la actividad sindical que supuestamente se hallaría en el origen del despido, rechazando que sea suficiente la mera invocación de aquella actividad para considerarla determinante, sin más y por sí misma, de la decisión empresarial. Y es cierto que tan genérica invocación, junto con los reales y continuados retrasos del actor, no permiten concluír que es la indeterminada actividad sindical y no las faltas de puntualidad las que han conducido a la empresa a adoptar la decisión extintiva.</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don Miguel Angel García Fernández.</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5" w:name="SENTENCIA_1992_22"/>
      <w:r>
        <w:lastRenderedPageBreak/>
        <w:t>SENTENCIA 22/1992, de 14 de febrero de 1992</w:t>
      </w:r>
    </w:p>
    <w:bookmarkEnd w:id="25"/>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ECLI:ES:TC:1992:22</w:t>
      </w:r>
    </w:p>
    <w:p w:rsidR="00FE0907" w:rsidRDefault="00FE0907" w:rsidP="00FE0907">
      <w:pPr>
        <w:pStyle w:val="SntesisDescriptiva"/>
      </w:pPr>
    </w:p>
    <w:p w:rsidR="00FE0907" w:rsidRDefault="00FE0907" w:rsidP="00FE0907">
      <w:pPr>
        <w:pStyle w:val="SntesisDescriptiva"/>
      </w:pPr>
      <w:r>
        <w:t>Recurso de amparo 2.024/1988. Contra Auto de la Sala de lo Civil de la Audiencia Territorial de Madrid que confirma en suplicación la resolución que declaraba desierto recurso de apelación.</w:t>
      </w:r>
    </w:p>
    <w:p w:rsidR="00FE0907" w:rsidRDefault="00FE0907" w:rsidP="00FE0907">
      <w:pPr>
        <w:pStyle w:val="SntesisDescriptiva"/>
      </w:pPr>
    </w:p>
    <w:p w:rsidR="00FE0907" w:rsidRDefault="00FE0907" w:rsidP="00FE0907">
      <w:pPr>
        <w:pStyle w:val="SntesisAnaltica"/>
      </w:pPr>
      <w:r>
        <w:t>Supuesta vulneración del derecho a la tutela judicial efectiva: recurso meramente dilatorio</w:t>
      </w:r>
    </w:p>
    <w:p w:rsidR="00FE0907" w:rsidRDefault="00FE0907" w:rsidP="00FE0907">
      <w:pPr>
        <w:pStyle w:val="SntesisAnaltica"/>
      </w:pPr>
    </w:p>
    <w:p w:rsidR="00FE0907" w:rsidRDefault="00FE0907" w:rsidP="00FE0907">
      <w:pPr>
        <w:pStyle w:val="Extracto"/>
      </w:pPr>
      <w:r>
        <w:t>1.</w:t>
      </w:r>
      <w:r>
        <w:tab/>
        <w:t>Los actos de comunicación dispuestos en las Leyes procesales cobran dimensión constitucional exclusivamente en la medida en que garantizan a los justiciables la posibilidad del ejercicio de su derecho fundamental a la defensa de sus derechos e intereses legítimos. El carácter instrumental que cabe predicar de dichos actos de comunicación respecto del mencionado derecho a la defensa obliga a sostener que no puede pretender beneficiarse en vía de amparo constitucional de un tardíamente descubierto derecho a la defensa quien ha mostrado una total pasividad y ha incurrido en una notoria falta de diligencia procesal y de colaboración con la Administración de Justicia [F.J. 3].</w:t>
      </w:r>
    </w:p>
    <w:p w:rsidR="00FE0907" w:rsidRDefault="00FE0907" w:rsidP="00FE0907">
      <w:pPr>
        <w:pStyle w:val="Extracto"/>
      </w:pPr>
    </w:p>
    <w:p w:rsidR="00FE0907" w:rsidRDefault="00FE0907" w:rsidP="00FE0907">
      <w:pPr>
        <w:pStyle w:val="Extracto"/>
      </w:pPr>
      <w:r>
        <w:t>2.</w:t>
      </w:r>
      <w:r>
        <w:tab/>
        <w:t>Las relaciones de representación entre Procurador y cliente no son revisables en amparo por no ser los actos de aquél actos de un poder público (ATC 312/1986, entre otros)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2.024/88, interpuesto por don Rafael Lorrio Ortega, representado por la Procuradora de los Tribunales doña María del Corral Lorrio Alonso y asistido del Letrado don Manuel Navarro Hernán, contra el Auto de la Sala de lo Civil de la Audiencia Territorial de Madrid, de 11 de noviembre de 1988, que confirma en súplica la resolución en la que se declaraba desierto recurso de apelación. Han intervenido el Ministerio Fiscal y la entidad mercantil "Banesto Consumo, S.A.", representada por el Procu</w:t>
      </w:r>
      <w:r>
        <w:lastRenderedPageBreak/>
        <w:t>rador don Antonio Barreiro-Meiro Barbero y asistida del Letrado don Luis M. Fernández Lucas. Ha sido Magistrado Ponente, don Jesús Leguina Villa,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Doña María del Corral Lorrio Alonso, en nombre y representación de don Rafael Lorrio Ortega, por escrito que tuvo entrada en este Tribunal el 13 de diciembre de 1988, interpone recurso de amparo contra el Auto de la Sala de lo Civil de la Audiencia Territorial de Madrid, de 11 de noviembre de 1988, en el que se declara no ha lugar a recurso de súplica contra la resolución en la que se tuvo por desierto recurso de apelación.</w:t>
      </w:r>
    </w:p>
    <w:p w:rsidR="00FE0907" w:rsidRDefault="00FE0907" w:rsidP="00FE0907">
      <w:pPr>
        <w:pStyle w:val="TextoNormal"/>
      </w:pPr>
    </w:p>
    <w:p w:rsidR="00FE0907" w:rsidRDefault="00FE0907" w:rsidP="00FE0907">
      <w:pPr>
        <w:pStyle w:val="TextoNormal"/>
      </w:pPr>
      <w:r w:rsidRPr="00FE0907">
        <w:rPr>
          <w:rStyle w:val="NumeroAFNegritaCaracter"/>
        </w:rPr>
        <w:t>2</w:t>
      </w:r>
      <w:r>
        <w:t>. La demanda se funda en los siguientes antecedentes de hecho: Contra el recurrente y otra persona se planteó en 1979 demanda de juicio de mayor cuantía sobre reclamación de cantidad, dictándose Sentencia condenatoria de los demandados, ambos en rebeldía, por el Juzgado de Primera Instancia de San Lorenzo de El Escorial. Una vez conocida la Sentencia, se afirma, se decidió recurrir en apelación, para lo cual el recurrente designó un Procurador en 1983. No obstante, éste comunicó en 1984 a la Sala su renuncia a la representación por causar baja en la profesión. Por providencia de 14 de septiembre de 1985, la Sala concedió un plazo para la designación de nuevo Procurador, no pudiendo ser encontrado el recurrente en su domicilio, ante lo cual, se ordenó la publicación de edictos por resolución de 7 de noviembre de 1985, y, transcurrido el plazo legalmente previsto, la Sala Primera de lo Civil de la Audiencia Territorial de Madrid dictó Auto el 27 de octubre de 1986, declarando desierto o abandonado el recurso de apelación por carecer de Procurador el recurrente. La demanda sostiene que, cuando se tuvo conocimiento de dicho Auto, se recurrió en súplica, que fue desestimada por el Auto de 11 de noviembre de 1988.</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recurrente basa su solicitud de amparo en la vulneración del art. 24 de la Constitución al habérsele ocasionado una situación de indefensión. El derecho a la defensa está dotado de unas garantías entre las que se encuentra la de asegurar a las partes el conocimiento de las resoluciones pronunciadas por los órganos judiciales. En este sentido, de acuerdo con el art. 9.2 de la Ley de Enjuiciamiento Civil (en adelante L.E.C.), no basta con la simple manifestación de voluntad del Procurador para que se entienda que ha cesado en su representación en virtud del cese en su oficio, sino que éste debe y viene obligado a ponerlo en conocimiento de su poderdante, con la debida anticipación, judicialmente o por medio de acta notarial; y es precisamente esa anticipación la que conviene subrayarse. La Sala debió dar cumplimiento a este precepto, no pudiendo aceptar la renuncia del Procurador ni tenerlo por desistido en los autos en tanto en cuanto no constase que se había dado oportunidad al mandante de tomar cuantas disposiciones creyera necesario para la buena marcha del negocio. Se reprocha también al órgano judicial el dato de que, ante la ausencia del recurrente de su domicilio debido a una enfermedad, se le notificara por edictos la renuncia del Procurador, ya que existían medios más razonables para comunicarle tal renuncia, como v. gr., preguntar al propio Procurador cesante por el domicilio del recurrente. Y antes de acudirse a este remedio extraordinario, debieron agotarse otras modalidades de comunicación con las partes dotadas de mayor razonabilidad. </w:t>
      </w:r>
    </w:p>
    <w:p w:rsidR="00FE0907" w:rsidRDefault="00FE0907" w:rsidP="00FE0907">
      <w:pPr>
        <w:pStyle w:val="TextoNormal"/>
      </w:pPr>
      <w:r>
        <w:t>Por todo lo anterior, concluye la demanda solicitando que se declare la nulidad de los Autos impugnados, ordenando que prosiga la tramitación del recurso de apelación inter</w:t>
      </w:r>
      <w:r>
        <w:lastRenderedPageBreak/>
        <w:t>puesto en su día. Por otrosí se solicita la suspensión de la Sentencia recaída en el juicio de mayor cuantía y que se intentó apelar.</w:t>
      </w:r>
    </w:p>
    <w:p w:rsidR="00FE0907" w:rsidRDefault="00FE0907" w:rsidP="00FE0907">
      <w:pPr>
        <w:pStyle w:val="TextoNormal"/>
      </w:pPr>
    </w:p>
    <w:p w:rsidR="00FE0907" w:rsidRDefault="00FE0907" w:rsidP="00FE0907">
      <w:pPr>
        <w:pStyle w:val="TextoNormal"/>
      </w:pPr>
      <w:r w:rsidRPr="00FE0907">
        <w:rPr>
          <w:rStyle w:val="NumeroAFNegritaCaracter"/>
        </w:rPr>
        <w:t>4</w:t>
      </w:r>
      <w:r>
        <w:t>. La Sección Tercera de este Tribunal, en providencia de 12 de enero de 1989, acordó admitir a trámite la demanda y, a tenor de lo dispuesto en el art. 51 de la ley Orgánica del Tribunal Constitucional (desde ahora, LOTC), requerir atentamente a la Audiencia de referencia para que remitiese las actuaciones, interesando al tiempo la práctica de los emplazamientos oportunos. Asimismo, se dispuso formar la correspondiente pieza separada de suspensión, resuelta más tarde por Auto de 6 de febrero de 1982 en el que se denegó la suspensión que se instaba.</w:t>
      </w:r>
    </w:p>
    <w:p w:rsidR="00FE0907" w:rsidRDefault="00FE0907" w:rsidP="00FE0907">
      <w:pPr>
        <w:pStyle w:val="TextoNormal"/>
      </w:pPr>
    </w:p>
    <w:p w:rsidR="00FE0907" w:rsidRDefault="00FE0907" w:rsidP="00FE0907">
      <w:pPr>
        <w:pStyle w:val="TextoNormal"/>
      </w:pPr>
      <w:r w:rsidRPr="00FE0907">
        <w:rPr>
          <w:rStyle w:val="NumeroAFNegritaCaracter"/>
        </w:rPr>
        <w:t>5</w:t>
      </w:r>
      <w:r>
        <w:t>. Con fecha 17 de abril de 1991, la Sección precitada tuvo por recibidas las actuaciones requeridas y por personada y parte a quien fue actora en el proceso civil previo al amparo, la entidad "Banesto Consumo, S.A.", antes "Financiera Finavent, S.A.", representada por el Procurador de los Tribunales don Antonio Barreiro-Meiro Barbero y asistida del Letrado don Luis M. Fernández Lucas; y, de acuerdo con lo dispuesto en el art. 52 de la LOTC, dispuso dar vista de las actuaciones por un plazo común de veinte días al Ministerio Fiscal y a las partes, para que alegasen lo que a su derecho mejor conviniera.</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interesa que se deniegue el amparo solicitado. Afirma el recurrente que la Sala de procedencia debió requerir al Procurador de la parte para que facilitase el domicilio de su poderdante, antes de acudir al remedio excepcional de la publicación de edictos, pues, sin duda, aquél conocía el domicilio del recurrente, a quien, según afirma el Tribunal, comunicó su cese por correo; esta conducta venía impuesta por el art. 24.1 de la Constitución. Pues bien, a la luz de una notoria doctrina constitucional sobre actos judiciales de comunicación con las partes, debe traerse a colación lo siguiente: el Tribunal recibió el escrito en el cual el Procurador comunicaba el cese en su actividad profesional y solicitaba que se efectuase el requerimiento judicial previsto en el art. 9 de la L.E.C.; consta en las actuaciones que así de hecho se hizo, notificándose convenientemente al recurrente este cese y requiriéndole para que nombrase un sustituto; el problema surge porque el solicitante de amparo no vivía en el domicilio que constaba en autos y no pudo ser encontrado en él, sin que las personas que intervinieron en la diligencia judicial conociesen otro domicilio ("constan las declaraciones de los vecinos, portero y guardia municipal e incluso se hace una referencia a la Guardia Civil y todos afirman rotundamente que el actor no vive en ese domicilio desde hace bastante tiempo y desconocen cualquier otro"); habida cuenta del desconocimiento del domicilio, el Tribunal aplicó lo dispuesto en los arts. 269 y 270 de la L.E.C., esto es, la publicación de edictos. </w:t>
      </w:r>
    </w:p>
    <w:p w:rsidR="00FE0907" w:rsidRDefault="00FE0907" w:rsidP="00FE0907">
      <w:pPr>
        <w:pStyle w:val="TextoNormal"/>
      </w:pPr>
      <w:r>
        <w:t xml:space="preserve">En definitiva, el recurso a este medio de comunicación excepcional se justifica en un fundamento material: la certeza de que no era posible la comunicación con la parte por otros medios. Entiende el demandante que aún debió el Tribunal requerir al Procurador para que manifestase el domicilio al que había enviado la carta de desistimiento. Mas esta posibilidad se contradice con las argumentaciones de la propia demanda, donde el actor afirma que conservaba el domicilio de autos, aunque pasaba fuera de él largas y continuas temporadas por su enfermedad, a la par que no acredita ni indica cualquier otro domicilio. El actor habla, por tanto, en una hipótesis no demostrada y no puede ahora beneficiarse en amparo de su propia falta de diligencia, al no comunicar a sus vecinos o al portero el lugar en el que realmente se encontraba ni ponerlo en conocimiento del Tribunal; y, como se ha </w:t>
      </w:r>
      <w:r>
        <w:lastRenderedPageBreak/>
        <w:t xml:space="preserve">expuesto, el actor ni tan siquiera acredita que el Procurador conociese un segundo domicilio. </w:t>
      </w:r>
    </w:p>
    <w:p w:rsidR="00FE0907" w:rsidRDefault="00FE0907" w:rsidP="00FE0907">
      <w:pPr>
        <w:pStyle w:val="TextoNormal"/>
      </w:pPr>
      <w:r>
        <w:t>Hay que añadir que el mandato de promover la defensa recogido en el art. 24.1 de la Constitución no obliga a los Tribunales, en los casos de identificación compleja, a llevar a cabo indagaciones ajenas a su función (STC 151/1988). Por el contrario, la propia pasividad del recurrente y su falta de interés en la tramitación de la apelación se confirma cuando se cae en la cuenta de que el Auto de la Audiencia que se impugna, en el que se declaró desierto el recurso, se dictó el 27 de octubre de 1986 y el recurrente no dedujo la súplica hasta el 4 de noviembre de 1988, es decir, dos años más tarde.</w:t>
      </w:r>
    </w:p>
    <w:p w:rsidR="00FE0907" w:rsidRDefault="00FE0907" w:rsidP="00FE0907">
      <w:pPr>
        <w:pStyle w:val="TextoNormal"/>
      </w:pPr>
    </w:p>
    <w:p w:rsidR="00FE0907" w:rsidRDefault="00FE0907" w:rsidP="00FE0907">
      <w:pPr>
        <w:pStyle w:val="TextoNormal"/>
      </w:pPr>
      <w:r w:rsidRPr="00FE0907">
        <w:rPr>
          <w:rStyle w:val="NumeroAFNegritaCaracter"/>
        </w:rPr>
        <w:t>7</w:t>
      </w:r>
      <w:r>
        <w:t>. El demandante de amparo reitera las alegaciones ya realizadas en la demanda y resalta que, a la vista de las actuaciones, no cabe afirmar que el Procurador "desistió" de la apelación -como dice el Auto de 29 de noviembre de 1986-, pues lo que hizo fue "renunciar" a la representación que ostentaba; esta inexacta afirmación lleva a la errónea aplicación del art. 846 de la L.E.C.</w:t>
      </w:r>
    </w:p>
    <w:p w:rsidR="00FE0907" w:rsidRDefault="00FE0907" w:rsidP="00FE0907">
      <w:pPr>
        <w:pStyle w:val="TextoNormal"/>
      </w:pPr>
    </w:p>
    <w:p w:rsidR="00FE0907" w:rsidRDefault="00FE0907" w:rsidP="00FE0907">
      <w:pPr>
        <w:pStyle w:val="TextoNormal"/>
      </w:pPr>
      <w:r w:rsidRPr="00FE0907">
        <w:rPr>
          <w:rStyle w:val="NumeroAFNegritaCaracter"/>
        </w:rPr>
        <w:t>8</w:t>
      </w:r>
      <w:r>
        <w:t>. La entidad mercantil actora en el proceso civil previo insta de este Tribunal que deniegue el amparo. Tras reseñar los antecedentes de hecho del asunto, resalta que carece de cualquier sentido lógico que el recurrente intente ahora hacer valer su derecho a la defensa diez años después del inicio de un procedimiento de mayor cuantía en el que fue declarado en rebeldía, "cuando es él con su actuación únicamente dilatoria el que retrasa sine die el cumplimiento de unas obligaciones", y carece de sentido que "deban los Tribunales de Justicia perseguirle por todo el territorio nacional, para notificarle las sucesivas actuaciones producidas", y "como se podrá comprobar a través de los autos de juicio de mayor cuantía y rollo de apelación, Banesto Consumo, S.A.... ha desembolsado ingentes cantidades de dinero, para publicar por edictos aquello que podía haberse hecho personalmente a los demandados si éstos hubieran comparecido, o tenido un domicilio conocido donde poder emplazarles". Se insiste, en suma, en el carácter dilatorio del recurso de amparo y en la inexistencia de indefensión alguna.</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12 de febrero de 1992, se señaló para deliberación y votación el día 14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Se denuncia por el recurrente la lesión de su derecho fundamental a la tutela judicial efectiva sin indefensión (art.  24.1 de la Constitución).  Entiende el recurrente que, una vez que su Procurador renunciara a representarle como apelante de una Sentencia en la que se le condenaba al pago de una cantidad, debió de notificársele directa y personalmente tal renuncia con la debida anticipación -según establece el art. 9.2 de la L.E.C.- y antes de tenerle por desistido en los autos, con el fin de poder nombrar un Procurador sustituto; sin embargo, después de resultar infructuosa dicha notificación en el domicilio que constaba en los autos, la Sala acudió a una notificación mediante la publicación de edictos, pero este medio de comunicación excepcional no debió de ser empleado sin agotar otras posibilidades previas y dotadas de mayor razonabilidad y, en concreto, requerir al Procurador renunciante para que facilitase el domicilio de su poderdante.</w:t>
      </w:r>
    </w:p>
    <w:p w:rsidR="00FE0907" w:rsidRDefault="00FE0907" w:rsidP="00FE0907">
      <w:pPr>
        <w:pStyle w:val="TextoNormal"/>
      </w:pPr>
      <w:r>
        <w:lastRenderedPageBreak/>
        <w:t>El Ministerio Público y la entidad mercantil que reclamó el pago en el proceso civil niegan todo fundamento a la queja y advierten del carácter meramente formal y dilatorio de este recurso.</w:t>
      </w:r>
    </w:p>
    <w:p w:rsidR="00FE0907" w:rsidRDefault="00FE0907" w:rsidP="00FE0907">
      <w:pPr>
        <w:pStyle w:val="TextoNormal"/>
      </w:pPr>
    </w:p>
    <w:p w:rsidR="00FE0907" w:rsidRDefault="00FE0907" w:rsidP="00FE0907">
      <w:pPr>
        <w:pStyle w:val="TextoNormal"/>
      </w:pPr>
      <w:r w:rsidRPr="00FE0907">
        <w:rPr>
          <w:rStyle w:val="NumeroAFNegritaCaracter"/>
        </w:rPr>
        <w:t>2</w:t>
      </w:r>
      <w:r>
        <w:t>. Así expuestos los términos del presente litigio constitucional, es menester destacar los datos que a continuación se enuncian y que este Tribunal no ha conocido con suficiente precisión y en su conjunto hasta que fue admitida a trámite la demanda y fueron requeridas las actuaciones de los órganos judiciales de procedencia: a) en 1979 la entidad mercantil "Financiera Finavent, S.A.", luego "Banesto Consumo, S.A.", presentó demanda de juicio de mayor cuantía en reclamación del pago de cantidad contra el ahora recurrente en amparo y otros; la demanda fue íntegramente estimada por el Juzgado de Primera Instancia de San Lorenzo de El Escorial en Sentencia de fecha 29 de septiembre de 1981, después de seguirse el juicio en rebeldía contra el demandado y tras emplazarle por sucesivos edictos, al ignorarse su domicilio y paradero; b) dicha Sentencia de instancia se notificó al recurrente el 27 de octubre de 1981, mediante cédula que recibió un familiar del mismo, su padre, si bien se negó a firmar la diligencia, haciéndolo en su lugar dos testigos, así como también se le notificó por edictos publicados en el Boletín Oficial del Estado y de la Provincia; c) el Procurador del apelante y demandante de amparo compareció y se personó en el recurso de apelación el 3 de marzo de 1983, según se dice en la demanda, "tan pronto como llegó a su conocimiento aquella resolución"; d) el 24 de julio de 1984, el Procurador renunció a esa representación por causar baja en el ejercicio de su profesión, pidiendo a la Sala que requiriese al recurrente para que se personara por medio de nuevo Procurador; no obstante, en este escrito se hace constar que a éste "ya le he comunicado mi decisión"; e) como el recurrente no procediese a una nueva designación, el 14 de septiembre de 1985, la Sala mandó exhorto al Juez a quo para que le requiriera a tal efecto con apercibimiento de tenerle por desistido del recurso y declararse firme la resolución apelada, y existe en las actuaciones una diligencia de notificación en la que se hace constar que el recurrente no residía en el domicilio indicado en los autos desde hacía varios años, según informaron los vecinos, el portero y la propia Guardia Civil; f) siendo desconocido el domicilio del recurrente y su paradero, el 8 de noviembre de 1985 la Sala ordenó la publicación por medio de edictos del requerimiento para la designación de nuevo Procurador; g) finalmente, por Auto de 26 de octubre de 1986, la Audiencia tuvo por desistido del recurso al apelante y ahora demandante de amparo; h) mucho más tarde, el 4 de noviembre de 1988, el recurrente interpuso súplica contra la resolución precitada, alegando  que el recurso se interponía "desde el instante que tuvo conocimiento del expresado Auto"; asimismo, se razonaba que, aunque el propio Procurador de la parte afirmaba haberle comunicado su renuncia, esta afirmación se hacía "sin indicar ni justificar el medio por el cual practicó tal aviso".</w:t>
      </w:r>
    </w:p>
    <w:p w:rsidR="00FE0907" w:rsidRDefault="00FE0907" w:rsidP="00FE0907">
      <w:pPr>
        <w:pStyle w:val="TextoNormal"/>
      </w:pPr>
    </w:p>
    <w:p w:rsidR="00FE0907" w:rsidRDefault="00FE0907" w:rsidP="00FE0907">
      <w:pPr>
        <w:pStyle w:val="TextoNormal"/>
      </w:pPr>
      <w:r w:rsidRPr="00FE0907">
        <w:rPr>
          <w:rStyle w:val="NumeroAFNegritaCaracter"/>
        </w:rPr>
        <w:t>3</w:t>
      </w:r>
      <w:r>
        <w:t>. A la vista de los hechos detalladamente indicados y de los sencillos razonamientos jurídicos expuestos, no cabe sino estimar que este recurso de amparo ha sido interpuesto con afan dilatorio, pues es patente que no existe una situación material de indefensión ni irregularidad alguna de relevancia constitucional en la práctica de los actos de comunicación con la parte que fuera imputable a los órganos judiciales de procedencia, según afirman acertadamente en este proceso constitucional, de manera coincidente, tanto el Ministerio Fiscal como la entidad mercantil que reclamó la cantidad y que ha visto reiteradamente aplazado el ejercicio de su derecho fundamental a la ejecución de lo judicialmente resuelto, mediante constantes actividades dilatorias del deudor demandado que ahora nos pide amparo.</w:t>
      </w:r>
    </w:p>
    <w:p w:rsidR="00FE0907" w:rsidRDefault="00FE0907" w:rsidP="00FE0907">
      <w:pPr>
        <w:pStyle w:val="TextoNormal"/>
      </w:pPr>
      <w:r>
        <w:lastRenderedPageBreak/>
        <w:t>De este modo, debe bastar con recordar sucintamente -dado lo consolidado de esta jurisprudencia constitucional y la publicidad formal de que gozan las Sentencias del Tribunal Constitucional por mandato del art. 164 de la propia norma fundamental- que los actos de comunicación dispuestos en las leyes procesales cobran dimensión constitucional exclusivamente en la medida en que garantizan a los justiciables la posibilidad del ejercicio de su derecho fundamental a la defensa de sus derechos e intereses legítimos. El carácter instrumental que cabe predicar de dichos actos de comunicación respecto del mencionado derecho a la defensa obliga a sostener que no puede pretender beneficiarse en vía de amparo constitucional de un tardíamente descubierto derecho a la defensa quien ha mostrado una total pasividad y ha incurrido en una notoria falta de diligencia procesal y de colaboración con la Administración de Justicia, en un proceso civil iniciado en el año 1979.  Es, además, manifiesta la inexistencia de irregularidades de relevancia constitucional en los actos de comunicación.</w:t>
      </w:r>
    </w:p>
    <w:p w:rsidR="00FE0907" w:rsidRDefault="00FE0907" w:rsidP="00FE0907">
      <w:pPr>
        <w:pStyle w:val="TextoNormal"/>
      </w:pPr>
      <w:r>
        <w:t>El recurrente no niega haber recibido en su día directamente la renuncia del Procurador por cesar en su oficio, lo que es un claro indicio de su conocimiento de lo acaecido, sino que se limita a declarar -y así expresamente se dice en el escrito por el que interpuso recurso de súplica- que este extremo no quedó acreditado suficientemente, reproche que carece de importancia en sede constitucional, ya que las relaciones de representación entre Procurador y cliente no son revisables en amparo por no ser los actos de aquél actos de un poder público (ATC 312/1986, entre otros). Queda también demostrado que la Audiencia intentó notificar convenientemente al recurrente la renuncia en el domicilio que constaba en autos, resultando la notificación infructuosa, ante lo cual procedió a la publicación de edictos, según disponen los arts. 269 y 270 de la L.E.C.: "cuando no conste el domicilio de la persona que deba ser notificada o por haber mudado de habitación se ignore su paradero"; y es bien conocido que la notificación por edictos, entendida como un remedio supletorio y excepcional, para cuando la notificación personal no sea posible por ignorarse el paradero del justiciable o su domicilio real, no es incompatible con el art. 24.1 de la Constitución ni ha sido puesta en cuestión por este Tribunal (STC 68/1986, fundamento jurídico 2º). Y en la demanda de amparo, contradictoriamente con la tacha de indefensión que se esgrime, no se niega que aquél fuera el domicilio real ni se menciona otro.  Por último, este Tribunal ha dicho ya en la STC 151/1988 (fundamento juridico 2º) que el deber que la Constitución impone a Jueces y Tribunales de promover la defensa no les obliga, en los casos en que resulte compleja la identificación, a llevar a cabo indagaciones ajenas a su función; sobre todo cuando es manifiesto el nulo interés mostrado por el solicitante de amparo en que los órganos judiciales o sus propios familiares y los vecinos de la finca conocieran su residencia o paradero, con el fin de poder ser oportunamente notificado.</w:t>
      </w:r>
    </w:p>
    <w:p w:rsidR="00FE0907" w:rsidRDefault="00FE0907" w:rsidP="00FE0907">
      <w:pPr>
        <w:pStyle w:val="TextoNormal"/>
      </w:pPr>
    </w:p>
    <w:p w:rsidR="00FE0907" w:rsidRDefault="00FE0907" w:rsidP="00FE0907">
      <w:pPr>
        <w:pStyle w:val="TextoNormal"/>
      </w:pPr>
      <w:r w:rsidRPr="00FE0907">
        <w:rPr>
          <w:rStyle w:val="NumeroAFNegritaCaracter"/>
        </w:rPr>
        <w:t>4</w:t>
      </w:r>
      <w:r>
        <w:t>. Siendo patente que en la conducta del recurrente ha habido temeridad y abuso de derecho, procede que se le impongan las costas del proceso y una multa en cuantía máxima.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lastRenderedPageBreak/>
        <w:t>Ha decidido</w:t>
      </w:r>
    </w:p>
    <w:p w:rsidR="00FE0907" w:rsidRDefault="00FE0907" w:rsidP="00FE0907">
      <w:pPr>
        <w:pStyle w:val="TextoNormalCentrado"/>
        <w:keepNext/>
      </w:pPr>
    </w:p>
    <w:p w:rsidR="00FE0907" w:rsidRDefault="00FE0907" w:rsidP="00FE0907">
      <w:pPr>
        <w:pStyle w:val="TextoNormal"/>
      </w:pPr>
      <w:r>
        <w:t>1º.  Denegar el amparo solicitado por don Rafael Lorrio Ortega.</w:t>
      </w:r>
    </w:p>
    <w:p w:rsidR="00FE0907" w:rsidRDefault="00FE0907" w:rsidP="00FE0907">
      <w:pPr>
        <w:pStyle w:val="TextoNormal"/>
      </w:pPr>
      <w:r>
        <w:t>2º.  Condenar al recurrente al pago de las costas e imponerle una multa de cien mil pesetas, de acuerdo con lo dispuesto en el art. 95.2 y 3 de la LOTC.</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6" w:name="SENTENCIA_1992_23"/>
      <w:r>
        <w:lastRenderedPageBreak/>
        <w:t>SENTENCIA 23/1992, de 14 de febrero de 1992</w:t>
      </w:r>
    </w:p>
    <w:bookmarkEnd w:id="26"/>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ECLI:ES:TC:1992:23</w:t>
      </w:r>
    </w:p>
    <w:p w:rsidR="00FE0907" w:rsidRDefault="00FE0907" w:rsidP="00FE0907">
      <w:pPr>
        <w:pStyle w:val="SntesisDescriptiva"/>
      </w:pPr>
    </w:p>
    <w:p w:rsidR="00FE0907" w:rsidRDefault="00FE0907" w:rsidP="00FE0907">
      <w:pPr>
        <w:pStyle w:val="SntesisDescriptiva"/>
      </w:pPr>
      <w:r>
        <w:t>Recurso de amparo 2.044/1988. Contra Autos del Juzgado de Primera Instancia de Baeza, dictados en recurso de apelación contra Sentencia del juzgado de distrito de esa misma ciudad, recaída en juicio sobre desahucio de local de negocio por falta depago.</w:t>
      </w:r>
    </w:p>
    <w:p w:rsidR="00FE0907" w:rsidRDefault="00FE0907" w:rsidP="00FE0907">
      <w:pPr>
        <w:pStyle w:val="SntesisDescriptiva"/>
      </w:pPr>
    </w:p>
    <w:p w:rsidR="00FE0907" w:rsidRDefault="00FE0907" w:rsidP="00FE0907">
      <w:pPr>
        <w:pStyle w:val="SntesisAnaltica"/>
      </w:pPr>
      <w:r>
        <w:t>Vulneración del derecho a la tutela judicial efectiva: interpretación restrictiva de los requisitos legales para el acceso al recurso</w:t>
      </w:r>
    </w:p>
    <w:p w:rsidR="00FE0907" w:rsidRDefault="00FE0907" w:rsidP="00FE0907">
      <w:pPr>
        <w:pStyle w:val="SntesisAnaltica"/>
      </w:pPr>
    </w:p>
    <w:p w:rsidR="00FE0907" w:rsidRDefault="00FE0907" w:rsidP="00FE0907">
      <w:pPr>
        <w:pStyle w:val="Extracto"/>
      </w:pPr>
      <w:r>
        <w:t>1.</w:t>
      </w:r>
      <w:r>
        <w:tab/>
        <w:t>La especial y superior fuerza vinculante del derecho a la tutela judicial exige a la jurisdicción ordinaria y, en último término, a esta constitucional, conceder prevalencia a la interpretación y aplicación de las normas jurídicas que resulten ser las más adecuadas a la viabilidad del mismo, en el que se integra el derecho a acceder a los recursos puestos por la Ley a disposición de las partes que intervienen en el proceso [F.J. 2].</w:t>
      </w:r>
    </w:p>
    <w:p w:rsidR="00FE0907" w:rsidRDefault="00FE0907" w:rsidP="00FE0907">
      <w:pPr>
        <w:pStyle w:val="Extracto"/>
      </w:pPr>
    </w:p>
    <w:p w:rsidR="00FE0907" w:rsidRDefault="00FE0907" w:rsidP="00FE0907">
      <w:pPr>
        <w:pStyle w:val="Extracto"/>
      </w:pPr>
      <w:r>
        <w:t>2.</w:t>
      </w:r>
      <w:r>
        <w:tab/>
        <w:t>Conforme a la doctrina constitucional, los presupuestos legales de acceso a los recursos deben interpretarse de forma que resulten favorables a la efectividad del derecho fundamental invocado, y ello se traduce en la búsqueda de la finalidad del presupuesto; de forma que es el cumplimiento de dicha finalidad y «ratio» del mismo lo que ha de valorar el órgano judicial por encima del estricto acatamiento de la mera formalidad procesal [F.J. 3].</w:t>
      </w:r>
    </w:p>
    <w:p w:rsidR="00FE0907" w:rsidRDefault="00FE0907" w:rsidP="00FE0907">
      <w:pPr>
        <w:pStyle w:val="Extracto"/>
      </w:pPr>
    </w:p>
    <w:p w:rsidR="00FE0907" w:rsidRDefault="00FE0907" w:rsidP="00FE0907">
      <w:pPr>
        <w:pStyle w:val="Extracto"/>
      </w:pPr>
      <w:r>
        <w:t>3.</w:t>
      </w:r>
      <w:r>
        <w:tab/>
        <w:t>Los arts. 1.584 y 1.585 de la L.E.C. fijan un término concreto para la válida personación de las partes en segunda instancia. La norma que se contiene en ambos preceptos tiene por finalidad esencial la delimitación temporal del plazo durante el cual deberá la parte interesada mostrar su interés en el sostenimiento del recurso cuya intención de formular expresó ya anteriormente mediante el escrito de interposición del mismo. Tratan, por tanto, dichos preceptos de evitar que la mencionada voluntad de mantener la apelación pueda expresarse por la parte en cualquier momento, dejando indefinidamente abierto el período en que el Juzgador «ad quem» deba considerarla como válida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2.044/88 interpuesto por el Procurador de los Tribunales don Jose Luis Pinto Marabotto, en nombre y representación de don Manuel Moyano Hurtado, asistido del Letrado don Francisco Diaz Perez, contra los Autos de 4 de octubre de 1988, 8 y 22 de noviembre del mismo año, dictados por el Juzgado de Primera Instancia de Baeza recaídos en recurso de apelación interpuesto contra la Sentencia de 8 de junio de 1988 del Juzgado de Distrito de esa misma localidad, recaída en juicio sobre desahucio de local de negocio por falta de pago. Ha comparecido el Ministerio Fiscal y don Juan Antonio Marín Pérez, representado por el Procurador de los Tribunales don Gumersindo Luis García Hernandez y asistido por el Letrado Don José Luis Fernandez Marchena, y ha sido Ponente don Fernando García-Mon y Gonzalez-Regueral,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tuvo entrada en este Tribunal el día 16 de diciembre de 1988, el Procurador de los Tribunales don José Luis Pinto Marabotto, en nombre y representación de don Manuel Moyano Hurtado, interpuso recurso de amparo contra el Auto de 4 de octubre de 1988 dictado por el Juzgado de Primera Instancia de Baeza, que declaró desierto el recurso de apelación interpuesto contra la Sentencia de 8 de junio de 1988 del Juzgado de Distrito de esa misma localidad recaída en juicio sobre desahucio de local de negocio por falta de pago, asi como contra el Auto de 8 de noviembre de 1988 desestimatorio del recurso de reposición formulado contra el primero y Auto de 21 de noviembre de 1988 que inadmite recurso de apelación interpuesto contra el anterior, dictados todos por el Juzgado de Primera Instancia referido.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que se basa la demanda de amparo son, en síntesis, los siguientes: </w:t>
      </w:r>
    </w:p>
    <w:p w:rsidR="00FE0907" w:rsidRDefault="00FE0907" w:rsidP="00FE0907">
      <w:pPr>
        <w:pStyle w:val="TextoNormal"/>
      </w:pPr>
      <w:r>
        <w:t xml:space="preserve">A)El recurrente en amparo, don Manuel Moyano Hurtado fue demandado, junto a don Diego Marín Pérez, por don Juan Antonio Marín Pérez, ante el Juzgado de Distrito de Baeza, sobre desahucio por falta de pago respecto de local de negocio que ocupaban los citados codemandados. El procedimiento se siguió bajo el núm. 14/87 y en el mismo recayó Sentencia estimatoria de la demanda en fecha 8 de junio de 1988. </w:t>
      </w:r>
    </w:p>
    <w:p w:rsidR="00FE0907" w:rsidRDefault="00FE0907" w:rsidP="00FE0907">
      <w:pPr>
        <w:pStyle w:val="TextoNormal"/>
      </w:pPr>
      <w:r>
        <w:t xml:space="preserve">B) Contra la citada resolución se interpuso recurso de aclaración y subsidiario de apelación para ante el Juzgado de Primera Instancia de Baeza; recurso que fue admitido en ambos efectos mediante Auto de fecha 22 de junio de 1988. </w:t>
      </w:r>
    </w:p>
    <w:p w:rsidR="00FE0907" w:rsidRDefault="00FE0907" w:rsidP="00FE0907">
      <w:pPr>
        <w:pStyle w:val="TextoNormal"/>
      </w:pPr>
      <w:r>
        <w:t xml:space="preserve">El día 12 de julio de 1988 se presentó escrito de personación por el recurrente ante el Juzgado de Primera Instancia en el mencionado recurso de apelación y previa ratificación del mismo por el entonces apelante, se dictó diligencia de ordenación de la misma fecha por la que se ordenó la formación del rollo de apelación y estar a la espera de la recepción del oportuno juicio verbal para acordar lo necesario; la recepción de los autos tuvo lugar en fecha 30 de agosto de 1988. </w:t>
      </w:r>
    </w:p>
    <w:p w:rsidR="00FE0907" w:rsidRDefault="00FE0907" w:rsidP="00FE0907">
      <w:pPr>
        <w:pStyle w:val="TextoNormal"/>
      </w:pPr>
      <w:r>
        <w:t>C) En fecha 4 de octubre de 1988 se dictó Auto por el Juzgado de Primera Instancia de Baeza por el que se declaró desierto el recurso de apelación por falta de personación du</w:t>
      </w:r>
      <w:r>
        <w:lastRenderedPageBreak/>
        <w:t xml:space="preserve">rante el plazo establecido en la cédula de emplazamiento, que se había realizado por el Juzgado a quo en fecha 13 de julio de 1988. </w:t>
      </w:r>
    </w:p>
    <w:p w:rsidR="00FE0907" w:rsidRDefault="00FE0907" w:rsidP="00FE0907">
      <w:pPr>
        <w:pStyle w:val="TextoNormal"/>
      </w:pPr>
      <w:r>
        <w:t xml:space="preserve">Contra el anterior Auto se interpuso recurso de reposición, en el que se alegó la vulneración del derecho recogido en el art. 24.1 de la Constitución, siendo desestimado el mismo mediante Auto de 8 de noviembre de 1988. </w:t>
      </w:r>
    </w:p>
    <w:p w:rsidR="00FE0907" w:rsidRDefault="00FE0907" w:rsidP="00FE0907">
      <w:pPr>
        <w:pStyle w:val="TextoNormal"/>
      </w:pPr>
      <w:r>
        <w:t xml:space="preserve">D) Contra esta última resolución se interpuso recurso de apelación que fue inadmitido a trámite mediante Auto de 21 de noviembre de 1988 y que, según afirma el recurrente, le fue notificado en fecha 24 de noviembre de 1988. </w:t>
      </w:r>
    </w:p>
    <w:p w:rsidR="00FE0907" w:rsidRDefault="00FE0907" w:rsidP="00FE0907">
      <w:pPr>
        <w:pStyle w:val="TextoNormal"/>
      </w:pPr>
      <w:r>
        <w:t>Con base en los anteriores hechos, el demandante de amparo suplica de este Tribunal se dicte Sentencia por la que se declare la nulidad de las resoluciones impugnadas y se reconozca su derecho a que se considere al mismo comparecido en tiempo y forma en el recurso de apelación interpuesto contra la Sentencia de instancia, señalando día y hora para la celebración de la vista del referido recurso.</w:t>
      </w:r>
    </w:p>
    <w:p w:rsidR="00FE0907" w:rsidRDefault="00FE0907" w:rsidP="00FE0907">
      <w:pPr>
        <w:pStyle w:val="TextoNormal"/>
      </w:pPr>
    </w:p>
    <w:p w:rsidR="00FE0907" w:rsidRDefault="00FE0907" w:rsidP="00FE0907">
      <w:pPr>
        <w:pStyle w:val="TextoNormal"/>
      </w:pPr>
      <w:r w:rsidRPr="00FE0907">
        <w:rPr>
          <w:rStyle w:val="NumeroAFNegritaCaracter"/>
        </w:rPr>
        <w:t>3</w:t>
      </w:r>
      <w:r>
        <w:t>. Alega el actor la vulneración del derecho a obtener tutela judicial efectiva sin indefensión que consagra el art. 24.1 C.E. Entiende el recurrente que el Auto de 4 de octubre de 1988 del Juzgado de Primera Instancia de Baeza, posteriormente confirmado por las restantes resoluciones impugnadas, vulnera aquel derecho al impedir el acceso a un recurso validamente interpuesto, en virtud de lo que considera no es sino un cúmulo de errores de los propios órganos judiciales; así, continúa el actor, pese a que la personación en la causa se efectuó en fecha anterior a la del emplazamiento, lo cierto es que el Juzgado de Primera Instancia hizo ratificarse al mismo en el escrito y extendió diligencia ordenando formar el rollo de apelación, sin advertirle que debía esperar a que se recibieran los autos o se verificara el emplazamiento. Asimismo -alega- el Juzgado de Distrito incumplió el plazo que para la remisión de las actuaciones fija el art. 1.585 de la Ley de Enjuiciamiento Civil, recibiendose finalmente los autos con posterioridad al plazo para la personación. En definitiva -mantiente el actor- el Juzgado, que inicialmente había admitido su personación aun realizada con anterioridad al emplazamiento, y a pesar incluso de la visita que el mismo efectuó a la sede judicial con posterioridad a dicho emplazamiento y dentro del plazo legal -el día 30 de julio de 1988- acordó, no obstante, tener por desierto el recurso por falta de esa misma personación y sin posibilidad de subsanación alguna. Como quiera -concluye el recurrente- que, interpuestos recursos de reposición primero y apelación después, contra dicha resolución, aquel fue desestimado y éste se declaró inadmisible, no queda al demandante otra vía que la del recurso de amparo interpuesto para lograr la efectividad del derecho fundamental conculcado.</w:t>
      </w:r>
    </w:p>
    <w:p w:rsidR="00FE0907" w:rsidRDefault="00FE0907" w:rsidP="00FE0907">
      <w:pPr>
        <w:pStyle w:val="TextoNormal"/>
      </w:pPr>
    </w:p>
    <w:p w:rsidR="00FE0907" w:rsidRDefault="00FE0907" w:rsidP="00FE0907">
      <w:pPr>
        <w:pStyle w:val="TextoNormal"/>
      </w:pPr>
      <w:r w:rsidRPr="00FE0907">
        <w:rPr>
          <w:rStyle w:val="NumeroAFNegritaCaracter"/>
        </w:rPr>
        <w:t>4</w:t>
      </w:r>
      <w:r>
        <w:t>. En fecha 17 de enero de 1988 la representación del demandante de amparo presentó escrito ante este Tribunal solicitando la suspensión de la ejecución de las resoluciones impugnadas.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Por providencia de 23 de enero de 1989, la Sección acordó admitir la demanda de amparo formulada y a tenor de lo dispuesto en el art. 51 de la Ley Orgánica del Tribunal Constitucional, requerir atentamente de los Juzgados de Distrito y de Primera Instancia, ambos de Baeza, para que en el plazo de diez días remitan respectivamente testimonio de los autos de desahucio núm. 14/87 y del correspondiente rollo de Sala núm. 4/88 y carpeta de antecedentes núm. 2/88, interesandose al propio tiempo se emplace a quienes fueron parte en el mencionado procedimiento con excepción del recurrente, para que en el plazo </w:t>
      </w:r>
      <w:r>
        <w:lastRenderedPageBreak/>
        <w:t>de diez días puedan comparecer en este proceso constitucional. En cuanto a la petición de suspensión interesada por el actor, se acordó formar la pieza separada de suspensión, conforme se solicitaba por el mismo.</w:t>
      </w:r>
    </w:p>
    <w:p w:rsidR="00FE0907" w:rsidRDefault="00FE0907" w:rsidP="00FE0907">
      <w:pPr>
        <w:pStyle w:val="TextoNormal"/>
      </w:pPr>
    </w:p>
    <w:p w:rsidR="00FE0907" w:rsidRDefault="00FE0907" w:rsidP="00FE0907">
      <w:pPr>
        <w:pStyle w:val="TextoNormal"/>
      </w:pPr>
      <w:r w:rsidRPr="00FE0907">
        <w:rPr>
          <w:rStyle w:val="NumeroAFNegritaCaracter"/>
        </w:rPr>
        <w:t>6</w:t>
      </w:r>
      <w:r>
        <w:t>. Con fecha 11 de febrero de 1989 se recibe escrito mediante el cual el Procurador de los Tribunales don Gumersindo Luis García Fernandez, en nombre y representación de don Juan Antonio Marín Pérez, se persona en las actuaciones.</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23 de febrero de 1989, la Sección acuerda tener por recibidas las actuaciones judiciales remitidas y por personado y parte al Procurador Sr. García Fernandez, en nombre de quien comparece entendiendose con él la presente y sucesivas diligencias;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FE0907" w:rsidRDefault="00FE0907" w:rsidP="00FE0907">
      <w:pPr>
        <w:pStyle w:val="TextoNormal"/>
      </w:pPr>
    </w:p>
    <w:p w:rsidR="00FE0907" w:rsidRDefault="00FE0907" w:rsidP="00FE0907">
      <w:pPr>
        <w:pStyle w:val="TextoNormal"/>
      </w:pPr>
      <w:r w:rsidRPr="00FE0907">
        <w:rPr>
          <w:rStyle w:val="NumeroAFNegritaCaracter"/>
        </w:rPr>
        <w:t>8</w:t>
      </w:r>
      <w:r>
        <w:t>. Mediante Auto de fecha 14 de febrero de 1989 la Sala acordó, en la correspondiente pieza separada, la suspensión de la ejecución de la Sentencia de 8 de junio de 1988 dictada por el Juzgado de distrito de Baeza en el procedimiento de desahucio por falta de pago seguido contra el recurrente en amparo, hasta tanto se resuelva el presente recurso.</w:t>
      </w:r>
    </w:p>
    <w:p w:rsidR="00FE0907" w:rsidRDefault="00FE0907" w:rsidP="00FE0907">
      <w:pPr>
        <w:pStyle w:val="TextoNormal"/>
      </w:pPr>
    </w:p>
    <w:p w:rsidR="00FE0907" w:rsidRDefault="00FE0907" w:rsidP="00FE0907">
      <w:pPr>
        <w:pStyle w:val="TextoNormal"/>
      </w:pPr>
      <w:r w:rsidRPr="00FE0907">
        <w:rPr>
          <w:rStyle w:val="NumeroAFNegritaCaracter"/>
        </w:rPr>
        <w:t>9</w:t>
      </w:r>
      <w:r>
        <w:t>. Con fecha 20 de marzo de 1989, se recibe el escrito de alegaciones formuladas por la representación del demandante de amparo. En ellas reitera que el Auto dictado por el Juzgado de Primera Instancia de Baeza, de 4 de octubre de 1988, por el que se declaró desierto el recurso de apelación interpuesto por el demandante se fundamenta como único motivo para adoptar tal decisión en lo dispuesto en el art. 1.584 L.E.C., es decir el no haberse personado el apelante dentro del término establecido en la cédula de emplazamiento. Pero -continua el actor- a la vista de los documentos que obran en el expediente, resulta que el Juzgado de distrito de Baeza una vez admitida la apelación y sin ninguna justificación no remitió los autos dentro de las 24 horas siguientes al Juzgado de Primera Instancia, sino que tardó en realizar la remisión de autos mas de dos meses (en concreto el día 30 de agosto), no obstante lo cual emplazó a las partes a partir del día 26 de julio, y pese a que el apelante presentó su escrito de comparecencia, pese a que el Secretario extendió diligencia de conformidad con lo establecido en el art. 1.585 L.E.C. en fecha 12 de junio y que se volvió a personar en el Juzgado el día 30 de julio, sin que hasta el 30 de agosto se recibiesen los autos en el Juzgado ad quem, se le tuvo por no personado en plazo. El error cometido por el Juzgado no debió llevar a considerar incomparecido al recurrente, pues se le provoca con ello una indefensión derivada del mal funcionamiento de los Juzgados. Además, concluye, el espíritu y finalidad que pretende el art. 1.585 de la L.E.C. va referido a las comparecencias fuera de plazo, esto es, habiendo transcurrido el plazo señalado, pero no cuando se comparece antes de comenzar dicho plazo; supuesto que, en realidad no debería suceder, pero que en este supuesto ha acontecido, pese a la buena fe con que ha obrado en todo momento el recurrente. En virtud de todo ello, reitera la súplica de su escrito de demanda solicitando el otorgamiento del amparo.</w:t>
      </w:r>
    </w:p>
    <w:p w:rsidR="00FE0907" w:rsidRDefault="00FE0907" w:rsidP="00FE0907">
      <w:pPr>
        <w:pStyle w:val="TextoNormal"/>
      </w:pPr>
    </w:p>
    <w:p w:rsidR="00FE0907" w:rsidRDefault="00FE0907" w:rsidP="00FE0907">
      <w:pPr>
        <w:pStyle w:val="TextoNormal"/>
      </w:pPr>
      <w:r w:rsidRPr="00FE0907">
        <w:rPr>
          <w:rStyle w:val="NumeroAFNegritaCaracter"/>
        </w:rPr>
        <w:t>10</w:t>
      </w:r>
      <w:r>
        <w:t>. Con fecha 22 de marzo de 1989 se recibe el escrito de alegaciones del Ministerio Fiscal. En él, tras resumir los antecedentes de hecho consignados en la demanda de ampa</w:t>
      </w:r>
      <w:r>
        <w:lastRenderedPageBreak/>
        <w:t>ro, analiza el fondo de la pretensión formulada por el actor, comenzando por señalar que la cuestión sometida a este Tribunal en el recurso de amparo es la de determinar si vulnera el derecho a la tutela judicial efectiva, consagrado en el art. 24.1 C.E., el Auto que declara desierto el recurso de apelación cuando la personación del apelante se efectuó ante el órgano ad quem antes de haber sido emplazado por el órgano a quo, esto es, se ciñe a resolver sobre la eficacia de la personación anticipada ante juez competente. En este supuesto, el escrito de personación del apelante se presentó en el Juzgado de Primera Instancia el día 12 de julio de 1988, antes de que el Juzgado admita el recurso y ordene el emplazamiento de las partes, y en esa misma fecha el Secretario Judicial procede a la apertura del rollo de apelación, a la espera de la recepción del juicio verbal para acordar lo procedente. El Juzgado, sin haber dado respuesta a la personación efectuada, ni darle oportunidad de subsanar la irregularidad procesal dicta Auto declarando desierto el recurso de apelación fundandose en que si bien el apelante compareció en el Juzgado, no lo hizo en el plazo que le fue concedido (comprendido entre las fechas de 26 de julio y 7 de septiembre). Pero lo cierto es que cuando fue abierto este plazo el apelante ya estaba personado en el recurso de apelación, toda vez que el Juzgado de Primera Instancia no rechazó la pretensión de personación anticipada, aceptando el escrito presentado por el propio interesado, que ratificó ante el Juez. Es cierto -continua- que el art. 1.585 L.E.C. dispone la consecuencia que en este caso se aplicó para los supuestos de falta de personación, pero el juzgador no ha tenido en cuenta que para llegar a esta decisión, obstaculizadora del recurso de apelación, debió antes resolver sobre lo solicitado en el escrito de personación y denegar la misma, a fin de que el apelante pudiera reproducir su petición dentro del emplazamiento. Al no inadmitir el escrito de personación de 12 de julio, es claro que este mantiene su eficacia cuando se inicia el período del emplazamiento. Por otro lado, como acto de comunicación que es, el emplazamiento trata de dar a conocer al destinatario la existencia del proceso o bien la admisión de determinado recurso; su finalidad no es otra que la de dar a conocer al destinatario la apertura del plazo para comparecer ante el Juzgado o Tribunal correspondiente y esta finalidad se cumple en el presente caso, porque el apelante se personó ante el Juzgado aunque fuera antes del período del emplazamiento, sin que el Juzgado formulase objección alguna. El escrito de personación se encontraba además en el Juzgado cuando se abrió el periodo del emplazamiento, por tanto, y a lo sumo, hubo una irregularidad procesal propiciada por el propio órgano judicial que admitió el escrito de personación. Pues bien, la doctrina del T.C. sobre el derecho que consagra el art. 24. de la C.E., viene señalando que los órganos judiciales deben resolver siempre sobre las pretensiones que se les formulen de forma que la desestimación por motivos formales solo procederá cuando el defecto sea insubsanable o no se subsane por el procedimiento establecido en las leyes, asi como que el llamado acceso a la jurisdicción y a la admisión de los recursos e instancias cuando procedan, forma parte de aquel derecho, debiendo interpretarse las normas que los regulan de la manera mas favorable a la eficacia y ejercicio del derecho, sin convertir los presupuestos procesales en obstáculos de dificil reparación. Por todo ello, concluye, declarar desierto el recurso de apelación habiendose personado el apelante con anterioridad al inicio del período del emplazamiento, sin haber posibilitado al mismo la subsanación del defecto (art. 243 L.O.P.J.), supone efectuar una interpretación contraria a la regla de eficacia y protección de los derechos , impeditiva del acceso a la jurisdicción y a los recursos o instancias, que vulnera el derecho a la tutela judicial efectiva consagrado en el art. 24.1 C.E. En mérito a todo ello, el Ministerio Fiscal termina interesando se otorgue el amparo solicitado.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11</w:t>
      </w:r>
      <w:r>
        <w:t>. Don Gumersindo Luis García Fernandez, en representación de don Juan Antonio Marín Pérez, presentó su escrito de alegaciones en fecha 21 de marzo de 1988; en ellas alega que cuando el apelante presentó su escrito de personación -12 de julio de 1988- aún no había sido emplazado, y la correcta exégesis del art. 1584 L.E.C. lleva a la conclusión de que para personarse es requisito esencial el emplazamiento previo, porque de otra manera se llegaría al absurdo de una personación sin causa o fin alguno. Además no es exacto como afirma el recurrente que no se le emplazase, pues el emplazamiento consta efectuado en fecha 26 de julio y ninguna infracción existe del art. 284.4 de la L.O.P.J, porque no existe obligación alguna de iniciar un recurso que no existía contra el Auto que declaró desierto el recurso, y tampoco son ciertas las afirmaciones del actor sobre "fines maquiavélicos" del lanzamiento. En definitiva, no ha habido lesión del art. 24 C.E. y sí una quiebra del procedimiento solo consistente en la falta de personación del apelante tras haber sido emplazado en tiempo y forma; la actuación del Juzgado es impecable en cuanto aplica un precepto legal que recoje presupuestos formales, siendo doctrina reiterada del T.C. que las formas y requisitos procesales cumplen un papel importante en el proceso. Por todo ello, solicita la desestimación del recurso de amparo y el alzamiento de la suspensión de la ejecución de la sentencia dictada en la instancia.</w:t>
      </w:r>
    </w:p>
    <w:p w:rsidR="00FE0907" w:rsidRDefault="00FE0907" w:rsidP="00FE0907">
      <w:pPr>
        <w:pStyle w:val="TextoNormal"/>
      </w:pPr>
    </w:p>
    <w:p w:rsidR="00FE0907" w:rsidRDefault="00FE0907" w:rsidP="00FE0907">
      <w:pPr>
        <w:pStyle w:val="TextoNormal"/>
      </w:pPr>
      <w:r w:rsidRPr="00FE0907">
        <w:rPr>
          <w:rStyle w:val="NumeroAFNegritaCaracter"/>
        </w:rPr>
        <w:t>12</w:t>
      </w:r>
      <w:r>
        <w:t>. Por providencia de 12 de febrero de 1992 se acordó señalar para la deliberación y votación de esta Sentencia el día 14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del presente recurso de amparo consiste en determinar si las sucesivas resoluciones judiciales que declararon desierto el recurso de apelación formulado contra la Sentencia de instancia, fundamentadas en la falta de personación de los recurrentes dentro del plazo al efecto concedido, vulneran el art. 24.1 de la Constitución Española, en cuanto representan una interpretación restrictiva o en exceso rigurosa de uno de los requisitos legalmente establecidos para el acceso al mencionado recurso.</w:t>
      </w:r>
    </w:p>
    <w:p w:rsidR="00FE0907" w:rsidRDefault="00FE0907" w:rsidP="00FE0907">
      <w:pPr>
        <w:pStyle w:val="TextoNormal"/>
      </w:pPr>
      <w:r>
        <w:t>El demandante de amparo fundamenta la lesión denunciada en la consideración de su efectiva personación en la segunda instancia, si bien realizada con anterioridad al inicio del plazo señalado por el Juzgado mediante el correspondiente emplazamiento.  Esta personación prematura -continúa el actor- fue, no obstante, aceptada judicialmente, al admitirse el escrito mediante el cual se realizó, acordándose incluso su ratificación posterior, lo que, unido a la ausencia de resolución judicial sobre la validez del mencionado escrito en tanto no se recibiesen las actuaciones en el Juzgado ad quem, determinó la falta de una nueva personación de la parte en el plazo legal posterior al emplazamiento.  La realidad de los anteriores datos resulta del examen de las actuaciones judiciales.</w:t>
      </w:r>
    </w:p>
    <w:p w:rsidR="00FE0907" w:rsidRDefault="00FE0907" w:rsidP="00FE0907">
      <w:pPr>
        <w:pStyle w:val="TextoNormal"/>
      </w:pPr>
      <w:r>
        <w:t>Por su parte, el órgano judicial hace en sus resoluciones una aplicación estricta de la causa de inadmisión del recurso prevista en los arts.  1.584 y 1.585 de la Ley de Enjuiciamiento Civil (en su relación con el art. 734 de la citada Ley procesal), esto es, aprecia la ausencia de personación del apelante dentro del término de ocho días contados a partir del emplazamiento, efectuado realmente un día después de aquel en que se presentó el escrito de personación antes referido, lo que determina, a tenor de los expresados preceptos, la procedencia de declarar desierto el recurso formulado.</w:t>
      </w:r>
    </w:p>
    <w:p w:rsidR="00FE0907" w:rsidRDefault="00FE0907" w:rsidP="00FE0907">
      <w:pPr>
        <w:pStyle w:val="TextoNormal"/>
      </w:pPr>
      <w:r>
        <w:t>Ahora bien, si la veracidad de los hechos no resulta controvertida en el presente supuesto, el análisis de la lesión denunciada, partiendo de los mismos, habrá de orientarse a de</w:t>
      </w:r>
      <w:r>
        <w:lastRenderedPageBreak/>
        <w:t>terminar la corrección -desde la perspectiva del respeto al derecho fundamental invocado- de las resoluciones judiciales impugnadas que declararon desierto el recurso de apelación e impidieron, por tanto, la revisión de la causa en una segunda instancia judicial, conforme pretendia la parte; o bien a precisar si, por el contrario, era posible efectuar otra interpretación de los preceptos legales aplicados mas acorde con la efectividad del repetido derecho fundamental consecuencia de lo cual sería que hubiera de entenderse infringido el derecho consagrado en el art.  24.1 C.E. por las decisiones judiciales impugnadas.</w:t>
      </w:r>
    </w:p>
    <w:p w:rsidR="00FE0907" w:rsidRDefault="00FE0907" w:rsidP="00FE0907">
      <w:pPr>
        <w:pStyle w:val="TextoNormal"/>
      </w:pPr>
    </w:p>
    <w:p w:rsidR="00FE0907" w:rsidRDefault="00FE0907" w:rsidP="00FE0907">
      <w:pPr>
        <w:pStyle w:val="TextoNormal"/>
      </w:pPr>
      <w:r w:rsidRPr="00FE0907">
        <w:rPr>
          <w:rStyle w:val="NumeroAFNegritaCaracter"/>
        </w:rPr>
        <w:t>2</w:t>
      </w:r>
      <w:r>
        <w:t>. Para ello conviene, ante todo, hacer una breve referencia previa a lo que constituye doctrina constitucional reiterada sobre la esencia del derecho fundamental que se cuestiona.  Este Tribunal ha venido señalando repetidamente que la tutela judicial es un derecho de prestación, cuya efectividad necesita de la mediación de la Ley y por ello la Constitución no garantiza clase alguna de recurso judicial, sino que tan solo asegura el acceso a recursos legalmente previstos, siempre que se cumplan y respeten los presupuestos, requisitos y límites que la propia Ley establezca, cuya observancia corresponde controlar a los órganos judiciales competentes en ejercicio de la exclusiva potestad jurisdiccional que les atribuye el art.  117.3 de la Constitución en el cual no puede, ni debe interferir este Tribunal Constitucional, a no ser que, admitiendo la legalidad procesal diversas interpretaciones, se haya elegido alguna que no sea la mas favorable a la eficacia del derecho a la tutela judicial, ya que, en tal caso, se habrá ocasionado vulneración de este derecho fundamental, cuya especial y superior fuerza vinculante exige a la jurisdicción ordinaria y, en último término, a esta constitucional, conceder prevalencia a la interpretación y aplicación de las normas jurídicas que resulten ser las mas adecuadas a la viabilidad del mismo, en el que se integra el derecho a acceder a los recursos puestos por la Ley a disposición de las partes que intervienen en el proceso, (por todas, STC 50/1990).</w:t>
      </w:r>
    </w:p>
    <w:p w:rsidR="00FE0907" w:rsidRDefault="00FE0907" w:rsidP="00FE0907">
      <w:pPr>
        <w:pStyle w:val="TextoNormal"/>
      </w:pPr>
    </w:p>
    <w:p w:rsidR="00FE0907" w:rsidRDefault="00FE0907" w:rsidP="00FE0907">
      <w:pPr>
        <w:pStyle w:val="TextoNormal"/>
      </w:pPr>
      <w:r w:rsidRPr="00FE0907">
        <w:rPr>
          <w:rStyle w:val="NumeroAFNegritaCaracter"/>
        </w:rPr>
        <w:t>3</w:t>
      </w:r>
      <w:r>
        <w:t>. Pues bien, es precisamente a la luz de este último criterio como deberá examinarse el presente supuesto; pues si la efectividad del derecho consagrado en el art. 24.1 C.E.  no requiriese tal esfuerzo interpretativo, por parte de los órganos judiciales, ningún reproche cabría efectuar en este caso a la decisión judicial que declaró desierto el recurso de apelación.  La automática aplicación de la causa prevista expresamente en el art. 1.585 de la L.E.C.  unida a la efectiva falta de personación de la parte en el término abierto tras el emplazamiento, harían irrelevante cualquier consideración añadida a tal realidad fáctica y legal.  Mas, conforme a la doctrina constitucional antes expuesta, los presupuestos legales de acceso a los recursos deben interpretarse de forma que resulten favorables a la efectividad del derecho fundamental invocado, y ello se traduce en la búsqueda de la finalidad del presupuesto; de forma que es el cumplimiento de dicha finalidad y ratio del mismo lo que ha de valorar el órgano judicial por encima del estricto acatamiento de la mera formalidad procesal.  Una interpretación en exceso formalista y rigurosa de los requisitos procesales, o que imponga una sanción desproporcionada en relación con la existencia de un defecto netamente formal y subsanable, conculcaría, pues, el derecho fundamental invocado al suponer una limitación injustificada del acceso al recurso establecido legalmente.</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Los arts.  1.584 y 1.585 de la L.E.C.  -aplicados en este caso- fijan un término concreto para la válida personación de las partes en segunda instancia.  La norma que se contiene en ambos preceptos tiene por finalidad esencial la delimitación temporal del plazo durante el cual deberá la parte interesada mostrar su interés en el sostenimiento del recurso </w:t>
      </w:r>
      <w:r>
        <w:lastRenderedPageBreak/>
        <w:t>cuya intención de formular expresó ya anteriormente mediante el escrito de interposición del mismo.  Tratan, por tanto, dichos preceptos de evitar que la mencionada voluntad de mantener la apelación pueda expresarse por la parte en cualquier momento, dejando indefinidamente abierto el periodo en que el Juzgador ad quem deba considerarla como válida.</w:t>
      </w:r>
    </w:p>
    <w:p w:rsidR="00FE0907" w:rsidRDefault="00FE0907" w:rsidP="00FE0907">
      <w:pPr>
        <w:pStyle w:val="TextoNormal"/>
      </w:pPr>
      <w:r>
        <w:t>No es dificil encontrar razones de seguridad jurídica o de agilidad procesal, que justifiquen tal limitación temporal, en aras a evitar la incertidumbre de la parte contraria o la eventual paralización de las actuaciones; efectos ambos que pudieran producirse de no resultar establecido un término preciso en el que manifestar aquella voluntad de sostener el recurso.</w:t>
      </w:r>
    </w:p>
    <w:p w:rsidR="00FE0907" w:rsidRDefault="00FE0907" w:rsidP="00FE0907">
      <w:pPr>
        <w:pStyle w:val="TextoNormal"/>
      </w:pPr>
      <w:r>
        <w:t>Ciertamente ese acotamiento temporal encuentra -en los preceptos legales aplicados- su dies a quo en la fecha en que se efectúe el emplazamiento del apelante; por lo que, generalmente, es a partir de tal día cuando ha de comenzar a contarse el periodo hábil para la personación de la parte, una vez admitido el recurso y recibidas las actuaciones en el órgano judicial de apelación.  Pero la rigurosa aplicación del requisito formal no puede llevar a ignorar la finalidad esencial del precepto. De forma que, si como acontece en este supuesto, la voluntad de mantenimiento del recurso por parte del apelante aparece expresada claramente a través del escrito de personación, presentado en fecha 12 de julio de 1987, que el juzgador ad quem admitió expresamente (tras su ratificación a presencia judicial en esa misma fecha) mediante diligencia de ordenación también fechada el día 12 de julio, es evidente que la finalidad y ratio del precepto ha sido respetada en esencia, pues tanto con respecto a la parte contraria -a efectos de seguridad jurídica- como en relación con la continuación del procedimiento -a efectos de no paralización del mismo- la decisión de continuar manteniendo el recurso aparece expresa y claramente manifestada. Y por ello también, si -conforme igualmente aqui sucede- un día después de admitido tal escrito de personación por el juzgador ad quem, el Juzgado a quo efectua formalmente el emplazamiento, y la personación no se repite a partir de tal fecha nuevamente, la sanción acordada en el Auto de 4 de octubre de 1988 -una vez recibidas finalmente las actuaciones en la segunda instancia- en el sentido de tener por desierto el recurso, aplicando literalmente el presupuesto formal, resulta contraria a la efectividad del derecho fundamental que consagra el art. 24.1.  por ser excesivamente rigurosa y, en todo caso, desproporcionada con la eventual incorrección procesal advertida. Rigurosa y restrictiva, porque no tiene presente aquella finalidad esencial del requisito, que en este supuesto se encontraba ya cumplida; y desproporcionada, por cuanto en virtud de esa ratio del presupuesto, ya observada por la parte, la exigencia del requisito en términos estrictamente formales y sin considerar la expectativa que la admisión inicial del escrito pudo muy bien generar en el apelante, sin otorgar posibilidad alguna de subsanación, representa una desproporcionada consecuencia al incumplimiento meramente procesal que pudiera advertirse en la conducta de aquél.</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De lo anteriormente expuesto se concluye que, tanto el Auto de 4 de octubre de 1988 que declaró desierto el recurso de apelación, como el posterior Auto de 8 de noviembre de 1988 que confirmó en reposición la resolución anterior, como, finalmente, el Auto de 21 de noviembre de 1988 que inadmitió el subsidiario recurso de apelación formulado contra aquella -resoluciones, todas ellas, dictadas por el Juzgado de Primera Instancia de Baeza- han conculcado el derecho fundamental a obtener tutela judidicial efectiva que consagra el art. 24.1 C.E. en su vertiente de derecho de acceso a los recursos legalmente previstos, lo que determina la procedencia de estimar el presente recurso de amparo, reconociendo el derecho fundamental conculcado, cuyo restablecimiento exige la anulación de las citadas resoluciones y la retroacción de las actuaciones judiciales a momento inmediatamente </w:t>
      </w:r>
      <w:r>
        <w:lastRenderedPageBreak/>
        <w:t>anterior al de ser dictadas, de forma que por el Juzgado de Primera Instancia de Baeza se sustancie el recurso de apelación formulado contra la Sentencia del Juzgado de Distrito de esa misma localidad.</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EN VIRTUD DE LA AUTORIDAD QUE LE CONCEDE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por don Manuel Moyano Hurtado y, en consecuencia:</w:t>
      </w:r>
    </w:p>
    <w:p w:rsidR="00FE0907" w:rsidRDefault="00FE0907" w:rsidP="00FE0907">
      <w:pPr>
        <w:pStyle w:val="TextoNormal"/>
      </w:pPr>
      <w:r>
        <w:t>1º Anular los Autos del Juzgado de Primera Instancia de Baeza de fechas 4 de octubre, 8 y 21 de noviembre, de 1988, dictados en el recurso de apelación núm. 4/88.</w:t>
      </w:r>
    </w:p>
    <w:p w:rsidR="00FE0907" w:rsidRDefault="00FE0907" w:rsidP="00FE0907">
      <w:pPr>
        <w:pStyle w:val="TextoNormal"/>
      </w:pPr>
      <w:r>
        <w:t>2º Reconocer al recurrente su derecho a la tutela judicial efectiva.</w:t>
      </w:r>
    </w:p>
    <w:p w:rsidR="00FE0907" w:rsidRDefault="00FE0907" w:rsidP="00FE0907">
      <w:pPr>
        <w:pStyle w:val="TextoNormal"/>
      </w:pPr>
      <w:r>
        <w:t>3º Retrotraer las actuaciones judiciales al momento inmediatamente anterior al primero de los Autos que se anulan, a fin de que el citado Juzgado de Primera Instancia sustancie el recurso de apelación formulado, sin que pueda declarar el mismo desierto por falta de personación del apelante.</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7" w:name="SENTENCIA_1992_24"/>
      <w:r>
        <w:lastRenderedPageBreak/>
        <w:t>SENTENCIA 24/1992, de 14 de febrero de 1992</w:t>
      </w:r>
    </w:p>
    <w:bookmarkEnd w:id="27"/>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ECLI:ES:TC:1992:24</w:t>
      </w:r>
    </w:p>
    <w:p w:rsidR="00FE0907" w:rsidRDefault="00FE0907" w:rsidP="00FE0907">
      <w:pPr>
        <w:pStyle w:val="SntesisDescriptiva"/>
      </w:pPr>
    </w:p>
    <w:p w:rsidR="00FE0907" w:rsidRDefault="00FE0907" w:rsidP="00FE0907">
      <w:pPr>
        <w:pStyle w:val="SntesisDescriptiva"/>
      </w:pPr>
      <w:r>
        <w:t>Recurso de amparo 542/1989. Contra Sentencia de la Audiencia Provincial de Alicante en apelación de la del Juzgado de Instancia núm. 3 de la misma ciudad, en procedimiento de la L.0. 10/1980.</w:t>
      </w:r>
    </w:p>
    <w:p w:rsidR="00FE0907" w:rsidRDefault="00FE0907" w:rsidP="00FE0907">
      <w:pPr>
        <w:pStyle w:val="SntesisDescriptiva"/>
      </w:pPr>
    </w:p>
    <w:p w:rsidR="00FE0907" w:rsidRDefault="00FE0907" w:rsidP="00FE0907">
      <w:pPr>
        <w:pStyle w:val="SntesisAnaltica"/>
      </w:pPr>
      <w:r>
        <w:t>Supuesta vulneración del derecho a la presunción de inocencia: actividad probatoria</w:t>
      </w:r>
    </w:p>
    <w:p w:rsidR="00FE0907" w:rsidRDefault="00FE0907" w:rsidP="00FE0907">
      <w:pPr>
        <w:pStyle w:val="SntesisAnaltica"/>
      </w:pPr>
    </w:p>
    <w:p w:rsidR="00FE0907" w:rsidRDefault="00FE0907" w:rsidP="00FE0907">
      <w:pPr>
        <w:pStyle w:val="Extracto"/>
      </w:pPr>
      <w:r>
        <w:t>1.</w:t>
      </w:r>
      <w:r>
        <w:tab/>
        <w:t>Se reitera la abundante jurisprudencia de este Tribunal acerca de que la presunción de inocencia exige para poder ser desvirtuada una actividad probatoria de cargo producida con las necesarias garantías y de la que pueda deducirse razonablemente la culpabilidad del acusado [F.J. 2].</w:t>
      </w:r>
    </w:p>
    <w:p w:rsidR="00FE0907" w:rsidRDefault="00FE0907" w:rsidP="00FE0907">
      <w:pPr>
        <w:pStyle w:val="Extracto"/>
      </w:pPr>
    </w:p>
    <w:p w:rsidR="00FE0907" w:rsidRDefault="00FE0907" w:rsidP="00FE0907">
      <w:pPr>
        <w:pStyle w:val="Extracto"/>
      </w:pPr>
      <w:r>
        <w:t>2.</w:t>
      </w:r>
      <w:r>
        <w:tab/>
        <w:t>Por lo que respecta al valor probatorio de la prueba alcoholimétrica, su eficacia está supeditada, por una parte, a que se haya practicado con las necesarias garantías formales al objeto de preservar el derecho de defensa -lo que conlleva la posibilidad de un segundo examen alcoholimétrico y, en su caso, la práctica médica de un análisis de sangre- y, por otra, a su incorporación al proceso de manera que sea susceptible de someterse a contradicción en el juicio oral o, por lo menos, que el «test» haya sido ratificado a presencia judicial durante el curso del procedimiento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542/89, interpuesto por la Procuradora de los Tribunales doña María Rodríguez Puyol, en nombre y representación de don José Ramón Borja Badias, asistido por el Letrado don Alberto Giménez Artes, contra la Sentencia de 24 de febrero de 1989 dictada por la Sección Tercera de la Audiencia Provincial de Alicante en apelación de la del Juzgado de Instrucción núm. 3 de la misma ciudad en el procedimiento de la Ley Orgánica 10/1980 núm. 10/88. Ha sido parte el Ministerio Fiscal y Ponente don Luis López Guerra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este Tribunal el 22 de Marzo de 1989, la Procuradora de los Tribunales doña María Rodríguez Puyol interpuso, en nombre y representación de don José Ramón Borja Badias, recurso de amparo contra la Sentencia de 24 de febrero de 1989 de la Sección Tercera de la Audiencia Provincial de Alicante, que desestimó el recurso de apelación por él interpuesto contra la dictada por el Juzgado de Instrucción núm. 3 de la misma ciudad en el procedimiento de la Ley Orgánica 10/1980 núm. 10/88.</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que trae causa el presente recurso de amparo, sucintamente expuestos, son los siguientes: </w:t>
      </w:r>
    </w:p>
    <w:p w:rsidR="00FE0907" w:rsidRDefault="00FE0907" w:rsidP="00FE0907">
      <w:pPr>
        <w:pStyle w:val="TextoNormal"/>
      </w:pPr>
      <w:r>
        <w:t xml:space="preserve">a) Sobre las 6 horas de la madrugada del día 29 de noviembre de 1987, tras haberse salido el vehículo que conducía por la parte izquierda de la calzada, el recurrente fue sometido por la Policía Municipal de Alicante a la prueba de alcoholemia, que arrojó un resultado de 2 y 1,9 gramos de alcohol por cada 1.000 centímetros cúbicos de sangre, respectivamente, en las dos sucesivas mediciones que se le practicaron con un alcoholímetro de precisión, manifestando su deseo de no someterse a una prueba de extracción de sangre para su posterior análisis, pese a haber sido invitado a ello. </w:t>
      </w:r>
    </w:p>
    <w:p w:rsidR="00FE0907" w:rsidRDefault="00FE0907" w:rsidP="00FE0907">
      <w:pPr>
        <w:pStyle w:val="TextoNormal"/>
      </w:pPr>
      <w:r>
        <w:t xml:space="preserve">b) Por estos hechos se siguió el procedimiento de la Ley Orgánica 10/1980 núm. 10/88 ante el Juzgado de Instrucción núm. 3 de Alicante en el que prestó declaración el demandante, tanto en presencia judicial como en el acto del juicio oral, no haciéndolo los Agentes de la Policía Municipal que levantaron el atestado, quienes ni siquiera fueron propuestos como testigos en el acto del juicio oral. Celebrado el mismo, el Juez de Instrucción dictó Sentencia el 13 de mayo de 1988 que condenó al recurrente como autor de un delito contra la seguridad del tráfico del art. 340 bis a) 1º. del Código Penal a las penas de 45.000 pts. de multa, privación del permiso de conducir por seis meses y costas. </w:t>
      </w:r>
    </w:p>
    <w:p w:rsidR="00FE0907" w:rsidRDefault="00FE0907" w:rsidP="00FE0907">
      <w:pPr>
        <w:pStyle w:val="TextoNormal"/>
      </w:pPr>
      <w:r>
        <w:t xml:space="preserve">c) Interpuesto recurso de apelación contra la anterior resolución, la Sección Tercera de la Audiencia Provincial de Alicante, en el rollo núm. 165/88, desestimó el mismo y confirmó la resolución recurrida. En el fundamento jurídico primero de esta Sentencia de apelación se hace constar que "en cuanto al valor probatorio del atestado policial cuestionado por el apelante en su escrito de recurso, la Sala estima su plena validez como elemento probatorio básico, por cuanto que el acusado mostró su conformidad con el contenido del mismo y ratificó dicha conformidad ante el Juez Instructor y en el acto de la vista". </w:t>
      </w:r>
    </w:p>
    <w:p w:rsidR="00FE0907" w:rsidRDefault="00FE0907" w:rsidP="00FE0907">
      <w:pPr>
        <w:pStyle w:val="TextoNormal"/>
      </w:pPr>
      <w:r>
        <w:t>d) Ante tal pronunciamiento, el demandante solicitó la aclaración de la Sentencia dictada en el sentido de que se determinara si la frase "ratificó dicha conformidad ante el Juez instructor y en el acto del juicio", que contenía la fundamentación jurídica de la apelación, significaba que el acusado mostró su conformidad con el atestado policial o, por el contrario, lo que manifestó fue su conformidad a que en la noche de autos se le practicase un test alcoholométrico y a que no se practicasen otras pruebas. Ello dió lugar a que la Sala dictase Auto el 13 de marzo de 1989 en cuya fundamentación jurídica se decía que tal ratificación supuso la aceptación del contenido del atestado policial, lo cual comprendía tanto el contenido de su declaración al folio quinto como el del siguiente, que también firmó, en el que se recogía que "al serle comunicado el resultado de las pruebas el conductor manifestó su conformidad", no dando lugar, por tanto, a aclaración alguna de la resolución.</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xml:space="preserve">. La representación del recurrente estima que en la fase de instrucción del procedimiento penal se practicó como única diligencia, la declaración del inculpado (quien ratificó su declaración prestada ante la policía y al mismo tiempo negó las acusaciones que se le imputan) poniendo en entredicho el resultado del test alcoholométrico, ya que debido a un accidente de su infancia carece de un pulmón. A partir de tal declaración, la acusación debió aportar alguna prueba, como la declaración testifical de los agentes de tráfico actuantes, que acreditara la culpabilidad del actor. </w:t>
      </w:r>
    </w:p>
    <w:p w:rsidR="00FE0907" w:rsidRDefault="00FE0907" w:rsidP="00FE0907">
      <w:pPr>
        <w:pStyle w:val="TextoNormal"/>
      </w:pPr>
      <w:r>
        <w:t xml:space="preserve">La fundamentación jurídica de la Sentencia de apelación demuestra que la Sala ha fundamentado su Sentencia en el atestado policial, el cual no ha sido ratificado por los agentes, y toma en cuenta afirmaciones de éstos contenidas en el mismo que en ningún caso pueden constituir prueba, sino simples manifestaciones contenidas en una denuncia. </w:t>
      </w:r>
    </w:p>
    <w:p w:rsidR="00FE0907" w:rsidRDefault="00FE0907" w:rsidP="00FE0907">
      <w:pPr>
        <w:pStyle w:val="TextoNormal"/>
      </w:pPr>
      <w:r>
        <w:t xml:space="preserve">Por otra parte, la Sentencia recurrida manifiesta su total contradicción con la prueba practicada, pues si observamos la declaración del inculpado ante el Juez instructor vemos que éste niega la acusación y pone en entredicho el resultado del test al tener un sólo pulmón. Por tanto, no es cierto que el actor manifestase su conformidad con el resultado de la prueba en el juicio oral, sino todo lo contrario. </w:t>
      </w:r>
    </w:p>
    <w:p w:rsidR="00FE0907" w:rsidRDefault="00FE0907" w:rsidP="00FE0907">
      <w:pPr>
        <w:pStyle w:val="TextoNormal"/>
      </w:pPr>
      <w:r>
        <w:t xml:space="preserve">En consecuencia, ni el atestado policial constituye prueba de cargo, ni el recurrente ratificó ante el Juez y en el juicio oral el resultado del test alcoholométrico. Por esta causa, el demandante pidió la aclaración de la Sentencia al objeto de que se determinase por la Sala sentenciadora si la ratificación de la conformidad con el atestado al que la misma aludía había de entenderse como una conformidad con el contenido del atestado o exclusivamente con la práctica del test de alcoholemia, a la que la Audiencia Provincial respondió con un Auto de 13 de marzo de 1989 en el sentido de que tal ratificación suponía aceptar todo lo que ante la Policía Municipal apareció declarado o manifestado y, además, firmado por el conductor declarante. </w:t>
      </w:r>
    </w:p>
    <w:p w:rsidR="00FE0907" w:rsidRDefault="00FE0907" w:rsidP="00FE0907">
      <w:pPr>
        <w:pStyle w:val="TextoNormal"/>
      </w:pPr>
      <w:r>
        <w:t xml:space="preserve">En conclusión, se ha dictado una Sentencia condenatoria del demandante con base a un atestado policial no sometido a contradicción -que, por tanto, no tiene el carácter de prueba de cargo- y sobre unas declaraciones que, contrariamente a lo afirmado en la Sentencia, no aceptan sino que contradicen el resultado de la prueba de alcoholemia. De aquí que se haya infringido el derecho constitucional a la presunción de inocencia consagrado en el art. 24.2 C.E. </w:t>
      </w:r>
    </w:p>
    <w:p w:rsidR="00FE0907" w:rsidRDefault="00FE0907" w:rsidP="00FE0907">
      <w:pPr>
        <w:pStyle w:val="TextoNormal"/>
      </w:pPr>
      <w:r>
        <w:t>Por todo lo anterior, solicita de este Tribunal que anule las Sentencias recurridas y otorgue el amparo solicitado. Así mismo, pidió la suspensión de la ejecución de las Sentencias impugnadas pues, de lo contrario, quedaría frustrada la finalidad que persigue este recurso de amparo.</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17 de abril de 1989, la Sección Segunda de la Sala Primera de este Tribunal acordó admitir a trámite la demanda de amparo formulada por don José Ramón Borja Badias, sin perjuicio de lo que resulte de los antecedentes, y tener por personado y parte, en su nombre y representación, a la Procuradora Sra. Rodríguez Puyol. Así mismo, y en virtud de lo dispuesto en el art. 51 de la LOTC, se requirió atentamente a la Audiencia de Alicante y al Juzgado de Instrucción núm. 3 de dicha capital, para que en el plazo de diez días remitiesen testimonio del rollo de apelación 165/88 y de los autos 10/88, respectivamente, y para que se emplazase a quienes fueron parte en el mencionado procedimiento, a excepción del recurrente, para que, dentro de dicho plazo, pudieran comparecer en este proceso constitucional. Por último, se ordenó la formación de la correspondiente pieza separada de suspensión.</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5</w:t>
      </w:r>
      <w:r>
        <w:t>. Recibidas las actuaciones, por providencia de 7 de julio de 1989, y en cumplimiento de lo dispuesto en el art. 52 de la LOTC, la Sección acordó dar vista de las actuaciones al Ministerio Fiscal y al recurrente en amparo, a fin de que, en término común de veinte días, formulasen las alegaciones que estimaran pertinentes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su escrito de alegaciones, presentado el 31 de julio de 1989, el Ministerio Fiscal, tras exponer sintéticamente los hechos y cuestiones suscitadas en la demanda, argumenta que la jurisprudencia constitucional es abundante en torno al art. 340 bis a) 1º. del Código Penal, en conexión con el principio de presunción de inocencia, y, aunque el otorgamiento o denegación del amparo en estos casos hayan sido determinadas en relación con las circunstancias del caso concreto, ello no impide que se puedan extraer unos principios generales dimanantes de la jurisprudencia. A saber: a) que el atestado policial tiene valor de simple denuncia; b) que dentro del atestado hay que separar lo que constituye prueba preconstituida de imposible reproducción en el juicio oral -cual es el test de alcoholemia- de las declaraciones que en él se vierten, que precisan contraste y contradicción en el juicio oral; c) que el valor probatorio del test de alcoholemia tiene que venir avalado por exigencias formales en su producción; d) que no basta el dato objetivo de la impregnación alcohólica si ello no tiene influencia en la conducción del vehículo; e) que la simple lectura en el acto del juicio oral del test de alcoholemia, sin presencia de las personas que lo hubiesen llevado a cabo, no puede servir de fundamento a un fallo condenatorio. </w:t>
      </w:r>
    </w:p>
    <w:p w:rsidR="00FE0907" w:rsidRDefault="00FE0907" w:rsidP="00FE0907">
      <w:pPr>
        <w:pStyle w:val="TextoNormal"/>
      </w:pPr>
      <w:r>
        <w:t xml:space="preserve">En el caso ahora estudiado existe una doble prueba que tiene en cuenta la Audiencia para confirmar la Sentencia de instancia: el atestado y las declaraciones del acusado. En cuanto al primero, contiene, de un lado, manifestaciones de los agentes de un valor probatorio limitado por cuanto no fueron sometidas a contradicción y, de otro, contiene una declaración del acusado en la que manifiesta, entre otras cosas, haber consumido 4 cubalibres entre las 24 horas y las 2,30 horas del día en que se practicó la prueba. </w:t>
      </w:r>
    </w:p>
    <w:p w:rsidR="00FE0907" w:rsidRDefault="00FE0907" w:rsidP="00FE0907">
      <w:pPr>
        <w:pStyle w:val="TextoNormal"/>
      </w:pPr>
      <w:r>
        <w:t xml:space="preserve">En el folio 6 se contiene el resultado de la prueba de alcoholemia practicada, de 2 y 1,9 gramos de alcohol por cada 1.000 c.c. de sangre, verificadas con un intervalo de 15 minutos entre cada una, que fue comunicado al actor quien mostró su conformidad con el mismo. Después se le informa de la posibilidad de practicar una extracción de sangre, para contrastar el resultado, no aceptada por éste. Con relación a esta prueba, se señala que cumple con las exigencias formales en cuanto a su práctica y se incorporó a los autos, pero no fue ratificada por los agentes en ningún momento, por lo que no es suficiente para destruir la presunción de inocencia. </w:t>
      </w:r>
    </w:p>
    <w:p w:rsidR="00FE0907" w:rsidRDefault="00FE0907" w:rsidP="00FE0907">
      <w:pPr>
        <w:pStyle w:val="TextoNormal"/>
      </w:pPr>
      <w:r>
        <w:t xml:space="preserve">De otro lado, el acusado declaró posteriormente en el Juzgado de Instrucción y ratificó la declaración prestada en el atestado a la que añadió que la noche de autos había tomado cuatro copas, aunque conducía en estado normal, y que puso de manifiesto a la policía que le faltaba un pulmón. En el juicio oral, manifestó que la prueba de alcoholemia dió resultado positivo, que se le ofreció un análisis de sangre pero que no quiso hacerlo pues estaba conforme con la prueba. </w:t>
      </w:r>
    </w:p>
    <w:p w:rsidR="00FE0907" w:rsidRDefault="00FE0907" w:rsidP="00FE0907">
      <w:pPr>
        <w:pStyle w:val="TextoNormal"/>
      </w:pPr>
      <w:r>
        <w:t xml:space="preserve">La influencia de las bebidas alcohólicas en la con- ducción quedó, por lo demás, objetivada en la pérdida de dominio del vehículo y en el accidente sufrido por el demandante. Todo ello con base a la prueba preconstituida e irreproducible en el juicio oral cual es la inspección ocular posterior al accidente. </w:t>
      </w:r>
    </w:p>
    <w:p w:rsidR="00FE0907" w:rsidRDefault="00FE0907" w:rsidP="00FE0907">
      <w:pPr>
        <w:pStyle w:val="TextoNormal"/>
      </w:pPr>
      <w:r>
        <w:t xml:space="preserve">En conclusión, el interrogatorio del acusado en el acto del juicio oral, unido a la prueba preconstituida de la inspección ocular una vez ocurrido el accidente y al test alcoholométrico practicado con todos los requisitos formales exigidos, hicieron en su día al Juez y </w:t>
      </w:r>
      <w:r>
        <w:lastRenderedPageBreak/>
        <w:t xml:space="preserve">Tribunal estimar como probado el delito y ello cubre de modo suficiente y satisfactorio el mínimo de cargo probatorio que desvirtúa la presunción de inocencia del recurrente. </w:t>
      </w:r>
    </w:p>
    <w:p w:rsidR="00FE0907" w:rsidRDefault="00FE0907" w:rsidP="00FE0907">
      <w:pPr>
        <w:pStyle w:val="TextoNormal"/>
      </w:pPr>
      <w:r>
        <w:t>Por todo ello, el Fiscal interesa que se deniegue el amparo solicitado.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representación del recurrente, en su escrito presentado el 2 de septiembre de 1989, señala que existe contradicción entre los razonamientos fácticos de la Sala que dictó la Sentencia de apelación y la prueba practicada, pues a pesar de que en la primera se diga que el acusado ratificó su declaración ante la policía, lo cierto es que éste negó las acusaciones que se le imputan y manifestó que conducía con normalidad, poniendo en entredicho el resultado de la prueba de alcohol al carecer de un pulmón. Además, la supuesta conformidad sólo fue en la noche de autos y después de advertir a los agentes sobre la poca fiabilidad de la prueba debido a la limitación física que sufría. </w:t>
      </w:r>
    </w:p>
    <w:p w:rsidR="00FE0907" w:rsidRDefault="00FE0907" w:rsidP="00FE0907">
      <w:pPr>
        <w:pStyle w:val="TextoNormal"/>
      </w:pPr>
      <w:r>
        <w:t xml:space="preserve">Las afirmaciones de que el acusado "olía a alcohol, habla pastosa y memoria confusa" que sirven de fundamento a la Sentencia, son afirmaciones contenidas en una denuncia, no ratificadas durante la instrucción ni en el juicio oral. </w:t>
      </w:r>
    </w:p>
    <w:p w:rsidR="00FE0907" w:rsidRDefault="00FE0907" w:rsidP="00FE0907">
      <w:pPr>
        <w:pStyle w:val="TextoNormal"/>
      </w:pPr>
      <w:r>
        <w:t xml:space="preserve">Por consiguiente, negadas las acusaciones conteni- das en el atestado policial y carente éste de valor probatorio al no haber sido reproducido en el juicio oral en condiciones que permitieran su contradicción, sólo cabe concluir en la inexistencia de prueba de cargo susceptible de destruir la presunción de inocencia, por lo que, al haberse dictado una Sentencia condenatoria contra el recurrente, se ha violado su derecho constitucional a la presunción de inocencia contenido en el art. 24.2 C.E. </w:t>
      </w:r>
    </w:p>
    <w:p w:rsidR="00FE0907" w:rsidRDefault="00FE0907" w:rsidP="00FE0907">
      <w:pPr>
        <w:pStyle w:val="TextoNormal"/>
      </w:pPr>
      <w:r>
        <w:t>Termina suplicando una Sentencia en los términos pedidos en su escrito de demanda.</w:t>
      </w:r>
    </w:p>
    <w:p w:rsidR="00FE0907" w:rsidRDefault="00FE0907" w:rsidP="00FE0907">
      <w:pPr>
        <w:pStyle w:val="TextoNormal"/>
      </w:pPr>
    </w:p>
    <w:p w:rsidR="00FE0907" w:rsidRDefault="00FE0907" w:rsidP="00FE0907">
      <w:pPr>
        <w:pStyle w:val="TextoNormal"/>
      </w:pPr>
      <w:r w:rsidRPr="00FE0907">
        <w:rPr>
          <w:rStyle w:val="NumeroAFNegritaCaracter"/>
        </w:rPr>
        <w:t>8</w:t>
      </w:r>
      <w:r>
        <w:t>. Por Auto de 22 de mayo de 1989, dictado en la pieza separada de suspensión, previa su correspondiente tramitación, la Sala acordó suspender la ejecución de la Sentencia de la Sección Tercera de la Audiencia Provincial de Alicante de 24 de febrero de 1989 dictada en el rollo de apelación 165/88, durante la sustanciación de este recurso de amparo.</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fecha 12 de febrero de 1992, se acordó señalar el día 14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del presente recurso de amparo consiste en determinar si en el proceso en el que ha sido condenado el recurrente como autor de un delito de conducción bajo la influencia de bebidas alcohólicas del art. 340 bis a)-1º.  del Código Penal, se ha practicado prueba de cargo suficiente para destruir la presunción de inocencia.  A tal respecto el demandante niega la existencia de tal prueba por cuanto, de un lado, el atestado policial, en el que se practicó la diligencia de impregnación alcohólica, no fue ratificado ni sometido a contradicción en el acto del juicio oral y, de otro, las declaraciones del acusado negaron los hechos objeto de la denuncia y pusieron en entredicho la fiabilidad del resultado de dicha prueba de alcoholemia.  De aquí que, según el demandante, se haya violado su derecho constitucional a la presunción de inocencia del art. 24.2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Conviene reiterar, una vez más, la abundante jurisprudencia de este Tribunal acerca de que la presunción de inocencia exige para poder ser desvirtuada una actividad probato</w:t>
      </w:r>
      <w:r>
        <w:lastRenderedPageBreak/>
        <w:t>ria de cargo producida con las necesarias garantías y de la que pueda deducirse razonablemente la culpabilidad del acusado.  Tal actividad probatoria, que ha de realizarse normalmente en el juicio oral en cumplimiento de los principios de oralidad, inmediación y contradicción, supone que los órganos judiciales competentes no pueden formar su convicción con base exclusivamente en atestados policiales no ratificados en el plenario, cuyo valor es el de una simple denuncia.  Y, por lo que respecta al valor probatorio de la prueba alcoholométrica, su eficacia está supeditada, por una parte, a que se haya practicado con las necesarias garantías formales al objeto de preservar el derecho de defensa -lo que conlleva la posibilidad de un segundo examen alcoholométrico y, en su caso, la práctica médica de un análisis de sangre- y, por otra, a su incorporación al pro- ceso de manera que sea susceptible de someterse a contradicción en el juicio oral o, por lo menos, que el test haya sido ratificado a presencia judicial durante el curso del procedimiento (SSTC 100/1985, 145/1987, 22/1988, 5/1989 y 222/1991).</w:t>
      </w:r>
    </w:p>
    <w:p w:rsidR="00FE0907" w:rsidRDefault="00FE0907" w:rsidP="00FE0907">
      <w:pPr>
        <w:pStyle w:val="TextoNormal"/>
      </w:pPr>
    </w:p>
    <w:p w:rsidR="00FE0907" w:rsidRDefault="00FE0907" w:rsidP="00FE0907">
      <w:pPr>
        <w:pStyle w:val="TextoNormal"/>
      </w:pPr>
      <w:r w:rsidRPr="00FE0907">
        <w:rPr>
          <w:rStyle w:val="NumeroAFNegritaCaracter"/>
        </w:rPr>
        <w:t>3</w:t>
      </w:r>
      <w:r>
        <w:t>. De lo recogido en el propio atestado policial, así como de las declaraciones prestadas por el recurrente, se deduce que, tras sufrir éste un accidente de circulación, fue sometido a una prueba de alcoholemia que arrojó un resultado de 2 grs. de alcohol por cada 1000 c.c. de sangre, y que repetida esta prueba 15 minutos más tarde ésta arrojó un resultado de 1'9 grs. de alcohol.  Igualmente se constata el ofrecimiento al mismo de la posibilidad de someterse a una prueba de determinación alcohólica en sangre, que fue rechazada por él.  Es decir, el test alcoholométrico se practicó con la observancia de los requisitos formales establecidos legal y reglamentariamente.</w:t>
      </w:r>
    </w:p>
    <w:p w:rsidR="00FE0907" w:rsidRDefault="00FE0907" w:rsidP="00FE0907">
      <w:pPr>
        <w:pStyle w:val="TextoNormal"/>
      </w:pPr>
      <w:r>
        <w:t>Sentado lo anterior se hace preciso examinar ahora si esta prueba de impregnación alcohólica accedió al proceso en condiciones que permitan concluir que la misma reviste el carácter de cargo susceptible de destruir la presunción de inocencia.  A tal respecto, preciso es coincidir con el recurrente que el resultado de la prueba de alcohol no fue ratificado en el juicio oral mediante la declaración de los agentes que la practicaron, pues éstos ni siquiera fueron citados como testigos al efecto.</w:t>
      </w:r>
    </w:p>
    <w:p w:rsidR="00FE0907" w:rsidRDefault="00FE0907" w:rsidP="00FE0907">
      <w:pPr>
        <w:pStyle w:val="TextoNormal"/>
      </w:pPr>
      <w:r>
        <w:t>Pero la existencia del delito del art. 340 bis a)-1º.  del Código Penal no precisa, como condición sine qua non, la previa práctica de una prueba de alcoholemia que acredite un determinado grado de alcohol en sangre, previamente ratificada por los agentes que la realizaron.  Así, pues, la prueba de impregnación alcohólica constituye el medio más idóneo para acreditar una determinada concentración de alcohol en la sangre del conductor de un vehículo, que puede dar lugar, tras ser valorada conjuntamente con otras pruebas, a la condena del mismo, pero ni es la única prueba que puede producir esta condena ni es una prueba imprescindible para su existencia.</w:t>
      </w:r>
    </w:p>
    <w:p w:rsidR="00FE0907" w:rsidRDefault="00FE0907" w:rsidP="00FE0907">
      <w:pPr>
        <w:pStyle w:val="TextoNormal"/>
      </w:pPr>
      <w:r>
        <w:t>De otro lado, su eficacia para destruir la presunción de inocencia viene condicionada por su acceso al proceso en condiciones que permitan al juzgador examinar por sí mismo la realidad de las circunstancias que determinaron su práctica, singularmente -pero no necesariamente- a través de la ratificación o declaración complementaria de quienes la efectuaron, o de otros elementos probatorios concernientes a la conducción realizada.  Así este Tribunal ha admitido la posibilidad de que el resultado del test sea ratificado, no por los agentes que lo verificaron, sino por otros testigos (SSTC 100/1985, 145/1987 y AATC 797/1985, 1421/1987 y 191/1988), por el resultado obtenido con una prueba de extracción de sangre (ATC 304/1985) por la declaración del perjudicado (ATC 305/1985), por las propias circunstancias que rodearon la conducción (ATC 649/1985) y, a los efectos que ahora nos interesan, por la propia declaración del acusado (SSTC 145/1987, 89/1988 y AATC 62/1983 y 1079/1987).</w:t>
      </w:r>
    </w:p>
    <w:p w:rsidR="00FE0907" w:rsidRDefault="00FE0907" w:rsidP="00FE0907">
      <w:pPr>
        <w:pStyle w:val="TextoNormal"/>
      </w:pPr>
      <w:r>
        <w:lastRenderedPageBreak/>
        <w:t>Pues bien, en el presente caso, el Tribunal ha contado con diversos elementos para evaluar la relevancia del test de alcoholemia. El acusado, en la declaración que prestó en el atestado, manifestó que había tomado cuatro cubalibres entre las 24 y 2,30 horas del día de autos y posteriormente, ante el Instructor, ratificó su declaración y reconoció que había tomado copas toda la noche: finalmente, en el juicio oral, y como se hace constar en el primer resultando de la Sentencia del Juzgado de Instrucción, "manifestó que había ingerido entre las 24 y 2,30 horas cuatro cubalibres". Igualmente, en la vista oral, reconoció que se había practicado la prueba de alcoholemia, que ésta dió resultado positivo, y que prestó a la prueba su plena conformidad. Esto es, reconoció la ingestión de bebidas alcohólicas y la regularidad de la prueba practicada.  De esta manera, como ya se afirmó en el ATC 840/1986 al resolver un caso similar al presente, la declaración del propio inculpado vino a corroborar el resultado del test de alcoholemia; y como nada se impugna respecto de la forma en que se produjeron una y otra prueba, hay que entender que dicho test ha accedido al proceso en condiciones que han permitido su contradicción porque la propia declaración del sometido a él lo ha dotado de eficacia probatoria.</w:t>
      </w:r>
    </w:p>
    <w:p w:rsidR="00FE0907" w:rsidRDefault="00FE0907" w:rsidP="00FE0907">
      <w:pPr>
        <w:pStyle w:val="TextoNormal"/>
      </w:pPr>
    </w:p>
    <w:p w:rsidR="00FE0907" w:rsidRDefault="00FE0907" w:rsidP="00FE0907">
      <w:pPr>
        <w:pStyle w:val="TextoNormal"/>
      </w:pPr>
      <w:r w:rsidRPr="00FE0907">
        <w:rPr>
          <w:rStyle w:val="NumeroAFNegritaCaracter"/>
        </w:rPr>
        <w:t>4</w:t>
      </w:r>
      <w:r>
        <w:t>. Queda, por último, comprobar si se ha practicado prueba suficiente respecto a si la ingestión de bebidas, admitida por el demandante, influyó efectivamente en la conducción y creó el riesgo que, para la seguridad del tráfico, castiga el art. 340 bis a)-1º. del Código Penal.</w:t>
      </w:r>
    </w:p>
    <w:p w:rsidR="00FE0907" w:rsidRDefault="00FE0907" w:rsidP="00FE0907">
      <w:pPr>
        <w:pStyle w:val="TextoNormal"/>
      </w:pPr>
      <w:r>
        <w:t>Al respecto conviene recordar que la prueba de alcoholemia a que fue sometido el recurrente no fue accidental ni consecuencia de uno de los denominados "controles preventivos", sino de un accidente de tráfico ocurrido tras producirse una salida por el lado izquierdo de la calzada del vehículo conducido por éste y que, según consta en la diligencia de inspección ocular (cuyo valor como prueba preconstituida -por irreproducible- es innegable), se produjo a la salida de una curva, tras un cambio de rasante, con velocidad limitada a 40 km./h.  El acusado, en sus declaraciones en el sumario, y en el acto del juicio oral no negó estos hechos, sino que admitió expresamente que había perdido el control del vehículo, si bien lo achaca al estado de la vía (resultando 1º de la Sentencia del Juzgado de Instrucción). Estos datos -salida de la calzada, lugar donde se produjo, existencia de limitación de velocidad, pérdida del control del vehículo- fueron, como afirma el Tribunal de apelación en su Sentencia, y en el auto aclaratorio posterior, los que determinaron la Sentencia condenatoria.  Su valoración y eficacia para fundar la condena es algo que compete a los Tribunales de la jurisdicción ordinaria, por lo que, constatada como se ha dicho la existencia de prueba de cargo, no cabe apreciar violación alguna del art. 24.2 de la Constitución.</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don José Ramón Borja Badias.</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lastRenderedPageBreak/>
        <w:t>Dada en Madrid, a catorce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8" w:name="SENTENCIA_1992_25"/>
      <w:r>
        <w:lastRenderedPageBreak/>
        <w:t>SENTENCIA 25/1992, de 24 de febrero de 1992</w:t>
      </w:r>
    </w:p>
    <w:bookmarkEnd w:id="28"/>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ECLI:ES:TC:1992:25</w:t>
      </w:r>
    </w:p>
    <w:p w:rsidR="00FE0907" w:rsidRDefault="00FE0907" w:rsidP="00FE0907">
      <w:pPr>
        <w:pStyle w:val="SntesisDescriptiva"/>
      </w:pPr>
    </w:p>
    <w:p w:rsidR="00FE0907" w:rsidRDefault="00FE0907" w:rsidP="00FE0907">
      <w:pPr>
        <w:pStyle w:val="SntesisDescriptiva"/>
      </w:pPr>
      <w:r>
        <w:t>Recurso de amparo electoral 456/1992. Candidatura "Els Verds-Unió Verda" (Alternativa Ecologista de Cataluña) contra Resolución de la Junta Electoral Provincial de Lleida.</w:t>
      </w:r>
    </w:p>
    <w:p w:rsidR="00FE0907" w:rsidRDefault="00FE0907" w:rsidP="00FE0907">
      <w:pPr>
        <w:pStyle w:val="SntesisDescriptiva"/>
      </w:pPr>
    </w:p>
    <w:p w:rsidR="00FE0907" w:rsidRDefault="00FE0907" w:rsidP="00FE0907">
      <w:pPr>
        <w:pStyle w:val="SntesisAnaltica"/>
      </w:pPr>
      <w:r>
        <w:t>Supuesta vulneración de los arts. 14 y 23.2 C.E.: requisitos para el ejercicio de sufragio activo y pasivo</w:t>
      </w:r>
    </w:p>
    <w:p w:rsidR="00FE0907" w:rsidRDefault="00FE0907" w:rsidP="00FE0907">
      <w:pPr>
        <w:pStyle w:val="SntesisAnaltica"/>
      </w:pPr>
    </w:p>
    <w:p w:rsidR="00FE0907" w:rsidRDefault="00FE0907" w:rsidP="00FE0907">
      <w:pPr>
        <w:pStyle w:val="Extracto"/>
      </w:pPr>
      <w:r>
        <w:t>1.</w:t>
      </w:r>
      <w:r>
        <w:tab/>
        <w:t>No da lugar a vulneración alguna ni del art. 14 ni del 23.2 de la C. E. el hecho de que, en unas determinadas elecciones de ámbito territorial restringido a determinada Comunidad Autónoma, sólo tengan derecho de sufragio activo y pasivo los residentes en ella [F.J. único].</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don Eugenio Díaz Eimil, don Miguel Rodríguez-Piñero y Bravo-Ferrer, don José Luis de los Mozos y de los Mozos, don Álvaro Rodríguez Bereijo y don José Gabaldón López,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Centrado"/>
        <w:keepNext/>
      </w:pPr>
      <w:r>
        <w:t xml:space="preserve">En el recurso de amparo electoral núm. 456/92, interpuesto por don José Luis Freijo Lizán, como representante General de la candidatura "Els Verds - Unió Verda (Alternativa Ecologista de Cataluña)", contra la Resolución de la Junta Electoral Provincial de Lleida, de 17 de febrero de 1992, que acordó la denegación de la proclamación de su candidatura y contra la Sentencia de la Sala de lo Contencioso del Tribunal Superior de Justicia de Cataluña, de 21 de febrero de 1992, que confirma dicha Resolución. </w:t>
      </w:r>
    </w:p>
    <w:p w:rsidR="00FE0907" w:rsidRDefault="00FE0907" w:rsidP="00FE0907">
      <w:pPr>
        <w:pStyle w:val="TextoNormal"/>
      </w:pPr>
      <w:r>
        <w:t>Ha intervenido el Ministerio Fiscal. Ha sido Ponente el Magistrado don Eugenio Díaqz Eimil,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El 21 de febrero de 1992 tuvo entrada en el registro de este Tribunal un escrito de don José Luis Freijo Lizán, quien, como representante legal de "Els Verds - Unió Verda (Alternativa Ecologista de Catalunya) interpone recurso de amparo contra la Resolución de la Junta Electoral Provincial de Lleida, que denegó la proclamación de la candidatura </w:t>
      </w:r>
      <w:r>
        <w:lastRenderedPageBreak/>
        <w:t>del mencionado partido, y contra la Sentencia del Tribunal Superior de Justicia de Cataluña, que confirmó dicha resolución.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fundamenta en los siguientes antecedentes: </w:t>
      </w:r>
    </w:p>
    <w:p w:rsidR="00FE0907" w:rsidRDefault="00FE0907" w:rsidP="00FE0907">
      <w:pPr>
        <w:pStyle w:val="TextoNormal"/>
      </w:pPr>
      <w:r>
        <w:t xml:space="preserve">a) La Junta Electoral Provincial de Lleida denegó la proclamación de la candidatura recurrente por no haber acreditado, mediante la correspondiente inscripción en el censo, el carácter de electores de determinados candidatos incluidos en su lista, a pesar de habérsele concedido un plazo de subsanación. </w:t>
      </w:r>
    </w:p>
    <w:p w:rsidR="00FE0907" w:rsidRDefault="00FE0907" w:rsidP="00FE0907">
      <w:pPr>
        <w:pStyle w:val="TextoNormal"/>
      </w:pPr>
      <w:r>
        <w:t>b) Interpuesto recurso contencioso electoral, es desestimado por el Tribunal Superior de Justicia de Cataluña.</w:t>
      </w:r>
    </w:p>
    <w:p w:rsidR="00FE0907" w:rsidRDefault="00FE0907" w:rsidP="00FE0907">
      <w:pPr>
        <w:pStyle w:val="TextoNormal"/>
      </w:pPr>
    </w:p>
    <w:p w:rsidR="00FE0907" w:rsidRDefault="00FE0907" w:rsidP="00FE0907">
      <w:pPr>
        <w:pStyle w:val="TextoNormal"/>
      </w:pPr>
      <w:r w:rsidRPr="00FE0907">
        <w:rPr>
          <w:rStyle w:val="NumeroAFNegritaCaracter"/>
        </w:rPr>
        <w:t>3</w:t>
      </w:r>
      <w:r>
        <w:t>. El partido recurrente considera que ningún artículo de la L.O.R.E.G., del Estatuto de Cataluña o de la Ley 5/1984, por la que se adapta la normativa General Electoral para las elecciones al Parlamento de Cataluña, obligan a que para ser candidato en alguna de las circunscripciones de Cata luña se tenga que estar censado o bien tener la residencia en alguno de los municipios de Cataluña, por lo que su candidatura debió haber sido considerada válida.</w:t>
      </w:r>
    </w:p>
    <w:p w:rsidR="00FE0907" w:rsidRDefault="00FE0907" w:rsidP="00FE0907">
      <w:pPr>
        <w:pStyle w:val="TextoNormal"/>
      </w:pPr>
    </w:p>
    <w:p w:rsidR="00FE0907" w:rsidRDefault="00FE0907" w:rsidP="00FE0907">
      <w:pPr>
        <w:pStyle w:val="TextoNormal"/>
      </w:pPr>
      <w:r w:rsidRPr="00FE0907">
        <w:rPr>
          <w:rStyle w:val="NumeroAFNegritaCaracter"/>
        </w:rPr>
        <w:t>4</w:t>
      </w:r>
      <w:r>
        <w:t>. Mediante diligencia de ordenación de 21 de febrero de 1992 se acordó formar los correspondientes autos con la demanda de amparo, dar vista de la demanda al Ministerio Fiscal para que en el plazo de un día pueda presentar alegaciones y recabar de la Sala de lo Contencioso-Administrativo del Tribunal Superior de Justicia de Cataluña certificación o copia adecuada de las actuaciones. Asimismo se otorga al recurrente un plazo de un día para comparecer dotado de Abogado y Procurador. Por nueva providencia de ordenación de 22 de febrero de 1992 se interesan los emplazamientos procedentes.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Ministerio Fiscal, en escrito presentado el 22 de febrero de 1992, pone de manifiesto, en primer lugar, el incumplimiento del art. 49.1 de la LOTC al no reunir el escrito presentado los requisitos del art. 81.1 de la Ley reguladora. Señala, para el caso de que se subsanaran los defectos formales, que la demanda carece ostensiblemente de contenido constitucional. Se trata de unas elecciones autonómicas catalanas en la que sólo votan los que tienen la condición política de catalanes, de manera que, aunque no consta en la Ley Electoral catalana un precepto explícito, es evidente que sólo podrán ser candidatos quienes gocen de sufragio activo, criterio que no es en modo alguno contrario a los arts. 14 y 23.2 C.E. como ya ha declarado este Tribunal en las SSTC 60/1987 y 107/1990. Concluye afirmando que la sinrazón del recurso es tan manifiesta que el asunto se debe archivar por providencia, a tenor de lo previsto en el art. 50.1 c) de la LOTC. </w:t>
      </w:r>
    </w:p>
    <w:p w:rsidR="00FE0907" w:rsidRDefault="00FE0907" w:rsidP="00FE0907">
      <w:pPr>
        <w:pStyle w:val="TextoNormal"/>
      </w:pPr>
      <w:r>
        <w:t>5. Mediante escrito presentado en el Juzgado de Guardia de Madrid, el 22 de febrero de 1992, el partido recurrente acreditó comparecer bajo la dirección del Letrado don Manuel Valero Yañez, e indicó la designación de doña Isabel Torres como Procuradora para que le representase ante este Tribunal, aunque sin acreditar la existencia de poder.</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t>Único El presente recurso de amparo electoral se plantea por el Partido "Els Verds - Unió Verda (Alternativa Ecologista de Catalunya)" al no haber sido proclamada su candidatura, para las elecciones autonómicas, en la circunscripción de Lleida, debido a</w:t>
      </w:r>
    </w:p>
    <w:p w:rsidR="00FE0907" w:rsidRDefault="00FE0907" w:rsidP="00FE0907">
      <w:pPr>
        <w:pStyle w:val="TextoNormal"/>
      </w:pPr>
      <w:r>
        <w:t>no ostentar algunos de los candidatos incluidos en su lista la condición política de catalanes, consistente, según el art. 6.1 del Estatuto de Autonomía, en la vecindad administrativa en cualquiera de los municipios de Cata- luña.</w:t>
      </w:r>
    </w:p>
    <w:p w:rsidR="00FE0907" w:rsidRDefault="00FE0907" w:rsidP="00FE0907">
      <w:pPr>
        <w:pStyle w:val="TextoNormal"/>
      </w:pPr>
      <w:r>
        <w:t>La cuestión de fondo presente en el recurso ha sido ya resuelta por las SSTC 60/1987 y 107/1990.  A tenor de ellas hay que concluir que no existe vulneración alguna ni del art. 14 ni del 23.2 de la C.E. en el hecho de que en unas determinadas elecciones de ámbito territorial restringido a determinada Comunidad Autónoma, sólo tengan derecho de sufragio activo y pasivo los residentes en ella.</w:t>
      </w:r>
    </w:p>
    <w:p w:rsidR="00FE0907" w:rsidRDefault="00FE0907" w:rsidP="00FE0907">
      <w:pPr>
        <w:pStyle w:val="TextoNormal"/>
      </w:pPr>
      <w:r>
        <w:t>Hay sin embargo una diferencia en el presente recurso en relación a los resueltos en las Sentencias citadas.  Al contrario de lo que ocurre en la Ley Electoral extremeña (art.  4 Ley 2/1987) y andaluza (arts. 2.1 y 4.1 Ley 1/1986) la Ley Electoral catalana no contiene, en su artículo único, una expresa declaración de que para ser candidato en alguna de las circunscripciones de Cataluña se tenga que tener la condición política de catalán.</w:t>
      </w:r>
    </w:p>
    <w:p w:rsidR="00FE0907" w:rsidRDefault="00FE0907" w:rsidP="00FE0907">
      <w:pPr>
        <w:pStyle w:val="TextoNormal"/>
      </w:pPr>
      <w:r>
        <w:t>Admitido este hecho, es sin embargo evidente que de la propia Ley se deduce tal necesidad.  Como es sabido la Ley 5/1984, por la que se adopta la normativa General Electoral para las elecciones al Parlamento de Cataluña, es una ley que consiste en una remisión a las disposiciones estatutarias y a la normativa general estatal, "con las modificaciones y adaptaciones derivadas del carácter y ámbito de la consulta electoral".  Es evidente que entre esas "modificaciones y adaptaciones" se encuentra, en primer lugar, la referente al círculo de ciudadanos que gozan del derecho de sufragio activo que, obviamente, serán exclusivamente los inscritos en el censo correspondiente a los municipios de las provincias catalanas.  Admitido, sin ninguna dificultad, que sólo tendrán derecho de sufragio activo en unas elecciones autonómicas catalanas quienes gocen de la condición política de catalanes (art.  6.1 Estatuto de Autonomía), es evidente, en aplicación del art. 6.4 de la L.O.R.E.G., que establece como condición para gozar del derecho de sufragio pasivo el poseer el sufragio activo, que sólo quie- nes puedan votar en las elecciones catalanas pueden ser presentados como candidatos, y, en consecuencia, hay que concluir que no existe vulneración alguna de derechos fundamentales en las resoluciones recurridas.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veinticuatro de febrero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29" w:name="SENTENCIA_1992_26"/>
      <w:r>
        <w:lastRenderedPageBreak/>
        <w:t>SENTENCIA 26/1992, de 5 de marzo de 1992</w:t>
      </w:r>
    </w:p>
    <w:bookmarkEnd w:id="29"/>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66, de 17 de marzo de 1992)</w:t>
      </w:r>
    </w:p>
    <w:p w:rsidR="00FE0907" w:rsidRDefault="00FE0907" w:rsidP="00FE0907">
      <w:pPr>
        <w:pStyle w:val="TtuloBOE"/>
      </w:pPr>
    </w:p>
    <w:p w:rsidR="00FE0907" w:rsidRDefault="00FE0907" w:rsidP="00FE0907">
      <w:pPr>
        <w:pStyle w:val="SntesisDescriptiva"/>
      </w:pPr>
      <w:r>
        <w:t>ECLI:ES:TC:1992:26</w:t>
      </w:r>
    </w:p>
    <w:p w:rsidR="00FE0907" w:rsidRDefault="00FE0907" w:rsidP="00FE0907">
      <w:pPr>
        <w:pStyle w:val="SntesisDescriptiva"/>
      </w:pPr>
    </w:p>
    <w:p w:rsidR="00FE0907" w:rsidRDefault="00FE0907" w:rsidP="00FE0907">
      <w:pPr>
        <w:pStyle w:val="SntesisDescriptiva"/>
      </w:pPr>
      <w:r>
        <w:t>Cuestión de inconstitucionalidad 2.132/1991 2.562/1991 222/1992 (acumuladas). Promovidas por el juzgado de Primera Instancia e Instrucción núm. 22 de Loja (Granada) y Juzgado de Primera Instancia núm. 10 de Sevilla, en relación con el art. 1.435 de la Ley de Enjuiciamiento Civil. Voto particular</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La sustancial coincidencia entre las dudas de constitucionalidad presentadas en este proceso, y las que fueron disipadas por nuestra STC 14/1992, nos lleva a mantener el fallo entonces declarado por sus propios fundamentos, a los que aquí expresamente nos remitimos [F.J. único].</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 Regueral, don Carlos de la Vega Benayas, don Jesús Leguina Villa, don Eugenio Díaz Eimil, don Miguel Rodríguez-Piñero y Bravo-Ferrer,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las cuestiones de inconstitucionalidad acumuladas núms. 2.132/91, 2.562/91 y 222/92, planteadas por el Juzgado de Primera Instancia e Instrucción núm. 2 de Loja (Granada) y por el Juzgado de Primera Instancia núm. 10 de Sevilla, en relación con el artículo 1.435, primera frase del párrafo 4º, de la Ley de Enjuiciamiento Civil, por vulneración de los arts. 14, 24 y 51.1 de la Constitución. Han intervenido en el proceso el Fiscal General del Estado y el Abogado del Estado. Ha sido Ponente el Magistrado don Miguel Rodríguez-Piñero y Bravo-Ferrer,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registrada con el núm. 2.132/91 ha sido promovida por el Juzgado de Primera Instancia e Instrucción núm. 2 de Loja (Granada), mediante Auto de 25 septiem</w:t>
      </w:r>
      <w:r>
        <w:lastRenderedPageBreak/>
        <w:t xml:space="preserve">bre 1991 (a. 22-91), por vulneración de los arts. 14 y 24.1 C.E.Juzgado entiende que el artículo 1.435 L.E.C. permite, sin previo control de los organismos jurisdiccionales, la creación por las sociedades de crédito de títulos ejecutivos frente a terceros, lo cual conculca la Constitución, máxime cuando se concede valor inicialmente probatorio a las liquidaciones practicadas unilateralmente, siendo casi norma bancaria redactar los modelos de las pólizas con cláusulas que tienden a la mejor defensa de los intereses de la entidad. </w:t>
      </w:r>
    </w:p>
    <w:p w:rsidR="00FE0907" w:rsidRDefault="00FE0907" w:rsidP="00FE0907">
      <w:pPr>
        <w:pStyle w:val="TextoNormal"/>
      </w:pPr>
      <w:r>
        <w:t xml:space="preserve">El Juzgado conoce de la demanda ejecutiva interpuesta por la Caja Provincial de Ahorros de Granada contra don José Arandas Contreras y otros, en reclamación de 2.938.000 pts., nacidas de un préstamo de dos millones de pesetas otorgado en 1988. El proceso se encuentra en la frase previa a dictar sentencia de remate, previo embargo de los bienes de los deudores. </w:t>
      </w:r>
    </w:p>
    <w:p w:rsidR="00FE0907" w:rsidRDefault="00FE0907" w:rsidP="00FE0907">
      <w:pPr>
        <w:pStyle w:val="TextoNormal"/>
      </w:pPr>
      <w:r>
        <w:t>La cuestión fue admitida a trámite por providencia de 11 noviembre 1991. Sobre ella presentaron sus alegaciones el Fiscal General del Estado y el Abogado del Estado, reiterando y ampliando las vertidas con anterioridad sobre el mismo precepto de la Ley, solicitando que se declare la constitucionalidad del mismo, así como la acumulación con los asuntos pendientes.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cuestión núm. 2.562/91 ha sido planteada por el Juzgado de Primera Instancia núm. 10 de Sevilla, mediante Auto de 25 noviembre 1991 (a. 1138-91-2), por vulneración de los arts. 14, 24 y 51.1 C.E. Su contenido es idéntico al de los Autos que plantearon las cuestiones núms. 1.320/91, 1.519/91, 1.532/91, 1.623/91, y 1.901/91, acumuladas a la núm. 1.219/88, que fué resuelta por STC 14/1992). </w:t>
      </w:r>
    </w:p>
    <w:p w:rsidR="00FE0907" w:rsidRDefault="00FE0907" w:rsidP="00FE0907">
      <w:pPr>
        <w:pStyle w:val="TextoNormal"/>
      </w:pPr>
      <w:r>
        <w:t xml:space="preserve">El Juzgado conoce, en fase de admisión, de la demanda ejecutiva interpuesta por el Banco Español de Crédito contra don Antonio Rodríguez Ojeda y otros, en reclamación de 1.217.000 pts. en virtud de un crédito personal de un millón de pesetas otorgado en 1991. </w:t>
      </w:r>
    </w:p>
    <w:p w:rsidR="00FE0907" w:rsidRDefault="00FE0907" w:rsidP="00FE0907">
      <w:pPr>
        <w:pStyle w:val="TextoNormal"/>
      </w:pPr>
      <w:r>
        <w:t>La cuestión fue admitida a trámite por providencia de 13 enero 1992. Sobre ella presentaron sus alegaciones el Fiscal General del Estado y el Abogado del Estado, reiterando y ampliando las vertidas con anterioridad sobre el mismo precepto de la Ley, solicitando que se declare la constitucionalidad del mismo, así como la acumulación con los asuntos pendientes.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cuestión núm. 222/92 ha sido planteada por el Juzgado de Primera Instancia núm. 10 de Sevilla, mediante Auto de 20 enero 1992 (a. 901-91-1), por vulneración de los arts. 14, 24 y 51.1 C.E. Su contenido es idéntico al que promueve la cuestión 2.562/91. </w:t>
      </w:r>
    </w:p>
    <w:p w:rsidR="00FE0907" w:rsidRDefault="00FE0907" w:rsidP="00FE0907">
      <w:pPr>
        <w:pStyle w:val="TextoNormal"/>
      </w:pPr>
      <w:r>
        <w:t xml:space="preserve">El Juzgado conoce, en fase de admisión, de la demanda ejecutiva interpuesta por el Banco Comercial Transatlántico contra don Miguel Angel Nuñez Gómez y otra, en reclamación de 274.801 pts. a raíz de un crédito en cuenta corriente de 500.000 pts. otorgado en 1989. </w:t>
      </w:r>
    </w:p>
    <w:p w:rsidR="00FE0907" w:rsidRDefault="00FE0907" w:rsidP="00FE0907">
      <w:pPr>
        <w:pStyle w:val="TextoNormal"/>
      </w:pPr>
      <w:r>
        <w:t xml:space="preserve">La cuestión fue admitida a trámite por providencia de 10 febrero 1992. El Fiscal General del Estado presentó escrito, registrado el 19 febrero 1992, informando a favor de decretar el archivo de este asunto a la vista de la STC 14/1992) por tener el mismo objeto que las ya resueltas y decididas en ella. No obstante, de entenderse que ha de continuar el procedimiento, estimaba que procedería acordar la acumulación a las cuestiones seguidas con los núms. 2.132 y 2.562/91, remitiéndose a las alegaciones formuladas con anterioridad sobre el mismo precepto legal. </w:t>
      </w:r>
    </w:p>
    <w:p w:rsidR="00FE0907" w:rsidRDefault="00FE0907" w:rsidP="00FE0907">
      <w:pPr>
        <w:pStyle w:val="TextoNormal"/>
      </w:pPr>
      <w:r>
        <w:t xml:space="preserve">El Abogado del Estado formuló alegaciones en nombre del Gobierno, registradas el 24 febrero 1992, solicitando Sentencia desestimatoria de la cuestión, por entender plenamente aplicable la doctrina establecida en la STC 14/1992, pues el Juez a quo no invoca ninguna </w:t>
      </w:r>
      <w:r>
        <w:lastRenderedPageBreak/>
        <w:t>fundamentación diferente a la contenida en los Autos de planteamiento de las resueltas entonces. Por otrosí suplica la acumulación con las cuestiones que quedan pendientes sobre el mismo objeto.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Auto de 3 marzo 1992 el Pleno acordó acumular las presentes cuestiones, en virtud del art. 83 LOTC. </w:t>
      </w:r>
    </w:p>
    <w:p w:rsidR="00FE0907" w:rsidRDefault="00FE0907" w:rsidP="00FE0907">
      <w:pPr>
        <w:pStyle w:val="TextoNormal"/>
      </w:pPr>
      <w:r>
        <w:t>Por providencia de la misma fecha se acordó fijar para la deliberación y votación de la presente Sentencia el siguiente día 5 de marzo.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t>Unico.  Las cuestiones de inconstitucionalidad sometidas en este proceso al conocimiento de este Tribunal han sido resueltas por la Sentencia 14/1992, dictada el pasado día 10 de febrero, que falló que no dio lugar a declarar la inconstitucionalidad de la primera frase del párrafo cuarto del artículo 1435 de la Ley de Enjuiciamiento Civil en la redacción de la Ley 34/1984, de 6 agosto.  En efecto, las dudas que alientan los Juzgados promoventes sobre la constitucionalidad de dicho precepto no son distintas a las enjuiciadas en aquella Sentencia. Es más, algunas cuestiones han sido planteadas por el mismo órgano judicial, el Juzgado núm. 10 de Sevilla, y en idénticos términos, que varias de las que fueron sentenciadas en el anterior proceso, sólo que con anterioridad a que le fuera comunicada nuestra STC 14/1992, en el modo y con los efectos que establece el art.  38.3 LOTC. Esta sustancial coincidencia entre las dudas de constitucionalidad presentadas en este proceso, y las que fueron disipadas por nuestra Sentencia 14/1992, de 10 de febrero de 1992 (BOE de 3 de marzo), nos lleva a mantener el fallo entonces declarado por sus propios fundamentos, a los que aquí expresamente nos remitimos.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No ha lugar a declarar la inconstitucionalidad de la primera frase del párrafo cuarto del art. 1435 de la Ley de Enjuiciamiento Civil, en la redacción de la Ley 34/1984, de 6 agosto.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cinco de marzo de mil novecientos noventa y dos.</w:t>
      </w:r>
    </w:p>
    <w:p w:rsidR="00FE0907" w:rsidRDefault="00FE0907" w:rsidP="00FE0907">
      <w:pPr>
        <w:pStyle w:val="ParrafoNormal"/>
      </w:pPr>
    </w:p>
    <w:p w:rsidR="00FE0907" w:rsidRDefault="00FE0907" w:rsidP="00FE0907">
      <w:pPr>
        <w:pStyle w:val="TextoNormalNegritaCentrado"/>
        <w:keepNext/>
      </w:pPr>
      <w:r>
        <w:lastRenderedPageBreak/>
        <w:t>Voto particular discrepante que formula el Magistrado don Carlos de la Vega Benayas respecto de la sentencia dictada en las cuestiones de inconstitucionalidad acumuladas núms.  2.132/91, 2.562/91 y 222/92.</w:t>
      </w:r>
    </w:p>
    <w:p w:rsidR="00FE0907" w:rsidRDefault="00FE0907" w:rsidP="00FE0907">
      <w:pPr>
        <w:pStyle w:val="TextoNormalNegritaCentrado"/>
        <w:keepNext/>
      </w:pPr>
    </w:p>
    <w:p w:rsidR="00FE0907" w:rsidRDefault="00FE0907" w:rsidP="00FE0907">
      <w:pPr>
        <w:pStyle w:val="TextoNormal"/>
      </w:pPr>
      <w:r>
        <w:t>Dado que la precedente Sentencia se remite a la anterior del Pleno 14/1992, de 10 de Febrero, respecto de la cual mostré mi discrepancia en voto particular, no hago ahora más que remitirme también a dicho voto, manteniendo mi disconformidad.</w:t>
      </w:r>
    </w:p>
    <w:p w:rsidR="00FE0907" w:rsidRDefault="00FE0907" w:rsidP="00FE0907">
      <w:pPr>
        <w:pStyle w:val="TextoNormal"/>
      </w:pPr>
      <w:r>
        <w:t>Madrid, a cinco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0" w:name="SENTENCIA_1992_27"/>
      <w:r>
        <w:lastRenderedPageBreak/>
        <w:t>SENTENCIA 27/1992, de 9 de marzo de 1992</w:t>
      </w:r>
    </w:p>
    <w:bookmarkEnd w:id="30"/>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ECLI:ES:TC:1992:27</w:t>
      </w:r>
    </w:p>
    <w:p w:rsidR="00FE0907" w:rsidRDefault="00FE0907" w:rsidP="00FE0907">
      <w:pPr>
        <w:pStyle w:val="SntesisDescriptiva"/>
      </w:pPr>
    </w:p>
    <w:p w:rsidR="00FE0907" w:rsidRDefault="00FE0907" w:rsidP="00FE0907">
      <w:pPr>
        <w:pStyle w:val="SntesisDescriptiva"/>
      </w:pPr>
      <w:r>
        <w:t>Recurso de amparo 901/1989. Contra Sentencia del Juzgado de Instrucción de Navalmoral de la Mata, confirmatoria de la dictada por el Juzgado de Distrito de Jarandilla de la Vera (Cáceres), al desestimar recurso de apelación intentado contra ésta última, dictada enjuicio de faltas sobre lesiones y daños derivados de accidente de circulación.</w:t>
      </w:r>
    </w:p>
    <w:p w:rsidR="00FE0907" w:rsidRDefault="00FE0907" w:rsidP="00FE0907">
      <w:pPr>
        <w:pStyle w:val="SntesisDescriptiva"/>
      </w:pPr>
    </w:p>
    <w:p w:rsidR="00FE0907" w:rsidRDefault="00FE0907" w:rsidP="00FE0907">
      <w:pPr>
        <w:pStyle w:val="SntesisAnaltica"/>
      </w:pPr>
      <w:r>
        <w:t>Vulneración del derecho a la tutela judicial efectiva: falta de motivación de la resolución judicial impugnada</w:t>
      </w:r>
    </w:p>
    <w:p w:rsidR="00FE0907" w:rsidRDefault="00FE0907" w:rsidP="00FE0907">
      <w:pPr>
        <w:pStyle w:val="SntesisAnaltica"/>
      </w:pPr>
    </w:p>
    <w:p w:rsidR="00FE0907" w:rsidRDefault="00FE0907" w:rsidP="00FE0907">
      <w:pPr>
        <w:pStyle w:val="Extracto"/>
      </w:pPr>
      <w:r>
        <w:t>1.</w:t>
      </w:r>
      <w:r>
        <w:tab/>
        <w:t>El cauce que arbitran los arts. 363 de la L.E.C. y 267 de la Ley Orgánica del Poder Judicial es una vía excepcional (STC 119/1988) cuyo carácter de recurso es dudoso, pues se prevé sólo para posibilitar que los órganos judiciales aclaren algún concepto, suplan alguna omisión o corrijan algún error material, pero no para que alteren la fundamentación y el fallo de sus resoluciones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901/89, interpuesto por la COMISION LIQUIDADORA DE ENTIDADES ASEGURADORAS, representada por la Procuradora doña María Teresa de las Alas Pumariño bajo la dirección del Letrado don Edmundo Angulo Rodríguez, contra las Sentencias del Juzgado de Distrito de Jarandilla de la Vera (Cáceres) de 26 de abril de 1988 y del Juzgado de Instrucción de Navalmoral de la Mata de 1 de diciembre de 1988. Han sido partes el Ministerio Fiscal, don Jesús Díaz Hornero y doña Isabel Torollo Jiménez, representados por el Procurador don José Luis Rodríguez Peraita bajo la dirección del Letrado don Juan Pablo Asensio Domenech, y la entidad aseguradora MAPFRE, representada por el Procurador don Argimiro Vázquez Guillén. Ha sido Ponente el Magistrado don José Gabaldón López,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presentado el 16 de mayo de 1989, la Procuradora doña María Teresa de las Alas Pumariño, obrando en nombre y representación de la COMISION LIQUIDADORA DE ENTIDADES ASEGURADORAS (en adelante, C.L.E.A.), interpuso recurso de amparo contra la Sentencia dictada el 1 de diciembre de 1988 por el Juzgado de Instrucción de Navalmoral de la Mata, confirmatoria, en el rollo de apelación núm. 66/88, de la dictada el 26 de abril de 1988 por el Juzgado de Distrito de Jarandilla de la Vera en el juicio de faltas núm. 185/86.</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trae causa de los siguientes hechos: </w:t>
      </w:r>
    </w:p>
    <w:p w:rsidR="00FE0907" w:rsidRDefault="00FE0907" w:rsidP="00FE0907">
      <w:pPr>
        <w:pStyle w:val="TextoNormal"/>
      </w:pPr>
      <w:r>
        <w:t xml:space="preserve">a) En autos de juicio verbal de faltas sobre lesiones y daños derivados de accidente de circulación, el Juzgado de Distrito referido, por Sentencia de la indicada fecha, condenó al inculpado don Julián Rodríguez García, como autor responsable de una falta de imprudencia simple con resultado de lesiones, a la pena de multa de 3.000 pesetas, con arresto sustitutorio de dos días en caso de impago, reprensión privada, privación por un mes del permiso de conducir y costas del juicio, debiendo indemnizar a don Jesús Díaz Hornero en 750.000 pesetas por los daños ocasionados a su vehículo, en 30.000 pesetas por sus lesiones y período de asistencia e impedimento y en 10.000 pesetas por las lesiones sufridas por sus hijos; a doña Isabel Torollo Jiménez en cuatro millones de pesetas por las lesiones padecidas, período de asistencia e impedimento y secuelas y en 247.000 pesetas por gastos médicos de óptica y de asistencia personal y familiar durante la etapa de curación; y a la Dirección del Hospital de la S.S. de Navalmoral de la Mata en 113.809 pesetas por gastos de curación de los lesionados. De estas indemnizaciones habría de responder, en primer lugar el Consorcio de Compensación de Seguros, y en su defecto la C.L.E.A., dentro de los límites y condiciones del seguro obligatorio y, en su caso, del voluntario concertado por el inculpado con la Compañía de Seguros "MEDIODIA". </w:t>
      </w:r>
    </w:p>
    <w:p w:rsidR="00FE0907" w:rsidRDefault="00FE0907" w:rsidP="00FE0907">
      <w:pPr>
        <w:pStyle w:val="TextoNormal"/>
      </w:pPr>
      <w:r>
        <w:t>b) Contra la anterior Sentencia formularon recurso de apelación el Abogado del Estado, la representación de la C.L.E.A. y el inculpado. El Juzgado de Instrucción, mediante Sentencia de 1 de diciembre de 1988, desestimó, según reza la parte dispositiva de dicha Sentencia, "el recurso de apelación interpuesto por don Julián Rodríguez García", confirmando la resolución impugnada, confirmación que procede -se limita a decir la Sentencia- "por ajustarse a la realidad del relato fáctico que en la misma se contiene y ser conforme a derecho los fundamentos jurídicos de la misma".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actora, en su escrito de demanda, aduce los siguientes motivos de amparo: </w:t>
      </w:r>
    </w:p>
    <w:p w:rsidR="00FE0907" w:rsidRDefault="00FE0907" w:rsidP="00FE0907">
      <w:pPr>
        <w:pStyle w:val="TextoNormal"/>
      </w:pPr>
      <w:r>
        <w:t xml:space="preserve">a) La no convocatoria de la C.L.E.A. al juicio verbal de faltas entraña la lesión de su derecho fundamental a la defensa reconocido en el art. 24.1 C.E. El juicio se dirigió contra la Compañía de Seguros "MEDIODIA", siendo dicha entidad -con personalidad jurídica propia y subsistente no obstante hallarse en curso su liquidación- la que en concepto de tercero civil responsable es convocada al juicio, que se celebró con su inasistencia. La citación a esta Compañía no puede conceptuarse ni equipararse a la debida citación de la C.L.E.A. Demostración de que también para el Juzgado resultaba clara la distinción entre una y otra persona jurídica es la notificación a la C.L.E.A. de la Sentencia condenatoria. </w:t>
      </w:r>
    </w:p>
    <w:p w:rsidR="00FE0907" w:rsidRDefault="00FE0907" w:rsidP="00FE0907">
      <w:pPr>
        <w:pStyle w:val="TextoNormal"/>
      </w:pPr>
      <w:r>
        <w:t xml:space="preserve">b) La no resolución del recurso de apelación supone la violación del derecho fundamental a la tutela judicial efectiva. Como resulta del texto, la Sentencia del Juzgado de Instrucción resuelve exclusivamente la apelación promovida por el inculpado, pero no la </w:t>
      </w:r>
      <w:r>
        <w:lastRenderedPageBreak/>
        <w:t xml:space="preserve">que, en tiempo y forma, había sido interpuesta por la C.L.E.A. y sostenida por su representación en la vista del recurso. </w:t>
      </w:r>
    </w:p>
    <w:p w:rsidR="00FE0907" w:rsidRDefault="00FE0907" w:rsidP="00FE0907">
      <w:pPr>
        <w:pStyle w:val="TextoNormal"/>
      </w:pPr>
      <w:r>
        <w:t xml:space="preserve">De otra parte, la misma vulneración se produce por el hecho de que la Sentencia del Juzgado de Distrito no contiene fundamentación alguna para explicar que la responsabilidad civil subsidiaria de la aseguradora (en proceso de liquidación, pero todavía no liquidada y, por tanto, con plena imputabilidad de derechos y obligaciones) resulte trasladada a un organismo jurídico-público con funciones precisamente definidas en los procedimientos de liquidación administrativa de entidades aseguradoras y sin que tales funciones puedan dar pie a la sustitución o traslado de responsabilidad. En la segunda instancia, y a pesar de que la apelación había hecho todavía más patente la necesidad de ofrecer justificación explícita acerca de la condena de la C.L.E.A., el Juzgado de Instrucción resuelve mediante un texto impreso del que, parafraseando la doctrina de la STC 116/1986, de ningún modo puede inferirse cuáles sean las razones próximas o remotas que justifican la decisión adoptada. </w:t>
      </w:r>
    </w:p>
    <w:p w:rsidR="00FE0907" w:rsidRDefault="00FE0907" w:rsidP="00FE0907">
      <w:pPr>
        <w:pStyle w:val="TextoNormal"/>
      </w:pPr>
      <w:r>
        <w:t xml:space="preserve">Lo que se denuncia -prosigue diciendo la actora- no es la falta de concreta respuesta a todas las alegaciones efectuadas por la C.L.E.A., ni tampoco el que la motivación sea escueta o concisa. Como en el supuesto contemplado en la STC 211/1988, las Sentencias aquí impugnadas omiten todo razonamiento respecto a una pretensión esencial, como es la aplicabilidad a la C.L.E.A. del art. 4.3 del Real Decreto-ley 10/1984 y preceptos concordantes, bloque normativo cuya constitucionalidad, a mayor abundamiento, había resultado corroborada por el Tribunal Constitucional con anterioridad a las resoluciones de los Juzgados de Jarandilla y Navalmoral. De conformidad con la STC 196/1988, lo que se echa en falta es una motivación bastante para poner de manifiesto que la decisión judicial adoptada responde a una concreta interpretación y aplicación del Derecho ajena a toda arbitrariedad. Tampoco se hace consistir la falta de motivación en la circunstancia de que los razonamientos aparezcan expuestos de forma impresa o por referencia a los que ya constan en el proceso (STC 184/1988). En el caso presente, ni aparecen explicitados en ninguna parte de los autos ni tampoco en las Sentencias -ni directamente ni por remisión- razonamientos que guarden relación y sean proporcionados y congruentes con el problema resuelto: la aplicación, negada por las Sentencias, del art. 4.3 del Real Decreto-ley 10/1984. </w:t>
      </w:r>
    </w:p>
    <w:p w:rsidR="00FE0907" w:rsidRDefault="00FE0907" w:rsidP="00FE0907">
      <w:pPr>
        <w:pStyle w:val="TextoNormal"/>
      </w:pPr>
      <w:r>
        <w:t xml:space="preserve">En resumen, la condena de la C.L.E.A. como responsable civil subsidiario, "sustituyéndola" en el lugar de la aseguradora no obstante el expreso tenor del precepto legal citado, puede deberse bien a un error, bien a una decisión judicial, pero en el último caso, al omitirse la fundamentación jurídica que pudiera servir de base a tal decisión, resulta vulnerado el derecho a la tutela judicial efectiva. </w:t>
      </w:r>
    </w:p>
    <w:p w:rsidR="00FE0907" w:rsidRDefault="00FE0907" w:rsidP="00FE0907">
      <w:pPr>
        <w:pStyle w:val="TextoNormal"/>
      </w:pPr>
      <w:r>
        <w:t>c) Como motivo de amparo subsidiario, se aduce la lesión del derecho fundamental a la igualdad en la aplicación judicial de la Ley, debida al apartamiento sin motivación de la jurisprudencia conforme a la cual la circunstancia de encontrarse una aseguradora en liquidación e intervenida por la C.L.E.A. de ningún modo permite sustituir a dicho organismo jurídico-público en las responsabilidades de aquélla. La imposibilidad de aportar otras resoluciones judiciales de los Juzgados de Jarandilla y Navalmoral relativas a aseguradoras en liquidación forzosa intervenidas por la C.L.E.A., a pesar de la doctrina que circunscribe el ámbito de comparación de resoluciones a las procedentes de un mismo órgano judicial, no priva de viabilidad a esta pretensión. También existe, en efecto, trato discriminatorio cuando la divergencia interpretativa responde a falta de atención a circunstancias cuyas consecuencias diferenciadoras aparecen directa y claramente señaladas en la norma a aplicar. No sólo el art. 24.1 C.E., sino también el art. 14 veda la aplicación arbi</w:t>
      </w:r>
      <w:r>
        <w:lastRenderedPageBreak/>
        <w:t xml:space="preserve">traria del Derecho. De ahí que la noción de arbitrariedad o la apreciación de la discriminación puede llegar a resultar bien de la claridad de la norma inaplicada, bien del contraste con la incontrovertida aplicación de aquella norma por la universalidad de los órganos judiciales. </w:t>
      </w:r>
    </w:p>
    <w:p w:rsidR="00FE0907" w:rsidRDefault="00FE0907" w:rsidP="00FE0907">
      <w:pPr>
        <w:pStyle w:val="TextoNormal"/>
      </w:pPr>
      <w:r>
        <w:t>La demanda concluye con la súplica de que se dicte Sentencia que otorgue el amparo impetrado, reconozca el derecho de la entidad actora a la tutela judicial efectiva y a la igualdad en la aplicación judicial de la ley y anule la Sentencia del Juzgado de Instrucción, reponiendo el proceso: a) al momento en que por el Juzgado de Distrito debió convocarse a la C.L.E.A. a la vista del juicio de faltas; b) subsidiariamente, al instante en que por el Juzgado de Instrucción debió resolverse, mediante Sentencia suficientemente motivada y no discriminatoria por arbitraria, el recurso de apelación interpuesto por la C.L.E.A.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18 de septiembre de 1989, la Sección Cuarta de este Tribunal acordó la admisión a trámite del presente recurso, así como interesar del Juzgado de Distrito de Jarandilla de la Vera y del Juzgado de Instrucción de Navalmoral de la Mata la remisión de las correspondientes actuaciones y, por el primero, el emplazamiento de quienes hubiesen sido parte en la vía judicial, excepto la demandante de amparo.</w:t>
      </w:r>
    </w:p>
    <w:p w:rsidR="00FE0907" w:rsidRDefault="00FE0907" w:rsidP="00FE0907">
      <w:pPr>
        <w:pStyle w:val="TextoNormal"/>
      </w:pPr>
    </w:p>
    <w:p w:rsidR="00FE0907" w:rsidRDefault="00FE0907" w:rsidP="00FE0907">
      <w:pPr>
        <w:pStyle w:val="TextoNormal"/>
      </w:pPr>
      <w:r w:rsidRPr="00FE0907">
        <w:rPr>
          <w:rStyle w:val="NumeroAFNegritaCaracter"/>
        </w:rPr>
        <w:t>5</w:t>
      </w:r>
      <w:r>
        <w:t>. La Sección, mediante providencia de 22 de octubre de 1990, acordó: 1º) acusar recibo a los Juzgados meritados de las actuaciones remitidas; 2º) tener por comparecidos en el proceso constitucional a don Jesús Díaz Hornero y doña Isabel Torollo Jiménez, representados por el Procurador don José Luis Rodríguez Peraita, así como a la entidad aseguradora MAPFRE, representada por el Procurador don Argimiro Vázquez Guillén; 3º) y, de conformidad con lo dispuesto en el art. 52.1 de la Ley Orgánica de este Tribunal (LOTC), dar vista de las actuaciones recibidas, por plazo común de veinte días, a los Procuradores doña Teresa de las Alas Pumariño, en nombre de la demandante de amparo, y don José Luis Rodríguez Peraita y don Argimiro Vázquez Guillén, en representación de los demandados, así como al Ministerio Fiscal, para que pudieran presentar las alegaciones que estimasen pertinentes.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Con fecha del 22 de noviembre siguiente, evacuó el trámite conferido el Procurador Sr. Rodríguez Peraita, quien adujo los argumentos de oposición que a continuación se sintetizan: </w:t>
      </w:r>
    </w:p>
    <w:p w:rsidR="00FE0907" w:rsidRDefault="00FE0907" w:rsidP="00FE0907">
      <w:pPr>
        <w:pStyle w:val="TextoNormal"/>
      </w:pPr>
      <w:r>
        <w:t xml:space="preserve">a) Con carácter previo, se ha de señalar la presentación de la demanda fuera del plazo establecido en el art. 44.2 de la LOTC, ya que, notificada la Sentencia de apelación, según la actora, el 19 de abril de 1989 y registrado el escrito de demanda el 16 de mayo, hay un exceso de dos días respecto de los veinte legalmente concedidos. </w:t>
      </w:r>
    </w:p>
    <w:p w:rsidR="00FE0907" w:rsidRDefault="00FE0907" w:rsidP="00FE0907">
      <w:pPr>
        <w:pStyle w:val="TextoNormal"/>
      </w:pPr>
      <w:r>
        <w:t xml:space="preserve">De otro lado, la actora no ha cumplido el requisito exigido en el art. 44.1 a) de la LOTC, pues no utilizó el art. 363 de la Ley de Enjuiciamiento Civil para solicitar del Juzgado de Instrucción "la inclusión por omisión de su presencia como apelante". Esto es, la C.L.E.A. debió solicitar "la pertinente aclaración y en su caso haber suplido la omisión que ahora pretende esgrimir". </w:t>
      </w:r>
    </w:p>
    <w:p w:rsidR="00FE0907" w:rsidRDefault="00FE0907" w:rsidP="00FE0907">
      <w:pPr>
        <w:pStyle w:val="TextoNormal"/>
      </w:pPr>
      <w:r>
        <w:t xml:space="preserve">b) No es cierto que la C.L.E.A. no fuera citada al juicio de faltas, toda vez que, al serlo la Compañía de Seguros "MEDIODIA", cuya representación asumía en aquel momento la C.L.E.A., debió personarse, lo que no hizo, decayendo su actual pretensión de haber sido condenada sin ser convocada. Ha de tenerse presente que el art. 27, párrafo tercero, del Real Decreto 2.020/1986 faculta a la Comisión para, actuando por cuenta y en nombre de </w:t>
      </w:r>
      <w:r>
        <w:lastRenderedPageBreak/>
        <w:t xml:space="preserve">la entidad en liquidación, transigir en juicio o fuera de él sobre los derechos y obligaciones que a la misma corresponden. En el recurso de apelación, la C.L.E.A., olvidando el referido precepto, intervino en su propio nombre, cuando la realidad es que lo debió hacer en el de quien representaba, cosa sobrentendida por el Juez de Instrucción y que dio origen a la omisión en que pretende apoyarse la demandante. </w:t>
      </w:r>
    </w:p>
    <w:p w:rsidR="00FE0907" w:rsidRDefault="00FE0907" w:rsidP="00FE0907">
      <w:pPr>
        <w:pStyle w:val="TextoNormal"/>
      </w:pPr>
      <w:r>
        <w:t>Resulta inadmisible el calificativo de arbitrariedad respecto a la pretendida inexistencia en la Sentencia de fundamentación alguna, siendo así que la misma constituye una extensa resolución. Por todo ello, la representación citada concluye su alegato con la súplica de que se dicte Sentencia desestimatoria, bien por apreciar la concurrencia del incumplimiento de los requisitos establecidos en los arts. 44.1 y 44.2 de la LOTC, bien, subsidiariamente, por las demás razones expuestas.</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Mediante escrito igualmente presentado el 22 de noviembre, formuló sus alegaciones el Procurador don Argimiro Vázquez Guillén, en nombre de la entidad aseguradora MAPFRE, quien suplica la denegación del amparo solicitado o, de concederse el mismo, que se retrotraiga el procedimiento al momento inmediatamente anterior al de dictarse Sentencia de apelación para una motivación expresa de la misma respecto a la decisión adoptada, en relación con la misma. </w:t>
      </w:r>
    </w:p>
    <w:p w:rsidR="00FE0907" w:rsidRDefault="00FE0907" w:rsidP="00FE0907">
      <w:pPr>
        <w:pStyle w:val="TextoNormal"/>
      </w:pPr>
      <w:r>
        <w:t xml:space="preserve">a) En efecto, la incorporación directa de la C.L.E.A. al procedimiento judicial se efectúa en su condición de administradora de la entidad de Seguros "MEDIODIA", en situación de liquidación, circunstancia totalmente ajena a los hechos determinantes del procedimiento; y ello con el carácter de tal, es decir, como Comisión liquidadora del patrimonio de la entidad referida, dentro de los límites y condiciones que los seguros concertados por la misma tuvieran. El significado y carácter que dicha representación, legalmente establecida, implica es un asunto perfectamente determinable en ejecución de Sentencia, con las garantías procesales que ello entraña para el mantenimiento de los derechos y recursos que procedan, independientemente del de apelación por el que optó la actora. </w:t>
      </w:r>
    </w:p>
    <w:p w:rsidR="00FE0907" w:rsidRDefault="00FE0907" w:rsidP="00FE0907">
      <w:pPr>
        <w:pStyle w:val="TextoNormal"/>
      </w:pPr>
      <w:r>
        <w:t xml:space="preserve">b) Tampoco hay lugar para apreciar una desigualdad en la aplicación judicial de la ley, por cuanto, como tiene declarado el Tribunal, aquélla sólo puede invocarse en el caso de que las resoluciones aducidas como término de comparación procedan del mismo órgano judicial, circunstancia aquí no concurrente. </w:t>
      </w:r>
    </w:p>
    <w:p w:rsidR="00FE0907" w:rsidRDefault="00FE0907" w:rsidP="00FE0907">
      <w:pPr>
        <w:pStyle w:val="TextoNormal"/>
      </w:pPr>
      <w:r>
        <w:t>c) Por último no cabe considerar que la Sentencia dictada en apelación no haya resuelto el recurso promovido por la C.L.E.A., sino que sí lo hizo, aunque de forma desestimatoria de sus pretensiones, pues ella fue parte en dicho recurso, exponiendo sus razones, con lo que, al no tenerse en cuenta las mismas en el fallo, se entienden desestimadas. En cualquier caso, la significación del tema hace que el superior criterio del Tribunal determine la incidencia concreta en el caso que nos ocupa.</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Ministerio Fiscal formuló sus alegaciones por escrito asimismo registrado el 22 de noviembre, en el cual expuso, en síntesis, lo siguiente: </w:t>
      </w:r>
    </w:p>
    <w:p w:rsidR="00FE0907" w:rsidRDefault="00FE0907" w:rsidP="00FE0907">
      <w:pPr>
        <w:pStyle w:val="TextoNormal"/>
      </w:pPr>
      <w:r>
        <w:t>a) La denuncia de la violación del art. 24.1 C.E. por la falta de citación, emplazamiento o convocatoria de la recurrente para el juicio a celebrar en el Juzgado de Distrito carece de fundamento constitucional, porque la actora conocía la existencia del proceso, como se acredita por el escrito que remitió al Juzgado el 23 de marzo de 1988 firmado por el liquidador delegado, en el que se explica la normativa vigente y las consecuencias de dicha normativa, en especial la suspensión de la ejecución, en el supuesto de una condena penal con responsabilidad civil para la aseguradora en liquidación. Si no asistió al juicio, fue porque entendió que no era preciso, es decir, por su propia voluntad, no existiendo inde</w:t>
      </w:r>
      <w:r>
        <w:lastRenderedPageBreak/>
        <w:t xml:space="preserve">fensión cuando la produce la actividad u omisión del que la denuncia. La pretensión contenida en aquel escrito no fue objeto de debate en dicho juicio, y por ello no pudo ser tenida en cuenta por el órgano judicial al motivar la Sentencia. </w:t>
      </w:r>
    </w:p>
    <w:p w:rsidR="00FE0907" w:rsidRDefault="00FE0907" w:rsidP="00FE0907">
      <w:pPr>
        <w:pStyle w:val="TextoNormal"/>
      </w:pPr>
      <w:r>
        <w:t xml:space="preserve">b) La Sentencia de apelación asume la de instancia limitándose a reproducir sus argumentos sin añadir ningún razonamiento, lo que, en términos generales, es bastante para satisfacer la obligación de motivar las Sentencias. Sin embargo, en este concreto recurso de apelación comparece como apelante la actora y solicita su absolución como responsable civil subsidiaria, efectuando las alegaciones pertinentes, el objeto de las cuales no había sido resuelto por el Juzgado de Distrito, ni tampoco, por consiguiente, por el de Instrucción, al limitarse éste a reproducir el contenido y fallo de la Sentencia de aquél. </w:t>
      </w:r>
    </w:p>
    <w:p w:rsidR="00FE0907" w:rsidRDefault="00FE0907" w:rsidP="00FE0907">
      <w:pPr>
        <w:pStyle w:val="TextoNormal"/>
      </w:pPr>
      <w:r>
        <w:t xml:space="preserve">Un examen de la resolución judicial de instancia conduce a la conclusión de su falta absoluta de fundamentación, motivación y razonamiento para explicar el proceso lógico seguido por el juez en orden a declarar a la actora responsable civil subsidiaria. Ni en los hechos probados ni en los fundamentos de Derecho se razona la causa legal por la que C.L.E.A. sustituye en tal responsabilidad a la Compañía de Seguros "MEDIODIA". Frente a esto ha de observarse que el Real Decreto-ley de 11 de julio de 1984 crea un órgano específico con personalidad jurídica propia y distinta de las compañías de seguros con la finalidad precisa y clara de liquidar por un procedimiento legal aquellas que se encuentran en situación anómala. No es posible, de acuerdo con esta normativa, la identificación entre la Comisión liquidadora y la aseguradora que se liquida. El Juez de Jarandilla sustituye la empresa aseguradora por la Comisión liquidadora, identificando una y otra en relación con la responsabilidad civil nacida de la infracción penal, lo que contradice el art. 4 del citado Real Decreto-ley, y no razona esta contradicción, limitándose a afirmar que se produce, y en consecuencia transfiere sin motivar la responsabilidad civil subsidiaria de una a otra. </w:t>
      </w:r>
    </w:p>
    <w:p w:rsidR="00FE0907" w:rsidRDefault="00FE0907" w:rsidP="00FE0907">
      <w:pPr>
        <w:pStyle w:val="TextoNormal"/>
      </w:pPr>
      <w:r>
        <w:t xml:space="preserve">Si la Sentencia de instancia carece de razonamiento y fundamentación legal respecto de esta cuestión y no la resuelve ni explícita ni implícitamente, la Sentencia de apelación, al operar por remisión y asumir la de instancia sin añadir consideración alguna, a pesar de ser alegada por la actora, no resuelve tampoco de modo mínimamente razonado esta pretensión, por lo que vulnera el derecho a la tutela judicial efectiva como derecho a obtener una decisión fundada en Derecho. </w:t>
      </w:r>
    </w:p>
    <w:p w:rsidR="00FE0907" w:rsidRDefault="00FE0907" w:rsidP="00FE0907">
      <w:pPr>
        <w:pStyle w:val="TextoNormal"/>
      </w:pPr>
      <w:r>
        <w:t xml:space="preserve">c) La aducida vulneración del art. 14 C.E. carece de fundamento y realidad, porque la actora no aporta con la demanda término de comparación válido que pueda ser confrontado con la resolución impugnada y del que quepa deducir la discriminación que se denuncia. La actora interpreta tal discriminación de forma subjetiva y apartada de la doctrina constitucional, que exige unos requisitos que no concurren para su posible apreciación. </w:t>
      </w:r>
    </w:p>
    <w:p w:rsidR="00FE0907" w:rsidRDefault="00FE0907" w:rsidP="00FE0907">
      <w:pPr>
        <w:pStyle w:val="TextoNormal"/>
      </w:pPr>
      <w:r>
        <w:t>En consecuencia, el Fiscal interesa que se dicte Sentencia estimatoria del recurso de amparo por vulneración del derecho fundamental a la tutela judicial efectiva, como derecho a obtener una decisión fundada en Derecho, consagrado en el art. 24.1 C.E.</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Por escrito presentado el 23 de noviembre de 1990, evacuó la representación de la actora el trámite de alegaciones, argumentando del modo que a continuación se resume: </w:t>
      </w:r>
    </w:p>
    <w:p w:rsidR="00FE0907" w:rsidRDefault="00FE0907" w:rsidP="00FE0907">
      <w:pPr>
        <w:pStyle w:val="TextoNormal"/>
      </w:pPr>
      <w:r>
        <w:t>a) La Sentencia del Juzgado de Distrito, en la que figura condenada la C.L.E.A., se produce sin que la demandante de amparo hubiera sido previamente citada. No tiene tal significación ni puede atribuirse idénticos efectos a la presentación de un escrito del Liquidador Delegado de la aseguradora "MEDIODIA" dando cuenta de la situación en que dicha entidad se encontraba y del régimen legal aplicable a tal supuesto. La personalidad jurídica propia y diferenciada de la C.L.E.A. respecto de las entidades aseguradoras en cuya liquidación interviene determina que la citación de estas últimas no equivalga ni sus</w:t>
      </w:r>
      <w:r>
        <w:lastRenderedPageBreak/>
        <w:t xml:space="preserve">tituya al emplazamiento de la C.L.E.A. cuando, según vino a entender el Juzgado, esta última habría de tener la condición de responsable civil subsidiaria. </w:t>
      </w:r>
    </w:p>
    <w:p w:rsidR="00FE0907" w:rsidRDefault="00FE0907" w:rsidP="00FE0907">
      <w:pPr>
        <w:pStyle w:val="TextoNormal"/>
      </w:pPr>
      <w:r>
        <w:t xml:space="preserve">b) La Sentencia del Juzgado de Instrucción omite cualquier referencia a la apelación interpuesta y sostenida por la C.L.E.A. (aparentemente sólo se resuelve la apelación promovida por el inculpado), e incluso a la asistencia de sus representantes a la vista de la apelación, para confirmar íntegramente la Sentencia apelada con un texto impreso que de ningún modo analiza las alegaciones formuladas por la C.L.E.A. ni motiva la doctrina del Juzgado de Distrito según la cual, en directa contravención del art. 4.3 del Real Decreto-ley 10/1984, la C.L.E.A. queda convertida en responsable de las obligaciones a cargo de las aseguradoras en liquidación forzosa intervenida por el Estado. </w:t>
      </w:r>
    </w:p>
    <w:p w:rsidR="00FE0907" w:rsidRDefault="00FE0907" w:rsidP="00FE0907">
      <w:pPr>
        <w:pStyle w:val="TextoNormal"/>
      </w:pPr>
      <w:r>
        <w:t xml:space="preserve">Ha de añadirse la aplicabilidad al supuesto de autos de la doctrina contenida en la STC 146/1990 que, otorgando el amparo solicitado, declaró la lesión padecida por la C.L.E.A. en su derecho fundamental a la tutela judicial efectiva. No hay en este caso motivación por remisión, sino simplemente desconocimiento absoluto por el juzgador de la apelación interpuesta y sostenida por la C.L.E.A., la cual, condenada sin audiencia en la primera instancia, tampoco en la Sentencia del Juzgado de Instrucción encuentra resolución, ni explícita ni implícita, sobre el fundamento único de su apelación. </w:t>
      </w:r>
    </w:p>
    <w:p w:rsidR="00FE0907" w:rsidRDefault="00FE0907" w:rsidP="00FE0907">
      <w:pPr>
        <w:pStyle w:val="TextoNormal"/>
      </w:pPr>
      <w:r>
        <w:t>A continuación, la actora reitera y amplía su alegato del escrito de demanda sobre la vulneración del derecho a la igualdad en la aplicación judicial de la ley, tras lo cual suplica que se dicte Sentencia que, declarando el derecho de la C.L.E.A. a obtener una decisión fundada en Derecho y en la que se haga aplicación del art. 4.3 y 6 del Real Decreto-ley 10/1984 según el contenido atribuido por la jurisdicción constitucional (STC 4/1988) a dichos preceptos, anule la dictada por el Juzgado de Instrucción, retrotrayendo las actuaciones al momento anterior al de pronunciarse la Sentencia de apelación.</w:t>
      </w:r>
    </w:p>
    <w:p w:rsidR="00FE0907" w:rsidRDefault="00FE0907" w:rsidP="00FE0907">
      <w:pPr>
        <w:pStyle w:val="TextoNormal"/>
      </w:pPr>
    </w:p>
    <w:p w:rsidR="00FE0907" w:rsidRDefault="00FE0907" w:rsidP="00FE0907">
      <w:pPr>
        <w:pStyle w:val="TextoNormal"/>
      </w:pPr>
      <w:r w:rsidRPr="00FE0907">
        <w:rPr>
          <w:rStyle w:val="NumeroAFNegritaCaracter"/>
        </w:rPr>
        <w:t>10</w:t>
      </w:r>
      <w:r>
        <w:t>. Mediante providencia de 13 de enero de 1992, se señaló para la deliberación y votación del presente recurso de amparo el día 10 de febrero del mismo año, quedando concluso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la actora de este proceso constitucional -la COMISION LIQUIDADORA DE ENTIDADES ASEGURADORAS (C.L.E.A.)- se impugna, en primer lugar, la Sentencia del Juzgado de Distrito de Jarandilla de la Vera de 26 de abril de 1988, a la que reprocha haberse dictado sin que la solicitante de amparo fuera convocada al juicio de faltas en el que, sin embargo, se le declaró responsable civil subsidiario, vulnerando así su derecho fundamental a la tutela judicial efectiva (art. 24.1 C.E.). En segundo lugar, se impugna asimismo la Sentencia pronunciada en apelación por el Juzgado de Instrucción de Navalmoral de la Mata el 1 de diciembre de 1988, a la que la actora imputa también la lesión del art. 24.1 C.E. por falta de motivación suficiente y omisión de la fundamentación jurídica en relación con la cuestión suscitada en la segunda instancia. Por último, y subsidiariamente, se aduce la lesión del derecho a la igualdad en la aplicación judicial de la ley (art. 14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A la viabilidad procesal de la demanda de amparo opone la representación de don Jesús Díaz Hornero y doña Isabel Torollo Jiménez la extemporaneidad de la misma, así como el incumplimiento del requisito preceptuado en el art. 44.1 a) de la Ley Orgánica de </w:t>
      </w:r>
      <w:r>
        <w:lastRenderedPageBreak/>
        <w:t>este Tribunal (LOTC). Causas de inadmisión-que en esta fase procesal serían de desestimación- y deben ser prioritariamente examinadas.</w:t>
      </w:r>
    </w:p>
    <w:p w:rsidR="00FE0907" w:rsidRDefault="00FE0907" w:rsidP="00FE0907">
      <w:pPr>
        <w:pStyle w:val="TextoNormal"/>
      </w:pPr>
      <w:r>
        <w:t>No procede apreciar la extemporaneidad; la demanda tuvo entrada en el Registro del Tribunal el 16 de mayo de 1989, último día del plazo de veinte establecido por el art. 44.2 de la LOTC, tomando como fecha de notificación del Juzgado de Navalmoral la acreditada de 19 de abril puesto que en Madrid fueron inhábiles los días 2 y 15 de aquel mes.</w:t>
      </w:r>
    </w:p>
    <w:p w:rsidR="00FE0907" w:rsidRDefault="00FE0907" w:rsidP="00FE0907">
      <w:pPr>
        <w:pStyle w:val="TextoNormal"/>
      </w:pPr>
      <w:r>
        <w:t>Tampoco cabe estimar la alegada falta de agotamiento de todos los recursos utilizables dentro de la vía judicial [art. 44.1 a) LOTC], por haber omitido el mecanismo del art. 363 de la Ley de Enjuiciamiento Civil para que el Juzgado de Instrucción supliera la omisión que ahora se alega en amparo. Y no cabe, porque el cauce que arbitran los arts. 363 de la L.E.C. y 267 de la Ley Orgánica del Poder Judicial es una vía excepcional (STC 119/1988, fundamento jurídico 3º) cuyo carácter de recurso es dudoso pues se preveé sólo para posibilitar que los órganos judiciales aclaren algún concepto, suplan alguna omisión o corrijan algún error material, pero no para que alteren la fundamentación y el fallo de sus resoluciones (SSTC 119/1988, fundamento jurídico 3º, 203/1989, fundamento jurídico 1º). Y en el presente caso se trata de la totalidad del razonamiento judicial sobre la cuestión litigiosa planteada (en cuya falta se hace consistir la vulneración del art. 24.1 C.E.  pretendida) y no de aclarar la Sentencia impugnada.</w:t>
      </w:r>
    </w:p>
    <w:p w:rsidR="00FE0907" w:rsidRDefault="00FE0907" w:rsidP="00FE0907">
      <w:pPr>
        <w:pStyle w:val="TextoNormal"/>
      </w:pPr>
    </w:p>
    <w:p w:rsidR="00FE0907" w:rsidRDefault="00FE0907" w:rsidP="00FE0907">
      <w:pPr>
        <w:pStyle w:val="TextoNormal"/>
      </w:pPr>
      <w:r w:rsidRPr="00FE0907">
        <w:rPr>
          <w:rStyle w:val="NumeroAFNegritaCaracter"/>
        </w:rPr>
        <w:t>3</w:t>
      </w:r>
      <w:r>
        <w:t>. De las actuaciones remitidas por el Juzgado de Instrucción de Navalmoral de la Mata resulta que la actora no invocó, en el trámite de apelación, la lesión de derechos fundamentales que prescribe el art. 44.1 c) de la LOTC. No se encuentra, en efecto, mención alguna a la vulneración del art. 24.1 C.E., que habría ocasionado la falta de convocatoria de la actora por el Juzgado de Distrito al juicio de faltas, ni en el acta de la vista del recurso de apelación ni en la nota presentada para dicha vista donde la C.L.E.A. se limita a solicitar que se la absuelva de la responsabilidad civil subsidiaria declarada en la resolución apelada. Esto impide que nos pronunciemos ahora acerca de los efectos de aquella falta en la Sentencia de primera instancia, cuestión traída per saltum a este proceso constitucional, y debamos limitarnos al examen de los motivos de amparo alegados en relación con la decisión del Juez que resolvió en la apelación.</w:t>
      </w:r>
    </w:p>
    <w:p w:rsidR="00FE0907" w:rsidRDefault="00FE0907" w:rsidP="00FE0907">
      <w:pPr>
        <w:pStyle w:val="TextoNormal"/>
      </w:pPr>
    </w:p>
    <w:p w:rsidR="00FE0907" w:rsidRDefault="00FE0907" w:rsidP="00FE0907">
      <w:pPr>
        <w:pStyle w:val="TextoNormal"/>
      </w:pPr>
      <w:r w:rsidRPr="00FE0907">
        <w:rPr>
          <w:rStyle w:val="NumeroAFNegritaCaracter"/>
        </w:rPr>
        <w:t>4</w:t>
      </w:r>
      <w:r>
        <w:t>. Así delimitado su objeto, la cuestión se identifica con la resuelta en la STC 146/1990, estimatoria de un recurso de amparo asimismo deducido por la C.L.E.A. y con igual causa de pedir.  Procede, pues, que nos atengamos a lo ya entonces considerado y decidido, comenzando por estudiar la imputación de insuficiente motivación vulnerando el derecho de la actora a la tutela judicial efectiva (art. 24.1 C.E.).</w:t>
      </w:r>
    </w:p>
    <w:p w:rsidR="00FE0907" w:rsidRDefault="00FE0907" w:rsidP="00FE0907">
      <w:pPr>
        <w:pStyle w:val="TextoNormal"/>
      </w:pPr>
      <w:r>
        <w:t xml:space="preserve">La C.L.E.A. basaba en la apelación su pretensión revocatoria de la Sentencia de instancia, que la había declarado responsable civil subsidiaria, en la contradicción con lo dispuesto en el art. 4.3 del Real Decreto-ley 10/1984, de 11 de julio, según el cual "en ningún caso la Comisión, sus órganos rectores o sus representantes, serán considerados deudores ni responsables de las obligaciones a cargo de las Entidades en las que aquélla actúe como liquidador". Aducía también el art. 31.1 de la Ley 33/1984, de 2 de agosto, sobre Ordenación del Seguro Privado, en virtud del cual las aseguradoras en periodo de liquidación "conservarán su personalidad jurídica", pudiendo -añadía la actora- ser declaradas responsables civiles. Esta pretensión fué desestimada en una Sentencia cuyo único fundamento jurídico decía simplemente: "que por sus propios fundamentos procede confirmar en todos sus extremos la sentencia apelada, por ajustarse a la realidad del (sic) relato fáctico que en </w:t>
      </w:r>
      <w:r>
        <w:lastRenderedPageBreak/>
        <w:t>la misma se contiene y ser conforme (sic) a Derecho los fundamentos jurídicos de la misma".</w:t>
      </w:r>
    </w:p>
    <w:p w:rsidR="00FE0907" w:rsidRDefault="00FE0907" w:rsidP="00FE0907">
      <w:pPr>
        <w:pStyle w:val="TextoNormal"/>
      </w:pPr>
      <w:r>
        <w:t>El Juez de Instrucción, pues, se limitó a asumir en su integridad la Sentencia del Juzgado de Distrito, sin añadir nuevos fundamentos, efectuando así una motivación por remisión, sobre cuya validez, en abstracto -recuerda la STC 146/1990-, ya se ha pronunciado este Tribunal en distintas resoluciones, entre las que cabe resaltar los AATC 688/1986 y 956/1988, señalando que "una fundamentación por remisión no deja de serlo ni de satisfacer la exigencia contenida en el derecho fundamental que se invoca". La validez ex art. 24.1 C.E. de la Sentencia de remisión dependerá así de que la cuestión sustancial hubiera sido ya resuelta en la Sentencia de primera instancia fundamentando suficientemente la decisión sobre aquella cuestión.</w:t>
      </w:r>
    </w:p>
    <w:p w:rsidR="00FE0907" w:rsidRDefault="00FE0907" w:rsidP="00FE0907">
      <w:pPr>
        <w:pStyle w:val="TextoNormal"/>
      </w:pPr>
      <w:r>
        <w:t>Pero no ha sido así en este caso; la declaración de responable civil subsidiario de la C.L.E.A. en lugar de la Compañía de Seguros "MEDIODIA" -entidad en liquidación- no fue cuestión debatida en el juicio de faltas celebrado ante el Juzgado de Distrito; en las actuaciones del mismo sólo consta un escrito del Liquidador-Delegado de la C.L.E.A. en la referida aseguradora que se limita a advertir de la exigencia legal y reglamentaria de que se suspendiese la ejecución de la resolución definitiva que contuviera un pronunciamiento contrario a una entidad en liquidación hasta la conclusión del procedimiento liquidatorio.  Pero ni Seguros "MEDIODIA" ni la C.L.E.A.  asistieron a la vista, en la que el Ministerio Fiscal, además, interesó que la responsabilidad civil subsidiaria recayera en el Consorcio de Compensación de Seguros, sin mencionar a la aquí actora. Por último, la Sentencia sólo en el fallo aludió a la responsabilidad de la C.L.E.A. para declararla sin expresar ninguna fundamentación en Derecho de la que se dedujera esa decisión.</w:t>
      </w:r>
    </w:p>
    <w:p w:rsidR="00FE0907" w:rsidRDefault="00FE0907" w:rsidP="00FE0907">
      <w:pPr>
        <w:pStyle w:val="TextoNormal"/>
      </w:pPr>
      <w:r>
        <w:t>Y la Sentencia del Juzgado de Instrucción, al haberse planteado la cuestión en términos inequívocos por la actora en el trámite de apelación, no podía limitar todos sus fundamentos a una remisión a los de la Sentencia apelada puesto que ésta ninguno contenía respecto de dicha cuestión, nueva en la segunda instancia. Así ésta ha sido decidida sin ninguna motivación expresa y jurídicamente fundada; ello vulnera el derecho fundamental de la recurrente a la tutela judicial efectiva (art.  24.1 C.E.).</w:t>
      </w:r>
    </w:p>
    <w:p w:rsidR="00FE0907" w:rsidRDefault="00FE0907" w:rsidP="00FE0907">
      <w:pPr>
        <w:pStyle w:val="TextoNormal"/>
      </w:pPr>
    </w:p>
    <w:p w:rsidR="00FE0907" w:rsidRDefault="00FE0907" w:rsidP="00FE0907">
      <w:pPr>
        <w:pStyle w:val="TextoNormal"/>
      </w:pPr>
      <w:r w:rsidRPr="00FE0907">
        <w:rPr>
          <w:rStyle w:val="NumeroAFNegritaCaracter"/>
        </w:rPr>
        <w:t>5</w:t>
      </w:r>
      <w:r>
        <w:t>. Como motivo de amparo subsidiario, la actora alega la infracción de su derecho a la igualdad en la aplicación judicial de la ley (art. 14 C.E.). Pero su argumentación al respecto no descansa en la comparación con otras resoluciones dictadas por el mismo órgano jurisdiccional al que se imputa la infracción citada (STC 146/1990, fundamento jurídico 3º) ni, en ausencia de fundamentación, puede basarse en que se hayan tomado en consideración al aplicar la norma circunstancias que, según ésta, no debieran ser relevantes.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en parte el recurso de amparo interpuesto y consecuentemente:</w:t>
      </w:r>
    </w:p>
    <w:p w:rsidR="00FE0907" w:rsidRDefault="00FE0907" w:rsidP="00FE0907">
      <w:pPr>
        <w:pStyle w:val="TextoNormal"/>
      </w:pPr>
      <w:r>
        <w:t>1º Declarar el derecho de la recurrente a obtener una resolución judicial fundada en Derecho.</w:t>
      </w:r>
    </w:p>
    <w:p w:rsidR="00FE0907" w:rsidRDefault="00FE0907" w:rsidP="00FE0907">
      <w:pPr>
        <w:pStyle w:val="TextoNormal"/>
      </w:pPr>
      <w:r>
        <w:lastRenderedPageBreak/>
        <w:t>2º Anular la Sentencia dictada por el Juzgado de Instrucción de Navalmoral de la Mata el 1 de diciembre de 1988, confirmatoria en apelación de la pronunciada por el Juzgado de Distrito de Jarandilla de la Vera el 26 de abril del mismo año.</w:t>
      </w:r>
    </w:p>
    <w:p w:rsidR="00FE0907" w:rsidRDefault="00FE0907" w:rsidP="00FE0907">
      <w:pPr>
        <w:pStyle w:val="TextoNormal"/>
      </w:pPr>
      <w:r>
        <w:t>3º Reponer las actuaciones al momento inmediatamente anterior al de pronunciarse la Sentencia de apelación, para que se dicte otra que se pronuncie motivadamente sobre la responsabilidad civil de la entidad que aquí recurre.</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nueve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1" w:name="SENTENCIA_1992_28"/>
      <w:r>
        <w:lastRenderedPageBreak/>
        <w:t>SENTENCIA 28/1992, de 9 de marzo de 1992</w:t>
      </w:r>
    </w:p>
    <w:bookmarkEnd w:id="31"/>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ECLI:ES:TC:1992:28</w:t>
      </w:r>
    </w:p>
    <w:p w:rsidR="00FE0907" w:rsidRDefault="00FE0907" w:rsidP="00FE0907">
      <w:pPr>
        <w:pStyle w:val="SntesisDescriptiva"/>
      </w:pPr>
    </w:p>
    <w:p w:rsidR="00FE0907" w:rsidRDefault="00FE0907" w:rsidP="00FE0907">
      <w:pPr>
        <w:pStyle w:val="SntesisDescriptiva"/>
      </w:pPr>
      <w:r>
        <w:t>Recurso de amparo 1.191/1989. Contra Sentencia de la Magistratura de Trabajo núm. 6 de Valencia, dictada en procedimiento sobre reclamación de salarios.</w:t>
      </w:r>
    </w:p>
    <w:p w:rsidR="00FE0907" w:rsidRDefault="00FE0907" w:rsidP="00FE0907">
      <w:pPr>
        <w:pStyle w:val="SntesisDescriptiva"/>
      </w:pPr>
    </w:p>
    <w:p w:rsidR="00FE0907" w:rsidRDefault="00FE0907" w:rsidP="00FE0907">
      <w:pPr>
        <w:pStyle w:val="SntesisAnaltica"/>
      </w:pPr>
      <w:r>
        <w:t>Supuesta vulneración del principio de igualdad: plus de trabajo nocturno no discriminatorio por razón de sexo</w:t>
      </w:r>
    </w:p>
    <w:p w:rsidR="00FE0907" w:rsidRDefault="00FE0907" w:rsidP="00FE0907">
      <w:pPr>
        <w:pStyle w:val="SntesisAnaltica"/>
      </w:pPr>
    </w:p>
    <w:p w:rsidR="00FE0907" w:rsidRDefault="00FE0907" w:rsidP="00FE0907">
      <w:pPr>
        <w:pStyle w:val="Extracto"/>
      </w:pPr>
      <w:r>
        <w:t>1.</w:t>
      </w:r>
      <w:r>
        <w:tab/>
        <w:t>El recurso de amparo no es un recurso directo contra normas de cualquier origen, sino un instrumento procesal para la defensa de los derechos fundamentales, a través del cual no puede pedirse sino la anulación de aquellos actos o normas a los que se imputa la lesión de esos derechos y cuya anulación sea indispensable para restablecer al recurrente en el pleno goce de los mismos [ F.J. 1].</w:t>
      </w:r>
    </w:p>
    <w:p w:rsidR="00FE0907" w:rsidRDefault="00FE0907" w:rsidP="00FE0907">
      <w:pPr>
        <w:pStyle w:val="Extracto"/>
      </w:pPr>
    </w:p>
    <w:p w:rsidR="00FE0907" w:rsidRDefault="00FE0907" w:rsidP="00FE0907">
      <w:pPr>
        <w:pStyle w:val="Extracto"/>
      </w:pPr>
      <w:r>
        <w:t>2.</w:t>
      </w:r>
      <w:r>
        <w:tab/>
        <w:t>Como ya hemos señalado con anterioridad, el Convenio Colectivo, en cuanto tiene valor normativo y se inscribe en el sistema de fuentes, ha de someterse a las normas de mayor rango jerárquico y ha de respetar el cuadro de derechos fundamentales acogidos en nuestra Constitución. No obstante, el derecho a la igualdad no puede tener respecto a la negociación colectiva -en cuanto manifestación de la autonomía privada- «el mismo alcance que en otros contextos» (STC 177/1988), toda vez que «el respeto de la igualdad ante la ley se impone a los órganos del poder público, pero no a los sujetos privados, cuya autonomía está limitada sólo por la prohibición de incurrir en discriminaciones contrarias al orden público constitucional, como son, entre otras, las que expresamente se indican en el art. 14 C.E.» (STC 108/1989) [F.J. 2].</w:t>
      </w:r>
    </w:p>
    <w:p w:rsidR="00FE0907" w:rsidRDefault="00FE0907" w:rsidP="00FE0907">
      <w:pPr>
        <w:pStyle w:val="Extracto"/>
      </w:pPr>
    </w:p>
    <w:p w:rsidR="00FE0907" w:rsidRDefault="00FE0907" w:rsidP="00FE0907">
      <w:pPr>
        <w:pStyle w:val="Extracto"/>
      </w:pPr>
      <w:r>
        <w:t>3.</w:t>
      </w:r>
      <w:r>
        <w:tab/>
        <w:t>No es constitucionalmente lícito determinar el régimen jurídico de una relación laboral en atención, exclusivamente, al sexo de los trabajadores. Una cosa es tomar en cuenta el sexo de las personas como circunstancia fáctica relevante en la aplicación de las normas y otra, bien distinta, transformar la condición de hombre o mujer en una categoría jurídica, en razón de la cual se otorga o niega un derecho laboral [F.J. 3].</w:t>
      </w:r>
    </w:p>
    <w:p w:rsidR="00FE0907" w:rsidRDefault="00FE0907" w:rsidP="00FE0907">
      <w:pPr>
        <w:pStyle w:val="Extracto"/>
      </w:pPr>
    </w:p>
    <w:p w:rsidR="00FE0907" w:rsidRDefault="00FE0907" w:rsidP="00FE0907">
      <w:pPr>
        <w:pStyle w:val="Extracto"/>
      </w:pPr>
      <w:r>
        <w:t>4.</w:t>
      </w:r>
      <w:r>
        <w:tab/>
        <w:t>La prohibición de la discriminación por razón de sexo admite la existencia de medidas singulares en favor de la mujer, que traten de corregir una situación desigual de partida, como son las medidas de acción positivas o similares, pero, al mismo tiempo, exige la eliminación, en principio, de las normas protectoras del trabajo femenino, y que pueden suponer en sí mismas un obstáculo para el acceso real de la mujer al empleo en igualdad de condiciones de trabajo con los varones [F.J. 3].</w:t>
      </w:r>
    </w:p>
    <w:p w:rsidR="00FE0907" w:rsidRDefault="00FE0907" w:rsidP="00FE0907">
      <w:pPr>
        <w:pStyle w:val="Extracto"/>
      </w:pPr>
    </w:p>
    <w:p w:rsidR="00FE0907" w:rsidRDefault="00FE0907" w:rsidP="00FE0907">
      <w:pPr>
        <w:pStyle w:val="Extracto"/>
      </w:pPr>
      <w:r>
        <w:t>5.</w:t>
      </w:r>
      <w:r>
        <w:tab/>
        <w:t>El principio de igualdad no se agota en la interdicción de determinados criterios de diferenciación, sino que exige sobre todo que no se establezcan diferenciacio</w:t>
      </w:r>
      <w:r>
        <w:lastRenderedPageBreak/>
        <w:t>nes que carezcan de una justificación razonable, objetiva y congruente con la finalidad de la norma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1.191/89, promovido por el Abogado del Ilustre Colegio de Madrid don Juan Carlos Moreno Gómez, en nombre y representación propias, frente a la Sentencia de la Magistratura de Trabajo -hoy Juzgado de lo Social- núm. 6 de Valencia de 26 de marzo de 1987, dictada en procedi miento sobre reclamación de salarios. Ha intervenido el Ministerio Fiscal y ha sido Ponente el Magistrado don José Luis de los Mozos y de los Mozos,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Don Juan Carlos Moreno Gómez, en su propio nombre y representación, mediante escrito registrado en este Tribunal el día 23 de junio de 1989 interpone recurso de amparo contra el Auto de la Sala Primera del Tribunal Central de Trabajo de 8 de mayo de 1989 que declara la improcedencia del recurso de suplicación formulado contra la Sentencia dictada por la Magistratura de Trabajo núm. 6 de Valencia de 26 de marzo de 1987 en autos sobre reclamación de salarios.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basa, en síntesis, en los siguientes hechos: </w:t>
      </w:r>
    </w:p>
    <w:p w:rsidR="00FE0907" w:rsidRDefault="00FE0907" w:rsidP="00FE0907">
      <w:pPr>
        <w:pStyle w:val="TextoNormal"/>
      </w:pPr>
      <w:r>
        <w:t xml:space="preserve">a) El recurrente presentó demanda ante la Magistratura de Trabajo contra la Compañía Telefónica Nacional de España (CTNE) -para la que prestaba sus servicios como auxiliar administrativo desde diciembre de 1983-, reclamando la cantidad de 6.147 pesetas como compensación económica por el uso de transporte nocturno durante los 22 días del mes de septiembre de 1984 en los que salió de trabajar a las 23 horas. </w:t>
      </w:r>
    </w:p>
    <w:p w:rsidR="00FE0907" w:rsidRDefault="00FE0907" w:rsidP="00FE0907">
      <w:pPr>
        <w:pStyle w:val="TextoNormal"/>
      </w:pPr>
      <w:r>
        <w:t xml:space="preserve">b) Como dicho plus de transporte se concedía, en el Convenio Colectivo de la CTNE vigente para el año 1984, -y desde el de 1979-, a todo el personal femenino cuyo turno de trabajo se iniciara o finalizara entre las 23 horas y las 5 horas del día siguiente, el actor fundamentaba su pretensión en considerar dicha norma discriminatoria. </w:t>
      </w:r>
    </w:p>
    <w:p w:rsidR="00FE0907" w:rsidRDefault="00FE0907" w:rsidP="00FE0907">
      <w:pPr>
        <w:pStyle w:val="TextoNormal"/>
      </w:pPr>
      <w:r>
        <w:t xml:space="preserve">c) La Sentencia de la Magistratura de Trabajo -hoy Juzgado de lo Social- núm. 6 de Valencia de 26 de marzo de 1986 desestimó la demanda interpuesta por don Juan Carlos Moreno Gómez y absolvió de la misma a la CTNE. Se argumentó para excluir el carácter discriminatorio del disfrute exclusivo por las mujeres del plus controvertido, de un lado, que </w:t>
      </w:r>
      <w:r>
        <w:lastRenderedPageBreak/>
        <w:t xml:space="preserve">el mismo había sido establecido en Convenio Colectivo; en consecuencia, "a nadie escapa", se afirma expresamente, "que la inclusión de ese plus no lo fue de una forma gratuita o accidental, sino atendiendo indudablemente a unos motivos que se estimaron de suficiente entidad para servirle de sustento". En el momento en que se pactó la norma, existían importantes diferencias entre una mujer y un hombre que debieran transitar por una ciudad "a altas horas de la noche". Al respecto, "en la primera existía una conciencia de inseguridad ante posible ataque, más o menos probable según la ciudad y la zona, pero siempre latentes, basados precisamente por razón de sexo, inseguridad ésta de la que no se sentía afectado el hombre". Esta circunstancia "compelía a la primera a tener que desistir de emplear medios de comunicación que, durante el día podían ser perfectamente utilizados y sustituirlos por otros más seguros, aunque más caros que la llevaran de puerta en puerta". Concluye el Magistrado que "con el devenir de los tiempos, y por desgracia, la posición de una y otro ante la situación contemplada se ha ido equiparando", lo que ha provocado la acomodación de la norma a la nueva realidad, con extensión del plus a todos los trabajadores. </w:t>
      </w:r>
    </w:p>
    <w:p w:rsidR="00FE0907" w:rsidRDefault="00FE0907" w:rsidP="00FE0907">
      <w:pPr>
        <w:pStyle w:val="TextoNormal"/>
      </w:pPr>
      <w:r>
        <w:t xml:space="preserve">d) Recurrida en suplicación dicha Sentencia por el actor, el Auto de la Sala Primera del Tribunal Central de Trabajo de 8 de mayo de 1989, declaró la improcedencia del recurso por razón de la cuantía y la firmeza de la Sentencia de instancia. </w:t>
      </w:r>
    </w:p>
    <w:p w:rsidR="00FE0907" w:rsidRDefault="00FE0907" w:rsidP="00FE0907">
      <w:pPr>
        <w:pStyle w:val="TextoNormal"/>
      </w:pPr>
      <w:r>
        <w:t>e) En el XIII Convenio Colectivo de la CTNE -publicado en el "Boletín Oficial del Estado" de 30 de abril de 1985- el plus se extendió a todos los trabajadores.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 de amparo invoca la vulneración del derecho de igualdad ante la ley y no discriminación por razón de sexo, de los arts. 14 y 35 C.E. </w:t>
      </w:r>
    </w:p>
    <w:p w:rsidR="00FE0907" w:rsidRDefault="00FE0907" w:rsidP="00FE0907">
      <w:pPr>
        <w:pStyle w:val="TextoNormal"/>
      </w:pPr>
      <w:r>
        <w:t>El solicitante de amparo se considera objeto de un tratamiento diferenciado al no habérsele reconocido por los órganos judiciales el derecho al plus de transporte nocturno que perciben las mujeres que trabajan en su empresa. La justificación esgrimida por la Sentencia para llegar a tal conclusión dista mucho, a su juicio, de ser suficiente. De un lado, la circunstancia de que el disfrute exclusivo por las mujeres se encuentre recogido en un convenio colectivo no justifica adecuadamente la diferenciación ya que "nunca puede pactarse en contra de la Constitución Española". De otro, la "conciencia de inseguridad" no es un privilegio de las mujeres ya que "se encuadra dentro de unos términos completamente personales y psicológicos, es decir, independientemente del sexo de la persona en cuestión". De este modo, "la Sentencia ha motivado su fallo en apreciaciones totalmente de tipo subjetivo y completamente per sonales del Juzgador".</w:t>
      </w:r>
    </w:p>
    <w:p w:rsidR="00FE0907" w:rsidRDefault="00FE0907" w:rsidP="00FE0907">
      <w:pPr>
        <w:pStyle w:val="TextoNormal"/>
      </w:pPr>
    </w:p>
    <w:p w:rsidR="00FE0907" w:rsidRDefault="00FE0907" w:rsidP="00FE0907">
      <w:pPr>
        <w:pStyle w:val="TextoNormal"/>
      </w:pPr>
      <w:r w:rsidRPr="00FE0907">
        <w:rPr>
          <w:rStyle w:val="NumeroAFNegritaCaracter"/>
        </w:rPr>
        <w:t>4</w:t>
      </w:r>
      <w:r>
        <w:t>. Acreditada fehacientemente por el solicitante de amparo la fecha de notificación de la resolución judicial impugnada en cumplimiento de la providencia de la Sección Tercera de este Tribunal de 16 de octubre de 1989, la referida Sección acordó, en providencia de 11 de diciembre de 1989, admitir a trámite la demanda, requerir el envío de las actuaciones y solicitar el emplazamiento de los que fueron parte en el proceso precedente.</w:t>
      </w:r>
    </w:p>
    <w:p w:rsidR="00FE0907" w:rsidRDefault="00FE0907" w:rsidP="00FE0907">
      <w:pPr>
        <w:pStyle w:val="TextoNormal"/>
      </w:pPr>
    </w:p>
    <w:p w:rsidR="00FE0907" w:rsidRDefault="00FE0907" w:rsidP="00FE0907">
      <w:pPr>
        <w:pStyle w:val="TextoNormal"/>
      </w:pPr>
      <w:r w:rsidRPr="00FE0907">
        <w:rPr>
          <w:rStyle w:val="NumeroAFNegritaCaracter"/>
        </w:rPr>
        <w:t>5</w:t>
      </w:r>
      <w:r>
        <w:t>. Recibidas las actuaciones judiciales, por providencia de 5 de febrero de 1990 se acusó recibo de ellas y, de conformidad con lo preceptuado en el art. 52.1 LOTC, se otorgó un plazo común de veinte días al solicitante de amparo y al Ministerio Fiscal para que presentaran las oportunas alegaciones.</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6</w:t>
      </w:r>
      <w:r>
        <w:t>. La parte actora, mediante escrito presentado el 23 de febrero de 1990, dio por reproducidos los motivos y fundamentos de Derecho consignados en la demanda.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Ministerio Fiscal, tras efectuar un breve resumen de los antecedentes, destaca, ante todo, que la infracción del art. 35 C.E. no puede ser examinada al no tratarse de un precepto susceptible de amparo -art. 41.1 LOTC-. Por otra parte, resulta insospechado que en la demanda no se considere vulnerado el derecho de acceso al recurso del art. 24.1 C.E. pues aunque el Tribunal Central de Trabajo se basó, para inadmitir el recurso de suplicación, entre otros argumentos, en no haber resultado probado que la cuestión debatida afectara a un gran número de trabajadores, la Sentencia de instancia declaraba lo contrario y además la citada afectación podía considerarse notoria al tratarse de la CTNE. Sin embargo, al no haberse alegado nada al respecto por el demandante, el Fiscal opta por limitar su informe a la presunta lesión del derecho a la igualdad. En este último terreno, la argumentación de la Sentencia impugnada que encuentra justificación de la diferencia de trato en el hecho de haber sido pactada en un Convenio Colectivo no puede admitirse constitucionalmente: "Jueces y Tribunales cuando resulta alegada la contradicción entre lo pactado colectivamente y un derecho fundamental vienen obligados a examinar dicha contradicción" (SSTC 207/1987, 56/1988, 166/1988 y 177/1988). </w:t>
      </w:r>
    </w:p>
    <w:p w:rsidR="00FE0907" w:rsidRDefault="00FE0907" w:rsidP="00FE0907">
      <w:pPr>
        <w:pStyle w:val="TextoNormal"/>
      </w:pPr>
      <w:r>
        <w:t xml:space="preserve">De otra parte, segun constante doctrina de este Tribunal, es necesario tomar en consideración, cuando se denuncia la referida lesión del art. 14 C.E., si concurre alguna causa que justifique el tratamiento diferente que se alega. Resulta preciso "rastrear" la Sentencia impugnada ya que quizá se encuentre en ella alguna de las razones esgrimidas por STC 128/1987 para justificar tratos más favorables hacia las mujeres. Al respecto, es claro que entre 1975 y 1985 existe tratamiento diferente entre hombres y mujeres respecto al plus de transporte. Desde luego, "una empresa no viene obligada a subvencionar los gastos de transporte de sus empleados, salvo cuando excepcionalmente se constate alguna razón bastante, sea ésta de carácter objetivo o como en el caso de autos la concurrencia de un factor presumible de peligrosidad atendidas a las circunstancias subjetivas de todos o de parte de sus trabajadores". El "factor de presunción subjetiva del ámbito urbano nocturno para las mujeres es, pues, la razón de existencia de la norma y que forzosamente ha de entenderse como una categoría de reflexión sociológica temporal referido a su nacimiento y vigencia (1975-1984)", sin que pueda negarse "el deterioro del habitat ciudadano nocturno" que ha sido finalmente reconocido por la norma al extender el plus a todos los trabajadores. </w:t>
      </w:r>
    </w:p>
    <w:p w:rsidR="00FE0907" w:rsidRDefault="00FE0907" w:rsidP="00FE0907">
      <w:pPr>
        <w:pStyle w:val="TextoNormal"/>
      </w:pPr>
      <w:r>
        <w:t>En definitiva, concluye el Ministerio Fiscal, aunque se considere que existe discriminación, tal discriminación "ya cesada, dado su origen y naturaleza, su difuminación imposible de precisar en el tiempo y su ámbito de negociación colectiva, aparece justificada en su ratio", sin que parezca posible considerar rotundamente vulnerado el derecho del art. 14 C.E., por todo lo cual se interesa se dicte Sentencia desestimando el recurso de amparo.</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10 de diciembre de 1991 se señaló para deliberación y votación de la presente Sentencia el 13 de enero del año en curso, quedando concluida en el día de la fecha.</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presente demanda de amparo se dirige formalmente tanto frente a la Sentencia de la Magistratura de Trabajo núm. 6 de Valencia de 26 de marzo de 1987 como contra el Auto de la Sala Primera del Tribunal Central de Trabajo de 8 de mayo de 1989, que inadmitió por razón de la cuantía el recurso de suplicación interpuesto contra aquélla por el ahora recurrente.  Sin embargo, al no imputarse al Auto del Tribunal Central lesión alguna de derechos fundamentales, es claro que su impugnación carece materialmente de significación autónoma por lo que nuestro examen ha de limitarse a las que se refieren a la Sentencia de la Magistratura. Y dentro de ellas, exclusivamente a la vulneración del derecho consagrado en el art.  14 C.E.  toda vez que su art.  35 -que también se reputa infringido por la Sentencia impugnada- no es precepto cuyas violaciones sean susceptibles de ser protegidas a través del recurso de amparo, conforme a lo preceptuado en los arts. 53.2 C.E. y 41.1 LOTC.  La demanda no se reduce, sin embargo, a solicitar simplemente la anulación de decisiones judiciales.</w:t>
      </w:r>
    </w:p>
    <w:p w:rsidR="00FE0907" w:rsidRDefault="00FE0907" w:rsidP="00FE0907">
      <w:pPr>
        <w:pStyle w:val="TextoNormal"/>
      </w:pPr>
      <w:r>
        <w:t>A partir de los hechos y en razón de los fundamentos que hemos resumido en los Antecedentes, el recurrente pide que declaremos la inconstitucionalidad (sic) del Auto y Sentencia impugnados, que reconozcamos su derecho a percibir el plus de transporte que se le hubiera abonado de haber sido mujer y, por último, que declaremos también la inconstitucionalidad de la cláusula convencional que establece dicho plus incurriendo con ello en discriminación.</w:t>
      </w:r>
    </w:p>
    <w:p w:rsidR="00FE0907" w:rsidRDefault="00FE0907" w:rsidP="00FE0907">
      <w:pPr>
        <w:pStyle w:val="TextoNormal"/>
      </w:pPr>
      <w:r>
        <w:t>Se trata, en consecuencia, de una pretensión compleja entre cuyos términos hay además una aparente contradicción: si la cláusula que establece el plus de transporte es anulada desaparece la norma que concede el derecho a percibirlo y se hace imposible reconocer tal derecho al actor, pues, como es obvio, si anulamos tal cláusula, el derecho que pretende carecería de todo apoyo normativo.  Aun prescindiendo de esto, hay que recordar el hecho de que el recurso de amparo no es un recurso directo contra normas de cualquier origen, sino un instrumento procesal para la defensa de los derechos fundamentales, a través del cual no puede pedirse sino la anulación de aquellos actos o normas a los que se imputa la lesión de esos derechos y cuya anulación sea indispensable para restablecer al recurrente en el pleno goce de los mismos.  Sólo en el caso de estimar el amparo tendríamos que declarar inaplicable la norma convencional por contraria al art. 14 C.E., para poder asegurar un tratamiento no discriminatorio por razón de sexo a la pretensión salarial que fue denegada por el órgano judicial.</w:t>
      </w:r>
    </w:p>
    <w:p w:rsidR="00FE0907" w:rsidRDefault="00FE0907" w:rsidP="00FE0907">
      <w:pPr>
        <w:pStyle w:val="TextoNormal"/>
      </w:pPr>
      <w:r>
        <w:t>Por lo dicho, la petición de que declaremos la inconstitucionalidad de la cláusula convencional no puede ser considerada como una petición autónoma y nuestro análisis ha de reducirse a los dos restantes, cuya conexión es tan evidente que vienen en cierto sentido a confundirse.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problema de igualdad que plantea la Sentencia de la Magistratura de Trabajo núm. 6 de Valencia de 26 de marzo de 1987 hace referencia al disfrute de una determinada ventaja económica sólo por los trabajadores de sexo femenino de una determinada empresa. En efecto, según se desprende de los hechos declarados probados, una misma situación como es la prestación de servicios en turno de noche venía siendo tratada en la Compañía Telefónica Nacional de España -desde un acuerdo de la dirección de la empresa del año 1975 referido a las trabajadoras encuadradas en el Grupo 8º, posteriormente recogido y extendido al resto de las trabajadoras por los convenios colectivos aplicables- de forma </w:t>
      </w:r>
      <w:r>
        <w:lastRenderedPageBreak/>
        <w:t>diferente en función del sexo del trabajador que los prestaba.  Cuando se trataba de una mujer, percibía un plus por entrada o salida de turnos nocturnos, dirigido -según se desprende del citado acuerdo que obra en las actuaciones- a facilitar a las empleadas el desplazamiento desde el centro de trabajo a sus domicilios. Por el contrario, los hombres no han percibido esta compensación hasta la aprobación del Convenio de 1985 en el que se extiende el derecho a todos los trabajadores.</w:t>
      </w:r>
    </w:p>
    <w:p w:rsidR="00FE0907" w:rsidRDefault="00FE0907" w:rsidP="00FE0907">
      <w:pPr>
        <w:pStyle w:val="TextoNormal"/>
      </w:pPr>
      <w:r>
        <w:t>Ante esta situación, el ahora recurrente formuló demanda contra la empresa, reclamando la percepción de determinadas cantidades en concepto de plus por entrada o salida de turnos nocturnos y apoyando su pretensión en el carácter discriminatorio de la atribución de la percepción exclusivamente a las mujeres trabajadoras. El Magistrado de Trabajo, sin embargo, desestimó la demanda entendiendo que la diferencia de trato se encontraba suficientemente justificada. Así pues, el problema que en este punto hemos de dilucidar es el de si la Sentencia de la Magistratura de Trabajo se adecúa o no a las exigencias del art. 14 C.E.</w:t>
      </w:r>
    </w:p>
    <w:p w:rsidR="00FE0907" w:rsidRDefault="00FE0907" w:rsidP="00FE0907">
      <w:pPr>
        <w:pStyle w:val="TextoNormal"/>
      </w:pPr>
      <w:r>
        <w:t>A esta cuestión, el Magistrado de Trabajo ha contestado de forma afirmativa por entender que la diferencia de trato entre las mujeres -que la perciben- y el recurrente -que no la percibe- se encuentra justificada en términos objetivos y razonables.  Ante todo, parece afirmar que la misma se encuentra justificada por el hecho de haber sido establecida en un Convenio Colectivo resultado de la libre negociación entre la empresa y los representantes de los trabajadores.  Esta circunstancia le lleva a entender que "la inclusión de ese plus en favor del personal femenino no lo fue de una forma gratuita o accidental, sino atendiendo indudablemente a unos motivos que se estimaron de suficiente entidad para servirle de sustento".</w:t>
      </w:r>
    </w:p>
    <w:p w:rsidR="00FE0907" w:rsidRDefault="00FE0907" w:rsidP="00FE0907">
      <w:pPr>
        <w:pStyle w:val="TextoNormal"/>
      </w:pPr>
      <w:r>
        <w:t>Es claro, sin embargo, que no basta constatar que una diferencia de trato se encuentra establecida en convenio colectivo para llegar a la conclusión de que la misma aparece justificada y se adecúa a las exigencias del art. 14 C.E.  Como ya hemos señalado con anterioridad, "el convenio colectivo,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Y ello sin perjuicio de que este último derecho no pueda tener respecto a la negociación colectiva -en cuanto manifestación de la autonomía privada- "el mismo alcance que en otros contextos" (STC 177/1988, fundamento jurídico 4º) toda vez que "el respeto de la igualdad ante la ley se impone a los órganos del poder público, pero no a los sujetos privados, cuya autonomía está limitada sólo por la prohibición de incurrir en discriminaciones contrarias al orden público constitucional, como son, entre otras, las que expresamente se indican en el art. 14 C.E." (STC 108/1989, fundamento jurídico 1º).</w:t>
      </w:r>
    </w:p>
    <w:p w:rsidR="00FE0907" w:rsidRDefault="00FE0907" w:rsidP="00FE0907">
      <w:pPr>
        <w:pStyle w:val="TextoNormal"/>
      </w:pPr>
      <w:r>
        <w:t>A la luz de esta doctrina, no puede aceptarse la suerte de presunción que se establece en la Sentencia impugnada. Si el Convenio Colectivo puede ser lesivo del derecho del art.  14 C.E., la existencia de una previa negociación entre los representantes de las partes no permite concluir que el trato diferente que aquél establezca responde "indudablemente a unos motivos que se estimaron de suficiente entidad para servirle de sustento".</w:t>
      </w:r>
    </w:p>
    <w:p w:rsidR="00FE0907" w:rsidRDefault="00FE0907" w:rsidP="00FE0907">
      <w:pPr>
        <w:pStyle w:val="TextoNormal"/>
      </w:pPr>
    </w:p>
    <w:p w:rsidR="00FE0907" w:rsidRDefault="00FE0907" w:rsidP="00FE0907">
      <w:pPr>
        <w:pStyle w:val="TextoNormal"/>
      </w:pPr>
      <w:r w:rsidRPr="00FE0907">
        <w:rPr>
          <w:rStyle w:val="NumeroAFNegritaCaracter"/>
        </w:rPr>
        <w:t>3</w:t>
      </w:r>
      <w:r>
        <w:t>. El órgano judicial se ha cuidado de añadir otra razón que, en su opinión, excluiría la existencia de desigualdad. A juicio de la Magistratura -que comparte también el Ministerio Fiscal- el trabajo nocturno no plantea los mismos problemas para varones y mujeres. Y siendo distinta la situación de los trabajadores de ambos sexos ante el fenómeno, no es, en definitiva, aplicable el art. 14 C.E. Para el Magistrado de Trabajo, el que el plus de trans</w:t>
      </w:r>
      <w:r>
        <w:lastRenderedPageBreak/>
        <w:t>porte nocturno se otorgue -por la cláusula que el recurrente tacha de discriminatoria- sólo a los trabajadores de sexo femenino viene justificado por razones de carácter sociológico. En concreto, por el mayor riesgo o conciencia de inseguridad de la mujer respecto del hombre durante la noche, ante la posibilidad de un ataque, lo cual le induciría a tener que utilizar medios de transporte más seguros -y más caros- que los que podía utilizar durante el día. Dicho de otro modo, tal y como lo manifiesta el Ministerio Fiscal, es el factor de presunción subjetiva de la peligrosidad del ámbito urbano para las mujeres -en mayor medida que para los hombres- la razón de la existencia de la norma -convencional, en este caso-.</w:t>
      </w:r>
    </w:p>
    <w:p w:rsidR="00FE0907" w:rsidRDefault="00FE0907" w:rsidP="00FE0907">
      <w:pPr>
        <w:pStyle w:val="TextoNormal"/>
      </w:pPr>
      <w:r>
        <w:t>La conexión de la norma convencional con la peligrosidad del ámbito urbano nocturno no permite, sin embargo, justificar la atribución exclusiva del plus de transporte a las trabajadoras.</w:t>
      </w:r>
    </w:p>
    <w:p w:rsidR="00FE0907" w:rsidRDefault="00FE0907" w:rsidP="00FE0907">
      <w:pPr>
        <w:pStyle w:val="TextoNormal"/>
      </w:pPr>
      <w:r>
        <w:t>Aun admitiendo que ésta sea, efectivamente, la razón de ser de la norma y aun admitiendo, incluso, que es certero el juicio del juzgador de instancia de acuerdo con el cual, como queda dicho, en la época en que aun tenía vigencia la cláusula convencional en cuestión era mayor el peligro real, o la percepción del peligro, en las mujeres que en los hombres, no es constitucionalmente lícito determinar el régimen jurídico de una relación laboral en atención, exclusivamente, al sexo de los trabajadores.  Si lo que se pretendió era realmente, como parece verosímil, proteger al trabajdor contra riesgos en sus desplazamientos nocturnos, en esos términos debió formularse, pues de ese modo, aunque en su aplicación concreta el sexo del trabajador pudiera ser considerado como un factor relevante para apreciar la existencia o inexistencia de peligrosidad, no quedaba excluída a priori toda posibilidad de que se atribuyese también el plus de transporte a los trabajadores varones o incluso que, eventualmente, se negase éste a trabajadoras cuyas restantes circunstancias permitiesen negar la existencia de peligro alguno en sus desplazamientos nocturnos. Una cosa es tomar en cuenta el sexo de las personas como circunstancia fáctica relevante en la aplicación de las normas y otra, bien distinta, transformar la condición de hombre o mujer en una categoría jurídica, en razón de la cual se otorga o se niega un derecho laboral.</w:t>
      </w:r>
    </w:p>
    <w:p w:rsidR="00FE0907" w:rsidRDefault="00FE0907" w:rsidP="00FE0907">
      <w:pPr>
        <w:pStyle w:val="TextoNormal"/>
      </w:pPr>
      <w:r>
        <w:t xml:space="preserve">El art.  14 C.E. persigue la interdicción de determinadas diferencias contrarias a la dignidad de la persona, entre las que se encuentra la expresa prohibición de la discriminación por razón de sexo (STC 19/1989), lo que impide, en principio, considerar al sexo como criterio de diferenciación en el ámbito del empleo y las condiciones de trabajo, y se traduce por ello en un mandato de parificación que encuentra su consagración legal en el art. 17.1 del Estatuto de los Trabajadores que declara nulas y sin efecto las cláusulas de los convenios colectivos que contengan discriminaciones "favorables o adversas...  por circunstancias de sexo". No obstante, este Tribunal ha entendido que la referencia al sexo en el art.  14 C.E.  implica también la decisión constitucional de acabar con una histórica situación de inferioridad atribuida a la mujer también en el ámbito del empleo y las condiciones de trabajo, por lo que son constitucionalmente legítimas aquellas medidas que tienden a compensar una desigualdad real de partida, de modo que el precepto constitucional que prohibe la discriminación por razón de sexo ha de ser interpretado sistemáticamente con otros preceptos constitucionales, en particular con el art.  9.2 C.E. que obliga a los poderes públicos a promover las condiciones para que la igualdad de las mujeres en relación con los hombres sea real y efectiva.  Por eso, como ha dicho la STC 216/1991 "no puede reputarse discriminatoria y constitucionalmente prohibida -antes al contrario- la acción de favorecimiento, siquiera temporal, que aquellos poderes (públicos) emprendan en beneficio de determinados colectivos, históricamente desprotegidos y marginados, a fin </w:t>
      </w:r>
      <w:r>
        <w:lastRenderedPageBreak/>
        <w:t>de que, mediante un trato especial más favorable, vean suavizada o compensada su situación de desigualdad sustancial" (fundamento jurídico 5º).</w:t>
      </w:r>
    </w:p>
    <w:p w:rsidR="00FE0907" w:rsidRDefault="00FE0907" w:rsidP="00FE0907">
      <w:pPr>
        <w:pStyle w:val="TextoNormal"/>
      </w:pPr>
      <w:r>
        <w:t>De este modo, la prohibición de la discriminación por razón de sexo admite la existencia de medidas singulares en favor de la mujer, que traten de corregir una situación desigual de partida, como son las medidas de acción positivas o similares, pero, al mismo tiempo, exige la eliminación, en principio, de las normas protectoras del trabajo femenino, y que pueden suponer en sí mismas un obstáculo para el acceso real de la mujer al empleo en igualdad de condiciones de trabajo con los varones.  Ha de valorarse, en consecuencia, si la norma convencional es una norma "protectora", que responde a una consideración no igual de la mujer como trabajadora y que, por ello, sería constitucionalmente ilegítima, o, al contrario, es una medida tendente a compensar una desigualdad de partida y que trata de lograr una igualdad efectiva de acceso y de mantenimiento del empleo de la mujer en relación con el varón.</w:t>
      </w:r>
    </w:p>
    <w:p w:rsidR="00FE0907" w:rsidRDefault="00FE0907" w:rsidP="00FE0907">
      <w:pPr>
        <w:pStyle w:val="TextoNormal"/>
      </w:pPr>
      <w:r>
        <w:t>No existen elementos, ni en los antecedentes de la norma convencional, ni en la resolución judicial que permitan entender que estamos ante una medida establecida para favorecer la promoción del trabajo de la mujer, sino más bien, al conectarse la norma convencional con la eventual peligrosidad del transporte por la noche, se parte de una noción diferenciadora de la mujer a la que se supone sujeta a unos riesgos que nunca amenazan al varón, y por ello mismo, ha de calificarse como de una norma protectora en favor de la mujer, y desde esa perspectiva ha de examinarse si la misma es compatible con el mandato de parificación del art. 14 C.E., que es precisamente el instrumento más directo para lograr la igualdad entre los sexos.</w:t>
      </w:r>
    </w:p>
    <w:p w:rsidR="00FE0907" w:rsidRDefault="00FE0907" w:rsidP="00FE0907">
      <w:pPr>
        <w:pStyle w:val="TextoNormal"/>
      </w:pPr>
      <w:r>
        <w:t>La interpretación que el juez a quo hace del art. 14 C.E. y las consecuencias que extrae respecto de la cláusula convencional son, en consecuencia, erróneas.</w:t>
      </w:r>
    </w:p>
    <w:p w:rsidR="00FE0907" w:rsidRDefault="00FE0907" w:rsidP="00FE0907">
      <w:pPr>
        <w:pStyle w:val="TextoNormal"/>
      </w:pPr>
    </w:p>
    <w:p w:rsidR="00FE0907" w:rsidRDefault="00FE0907" w:rsidP="00FE0907">
      <w:pPr>
        <w:pStyle w:val="TextoNormal"/>
      </w:pPr>
      <w:r w:rsidRPr="00FE0907">
        <w:rPr>
          <w:rStyle w:val="NumeroAFNegritaCaracter"/>
        </w:rPr>
        <w:t>4</w:t>
      </w:r>
      <w:r>
        <w:t>. Del mencionado error no se sigue, no obstante, necesariamente, que su decisión haya de ser anulada.</w:t>
      </w:r>
    </w:p>
    <w:p w:rsidR="00FE0907" w:rsidRDefault="00FE0907" w:rsidP="00FE0907">
      <w:pPr>
        <w:pStyle w:val="TextoNormal"/>
      </w:pPr>
      <w:r>
        <w:t>La crítica que, desde el punto de vista de la igualdad de los sexos, hacía el actor ante el Juzgado de lo Social era, en efecto, el fundamento en el que apoyaba su petición de que se le reconociese el derecho a percibir una determinada suma en concepto de plus de transporte, y de la deficiencia constitucional de la citada cláusula no se sigue esa consecuencia.</w:t>
      </w:r>
    </w:p>
    <w:p w:rsidR="00FE0907" w:rsidRDefault="00FE0907" w:rsidP="00FE0907">
      <w:pPr>
        <w:pStyle w:val="TextoNormal"/>
      </w:pPr>
      <w:r>
        <w:t>La norma standard, el régimen común de la relación laboral regulada en el convenio, es la de que no se abonan los gastos de transporte por el desplazamiento entre el centro de trabajo y el domicilio del trabajador, y el vicio que se denuncia en la cláusula convencional y del que, efectivamente, adolece, es el de excepcionar ese régimen común en virtud, exclusivamente del sexo de quienes prestan servicio durante la noche. La lesión de la igualdad no se produce, en consecuencia, porque se impongan a los trabajadores varones obligaciones o cargas que no pesan sobre sus compañeras, sino por no hacerles participar también del derecho que a éstas se otorga. La satisfacción de la pretensión que el actor dedujo ante el Juzgado de lo Social no podía lograrse en consecuencia, como hubiera ocurrido en este último supuesto, mediante la inaplicación de la norma que mantiene un privilegio en favor de las mujeres, no tanto como norma discriminatoria sino como norma protectora, mediante la extensión de este privilegio, lo que implicaría, en el presente caso, crear una norma nueva, cuya formulación concreta no podría hacerse, además, sino en términos muy inciertos.</w:t>
      </w:r>
    </w:p>
    <w:p w:rsidR="00FE0907" w:rsidRDefault="00FE0907" w:rsidP="00FE0907">
      <w:pPr>
        <w:pStyle w:val="TextoNormal"/>
      </w:pPr>
      <w:r>
        <w:t xml:space="preserve">El actor pretendió, entonces, como ahora ante nosotros, que el Juez aceptase la hipótesis de que el desplazamiento en los medios ordinarios de transporte durante la noche ocasionaba siempre riesgos inexistentes en los desplazamientos diurnos (una hipótesis sin la </w:t>
      </w:r>
      <w:r>
        <w:lastRenderedPageBreak/>
        <w:t>cual se quebraría la unidad entre los trabajadores del día y los de la noche), pero que negase, por el contrario, la presunción de que esos riesgos afectan a las mujeres, pero no a los hombres. Es cierto que esta presunción utiliza, a diferencia de aquella hipótesis, un criterio explícitamente prohibido por la Constitución, pero, como es bien sabido, el principio de igualdad no se agota en la interdicción de determinados criterios de diferenciación, sino que exige sobre todo que no se establezcan diferenciaciones que carezcan de una justificación razonable, objetiva y congruente con la finalidad de la norma. Para respetar ese principio, de acuerdo con su propio y plausible entendimiento de tal finalidad, el Juez se habría visto obligado a poner en cuestión tanto la hipótesis como la presunción y a establecer en consecuencia, ex novo, un régimen distinto para el plus de transporte, cuya aplicación al recurrente, no hubiera conducido, necesariamente, a otorgarle el derecho por su extensión a todos los trabajadores con independencia de su sexo. La pretensión del recurrente no podía en consecuencia ser atendida en sus propios términos y su desestimación no violó su derecho a la igualdad.</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don Juan Carlos Moreno Gómez.</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nueve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2" w:name="SENTENCIA_1992_29"/>
      <w:r>
        <w:lastRenderedPageBreak/>
        <w:t>SENTENCIA 29/1992, de 9 de marzo de 1992</w:t>
      </w:r>
    </w:p>
    <w:bookmarkEnd w:id="32"/>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ECLI:ES:TC:1992:29</w:t>
      </w:r>
    </w:p>
    <w:p w:rsidR="00FE0907" w:rsidRDefault="00FE0907" w:rsidP="00FE0907">
      <w:pPr>
        <w:pStyle w:val="SntesisDescriptiva"/>
      </w:pPr>
    </w:p>
    <w:p w:rsidR="00FE0907" w:rsidRDefault="00FE0907" w:rsidP="00FE0907">
      <w:pPr>
        <w:pStyle w:val="SntesisDescriptiva"/>
      </w:pPr>
      <w:r>
        <w:t>Recurso de amparo 1.759/1989. Contra Sentencia del Tribunal Superior de Justicia de Galicia, estimatoria de recurso de suplicación, contra la dictada por el Juzgado de lo Social núm. 1 de La Coruña sobre pensión de viudedad.</w:t>
      </w:r>
    </w:p>
    <w:p w:rsidR="00FE0907" w:rsidRDefault="00FE0907" w:rsidP="00FE0907">
      <w:pPr>
        <w:pStyle w:val="SntesisDescriptiva"/>
      </w:pPr>
    </w:p>
    <w:p w:rsidR="00FE0907" w:rsidRDefault="00FE0907" w:rsidP="00FE0907">
      <w:pPr>
        <w:pStyle w:val="SntesisAnaltica"/>
      </w:pPr>
      <w:r>
        <w:t>Supuesta vulneración del principio de igualdad: derecho a pensión de viudedad derivado de convivencia extramatrimonial</w:t>
      </w:r>
    </w:p>
    <w:p w:rsidR="00FE0907" w:rsidRDefault="00FE0907" w:rsidP="00FE0907">
      <w:pPr>
        <w:pStyle w:val="SntesisAnaltica"/>
      </w:pPr>
    </w:p>
    <w:p w:rsidR="00FE0907" w:rsidRDefault="00FE0907" w:rsidP="00FE0907">
      <w:pPr>
        <w:pStyle w:val="Extracto"/>
      </w:pPr>
      <w:r>
        <w:t>1.</w:t>
      </w:r>
      <w:r>
        <w:tab/>
        <w:t>En relación con la pensión ordinaria de Seguridad Social, la exigencia del vínculo matrimonial a efectos de la obtención del derecho a la pensión de viudedad, no resulta incompatible con el derecho a la igualdad del art. 14 C.E., siendo por tanto constitucional esa exigencia, según ha declarado la STC 184/1990 [F.J. 4].</w:t>
      </w:r>
    </w:p>
    <w:p w:rsidR="00FE0907" w:rsidRDefault="00FE0907" w:rsidP="00FE0907">
      <w:pPr>
        <w:pStyle w:val="Extracto"/>
      </w:pPr>
    </w:p>
    <w:p w:rsidR="00FE0907" w:rsidRDefault="00FE0907" w:rsidP="00FE0907">
      <w:pPr>
        <w:pStyle w:val="Extracto"/>
      </w:pPr>
      <w:r>
        <w:t>2.</w:t>
      </w:r>
      <w:r>
        <w:tab/>
        <w:t>En la línea de la doctrina expuesta en la STC 260/1988, en relación con la pensión extraordinaria prevista en la Disposición adicional décima de la Ley 30981, de 7 de julio, en favor del conviviente «more uxorio» que no hubiera podido contraer matrimonio antes del fallecimiento del causante por impedírselo la legislación entonces vigente, se reitera ahora que el respeto al principio de igualdad conduce a la interpretación funcional del precepto contenido en dicha disposición, según la cual, y de acuerdo a la finalidad del mismo, deben considerarse situaciones equiparables de imposibilidad legal de regularización mediante el matrimonio de la situación de convivencia los casos en que, aunque el fallecimiento del causante fuera posterior a la entrada en vigor de la Ley, aún no había dado tiempo para finalizar los trámites para la obtención del divorcio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1.759/89, interpuesto por doña Josefina Marzoa Loureda, representada por don Antonio Muñoz Fernández y asistida del Letrado don Oscar Baeza Chibel, contra la Sentencia del Tribunal Superior de Justicia de Galicia que estimó el re</w:t>
      </w:r>
      <w:r>
        <w:lastRenderedPageBreak/>
        <w:t>curso de suplicación interpuesto contra la dictada por el Juzgado de lo Social núm. 1 de la Coruña, sobre pensión de viudedad. Han sido partes el Ministerio Fiscal y el Instituto Nacional de la Seguridad Social, representado por la Procuradora doña Ana María Ruíz de Velasco, y asistido del Letrado don Juan Manuel Saurí Manzano. Ha sido Ponente el Magistrado don Miguel Rodríguez-Piñero,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El 21 de agosto de 1989 tuvo entrada en el registro de este Tribunal un escrito de doña Josefina Marzoa Loureda solicitando el reconocimiento del beneficio procesal de pobreza y designación de Abogado y Procurador de oficio para formalizar demanda de amparo contra la Sentencia del Tribunal Superior de Justicia de Galicia de 27 de junio de 1989. </w:t>
      </w:r>
    </w:p>
    <w:p w:rsidR="00FE0907" w:rsidRDefault="00FE0907" w:rsidP="00FE0907">
      <w:pPr>
        <w:pStyle w:val="TextoNormal"/>
      </w:pPr>
      <w:r>
        <w:t>Seguida la oportuna tramitación, la Sección Tercera dictó providencia de 23 de octubre de 1989 teniendo por designados a don Antonio Muñoz Fernández, como Procurador y a don Oscar Rubén Baeza Chibel, como Abogado, concediéndoles un plazo de veinte días para la formalización de la demanda. La demanda de amparo fue presentada el 19 de marzo de 1990.</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fundamenta en los siguientes antecedentes: </w:t>
      </w:r>
    </w:p>
    <w:p w:rsidR="00FE0907" w:rsidRDefault="00FE0907" w:rsidP="00FE0907">
      <w:pPr>
        <w:pStyle w:val="TextoNormal"/>
      </w:pPr>
      <w:r>
        <w:t xml:space="preserve">A) Doña Josefina Marzoa convivió maritalmente desde 1972 con don Francisco López Fernández. </w:t>
      </w:r>
    </w:p>
    <w:p w:rsidR="00FE0907" w:rsidRDefault="00FE0907" w:rsidP="00FE0907">
      <w:pPr>
        <w:pStyle w:val="TextoNormal"/>
      </w:pPr>
      <w:r>
        <w:t xml:space="preserve">B) En el mes de febrero de 1986, con base en la Ley 30/1981, de 7 de julio, la actora inició los correspondientes trámites judiciales destinados a obtener el divorcio de su marido y así regularizar su relación con quien convivía de hecho. </w:t>
      </w:r>
    </w:p>
    <w:p w:rsidR="00FE0907" w:rsidRDefault="00FE0907" w:rsidP="00FE0907">
      <w:pPr>
        <w:pStyle w:val="TextoNormal"/>
      </w:pPr>
      <w:r>
        <w:t xml:space="preserve">C) Acaecido el fallecimiento de don Francisco López Fernández en octubre de 1987, la actora solicitó ante el Instituto Nacional de la Seguridad Social (INSS) el reconocimiento de la pensión de viudedad. Dicha solicitud le fue denegada por no existir vínculo matrimonial, haber ocurrido el óbito con posterioridad a la entrada en vigor de la Ley 30/1981 y no serle de aplicación, por tanto, la Disposición adicional décima, 2, de dicha Ley. </w:t>
      </w:r>
    </w:p>
    <w:p w:rsidR="00FE0907" w:rsidRDefault="00FE0907" w:rsidP="00FE0907">
      <w:pPr>
        <w:pStyle w:val="TextoNormal"/>
      </w:pPr>
      <w:r>
        <w:t xml:space="preserve">D) Formulada demanda ante el Juzgado de lo Social núm. 1 de la Coruña, la pretensión fue estimada por Sentencia de 25 de abril de 1989. </w:t>
      </w:r>
    </w:p>
    <w:p w:rsidR="00FE0907" w:rsidRDefault="00FE0907" w:rsidP="00FE0907">
      <w:pPr>
        <w:pStyle w:val="TextoNormal"/>
      </w:pPr>
      <w:r>
        <w:t>E) Interpuesto por el INSS recurso de suplicación, fue estimado por Sentencia de la Sala de lo Social del Tribunal Superior de Justicia de Galicia de 27 de junio de 1989, al apreciar que no sólo se había producido el fallecimiento con posterioridad a la entrada en vigor de la Ley 30/1981, sino que la actora no había acreditado su voluntad de regularizar su situación, pues no se consideraba prueba suficiente el haber planteado demanda de separación una vez trascurridos más de cuatro años y medio desde la entrada en vigor de la referida Ley.</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Contra esta última Sentencia se interpuso recurso de amparo por presunta vulneración de los arts. 14, 24.1 y 25.1 de la Constitución. A juicio de la demandante, el órgano judicial ha realizado una interpretación arbitraria y discriminadora de la Disposición adicional décima 2, de la Ley 30/1981 al entender que la medida regulada y establecida con carácter retroactivo ha sido interpretada de una manera restrictiva y excluyente, introduciendo un plazo de caducidad dentro del cual la pareja hubiera debido legalizar su situación, de tal forma que, de no haberlo logrado dentro de tal plazo, se declara caducado el </w:t>
      </w:r>
      <w:r>
        <w:lastRenderedPageBreak/>
        <w:t xml:space="preserve">derecho otorgado por la Ley. Conclusión que no puede deducirse de la Ley, de la que únicamente deriva la voluntad del legislador de que las uniones de hecho tiendan a regularizar su situación, pero sin establecer con ello una condición resolutoria para que dicha regularización se produzca en un determinado plazo. </w:t>
      </w:r>
    </w:p>
    <w:p w:rsidR="00FE0907" w:rsidRDefault="00FE0907" w:rsidP="00FE0907">
      <w:pPr>
        <w:pStyle w:val="TextoNormal"/>
      </w:pPr>
      <w:r>
        <w:t xml:space="preserve">En definitiva, considera la recurrente que el factor discriminador introducido por la Sentencia recurrida carece de todo fundamento legal y constituye una violación del principio de igualdad ante la Ley proclamado en el art. 14 de la Constitución y de la garantía del debido proceso por arbitrariedad, recogido en el art. 24.1 del Texto constitucional, así como una violación del art. 25, al declarar la caducidad de un derecho por omisión de una condición que, al tiempo de producirse, no constituía infracción ni omisión extintiva de derechos. </w:t>
      </w:r>
    </w:p>
    <w:p w:rsidR="00FE0907" w:rsidRDefault="00FE0907" w:rsidP="00FE0907">
      <w:pPr>
        <w:pStyle w:val="TextoNormal"/>
      </w:pPr>
      <w:r>
        <w:t>De acuerdo con ello, la demandante en amparo solicita se declare la nulidad de la Sentencia del Tribunal Superior de Justicia de Galicia de 27 de junio de 1989 y de las resoluciones administrativas de las que trae su causa el presente recurso, así como el reconocimiento de su derecho a percibir la pensión de viudedad en condiciones de igualdad.</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Tras la apertura del trámite de admisión, la Sección acordó admitir a trámite la demanda y solicitar del Tribunal Superior de Justicia de Galicia y del Juzgado de lo Social núm. 1 de La Coruña el envío de las actuaciones, así como, de éste último, la citación de quienes hubiesen sido parte en el proceso. </w:t>
      </w:r>
    </w:p>
    <w:p w:rsidR="00FE0907" w:rsidRDefault="00FE0907" w:rsidP="00FE0907">
      <w:pPr>
        <w:pStyle w:val="TextoNormal"/>
      </w:pPr>
      <w:r>
        <w:t xml:space="preserve">Ha comparecido la Procuradora de los Tribunales doña Ana María Rúiz de Velasco, en representación del Instituto Nacional de la Seguridad Social (INSS). </w:t>
      </w:r>
    </w:p>
    <w:p w:rsidR="00FE0907" w:rsidRDefault="00FE0907" w:rsidP="00FE0907">
      <w:pPr>
        <w:pStyle w:val="TextoNormal"/>
      </w:pPr>
      <w:r>
        <w:t xml:space="preserve">Por providencia de 18 de junio de 1990 la Sección concedió un plazo común de veinte días a las partes personadas y al Ministerio Fiscal para la formulación de alegaciones. </w:t>
      </w:r>
    </w:p>
    <w:p w:rsidR="00FE0907" w:rsidRDefault="00FE0907" w:rsidP="00FE0907">
      <w:pPr>
        <w:pStyle w:val="TextoNormal"/>
      </w:pPr>
      <w:r>
        <w:t>En su escrito de alegaciones la recurrente reitera y da por reproducidas las alegaciones contenidas en la demanda.</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Ministerio Fiscal, con carácter previo, hace constar la concurrencia de una causa de inadmisión, en este trámite de desestimación, la de la extemporaneidad prevenida en el art. 44.2 LOTC, ya que la Sentencia de la Sala de lo Social del Tribunal Superior de Galicia de 27 de junio de 1989 le fue notificada a la actora el 26 de julio siguiente, y el escrito interesando amparo ante este Tribunal ingresó en el mismo el 21 de agosto, siendo así que el plazo para deducir recurso de amparo finalizaba el 19 de agosto. </w:t>
      </w:r>
    </w:p>
    <w:p w:rsidR="00FE0907" w:rsidRDefault="00FE0907" w:rsidP="00FE0907">
      <w:pPr>
        <w:pStyle w:val="TextoNormal"/>
      </w:pPr>
      <w:r>
        <w:t>En cuanto al fondo del asunto las quejas parecen centrase en el derecho de igualdad y no discriminación en relación con la aplicación de la Disposición adicional décima 2, de la Ley 30/1981 de 7 de julio, sobre cuyo alcance se ha pronunciado la STC 260/1988, cuya doctrina resulta aplicable al presente caso. Existe claramente una intención de contraer matrimonio y se han adoptado las medidas conducentes a la obtención del divorcio, aunque la lentitud del Juzgado y el fallecimiento prematuro del causante impidieran deducir a tiempo dicha solicitud. Por todo ello interesa la desestimación del amparo por extemporaneidad o, de no estimarse lo anterior, la estimación del amparo.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La representación del INSS en su escrito de alegaciones afirma que no se dan ninguno de los requisitos exigidos por la jurisprudencia constitucional en relación a la violación del principio de igualdad, ya que solo se discrepa de la interpretación de la legalidad realizada por el órgano judicial. Por otro lado, existe una doctrina judicial unánime sobre la interpretación del apartado dos de la Disposición adicional décima de la Ley 30/1981, </w:t>
      </w:r>
      <w:r>
        <w:lastRenderedPageBreak/>
        <w:t>por lo que el Tribunal Superior no ha decidido arbitrariamente al denegar la prestación en relación con la fecha del fallecimiento, como dispone la regla legal, sin que se den las circunstancias peculiares que han permitido la aplicación extensiva de la regla: el óbito en fecha muy próxima a la entrada en vigor de la Ley, la voluntad acreditada de acogerse a la nueva normativa en fechas próximas de la entrada en vigor de la ley o la existencia, en fecha posterior, de una imposibilidad física o material de iniciar los trámites de divorcio. En el presente caso tales circunstancias no se daban ya que los trámites para obtener el divorcio se iniciaron transcurridos más de cuatro años desde la entrada en vigor de la Ley, sin que se probara la existencia de dificultades especiales para iniciar anteriormente los trámites.</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13 de enero de 1992, la Sala acordó señalar para deliberación y votación del presente recurso de amparo el día 10 de febrero siguiente, quedando concluida el 9 de marzo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En su escrito de alegaciones el Ministerio Fiscal hace constar, con carácter previo, la concurrencia de la causa de inadmisión, que en esta fase procesal se convertiría en causa de desestimación, de la extemporaneidad de la demanda, dado que el escrito de la actora manifestando su deseo de interponer recurso de amparo y solicitando la designación de Abogado y Procurador de Oficio, tuvo entrada en el Registro de este Tribunal el 21 de agosto de 1989, mientras que la notificación a la recurrente de la Sentencia del Tribunal Superior de Justicia de Galicia, tuvo lugar el 26 de julio anterior.</w:t>
      </w:r>
    </w:p>
    <w:p w:rsidR="00FE0907" w:rsidRDefault="00FE0907" w:rsidP="00FE0907">
      <w:pPr>
        <w:pStyle w:val="TextoNormal"/>
      </w:pPr>
      <w:r>
        <w:t>Frente a esta alegación ha de tenerse en cuenta que tras la notificación de la Sentencia la parte intentó anunciar un recurso de casación que por providencia de 31 de julio de 1989 se tuvo por no preparado. A la vista de las circunstancias del caso, y teniendo en cuenta la situación de Derecho transitorio en la regulación del recurso de casación por unificación de doctrina pendiente en aquel momento de desarrollo legislativo, el uso erróneo de este proceso impugnatorio no puede entenderse como realizado con un propósito de dilatación artificial del plazo para recurrir en amparo. Por ello puede considerarse la fecha de notificación de esa providencia como el momento inicial del cómputo del plazo previsto en el art. 44.2 LOTC, en cuyo caso, el escrito inicial de la recurrente habría sido presentado dentro de plazo. Ha de rechazarse, en consecuencia, la excepción de extemporaneidad de la demanda puesta de manifiesto por el Ministerio Fiscal.</w:t>
      </w:r>
    </w:p>
    <w:p w:rsidR="00FE0907" w:rsidRDefault="00FE0907" w:rsidP="00FE0907">
      <w:pPr>
        <w:pStyle w:val="TextoNormal"/>
      </w:pPr>
    </w:p>
    <w:p w:rsidR="00FE0907" w:rsidRDefault="00FE0907" w:rsidP="00FE0907">
      <w:pPr>
        <w:pStyle w:val="TextoNormal"/>
      </w:pPr>
      <w:r w:rsidRPr="00FE0907">
        <w:rPr>
          <w:rStyle w:val="NumeroAFNegritaCaracter"/>
        </w:rPr>
        <w:t>2</w:t>
      </w:r>
      <w:r>
        <w:t>. La demanda se dirige contra la Sentencia de la Sala de lo Social del Tribunal Superior de Justicia de Galicia de 27 de julio de 1989 que, anulando la de instancia, denegó a la solicitante de amparo su derecho a percibir la pensión de viudedad del régimen general de Seguridad Social, por no estar unida matrimonialmente al causante y por no serle de aplicación la Disposición adicional décima, segunda, de la Ley 30/1981, al haber acaecido el fallecimiento con posterioridad a la entrada en vigor de esa ley, y haber solicitado la disolución del vínculo matrimonial anterior casi cinco años después de la promulgación de la referida ley.</w:t>
      </w:r>
    </w:p>
    <w:p w:rsidR="00FE0907" w:rsidRDefault="00FE0907" w:rsidP="00FE0907">
      <w:pPr>
        <w:pStyle w:val="TextoNormal"/>
      </w:pPr>
      <w:r>
        <w:t xml:space="preserve">En la demanda se afirma que la resolución judicial incurre en lesión del principio de igualdad en cuanto que el órgano judicial interpreta, impidiendo su aplicación, de forma discriminatoria la Disposición adicional décima, 2 de la Ley 30/1981, y exige un requisito </w:t>
      </w:r>
      <w:r>
        <w:lastRenderedPageBreak/>
        <w:t>o condición no requerido por la norma, privando a la actora de los derechos reconocidos en la Ley.  Además, se alega que el órgano judicial ha realizado un interpretación de la norma en menoscabo de un derecho a un proceso con todas las garantías del art. 24 C.E., y también habría vulnerado el art. 25 C.E. al suponer la privación del derecho una sanción no legalmente prevista .</w:t>
      </w:r>
    </w:p>
    <w:p w:rsidR="00FE0907" w:rsidRDefault="00FE0907" w:rsidP="00FE0907">
      <w:pPr>
        <w:pStyle w:val="TextoNormal"/>
      </w:pPr>
    </w:p>
    <w:p w:rsidR="00FE0907" w:rsidRDefault="00FE0907" w:rsidP="00FE0907">
      <w:pPr>
        <w:pStyle w:val="TextoNormal"/>
      </w:pPr>
      <w:r w:rsidRPr="00FE0907">
        <w:rPr>
          <w:rStyle w:val="NumeroAFNegritaCaracter"/>
        </w:rPr>
        <w:t>3</w:t>
      </w:r>
      <w:r>
        <w:t>. Tiene razón el Ministerio Fiscal de que de todas esas alegaciones sólo resulta constitucionalmente relevante la referida a la violación del art. 14 C.E..</w:t>
      </w:r>
    </w:p>
    <w:p w:rsidR="00FE0907" w:rsidRDefault="00FE0907" w:rsidP="00FE0907">
      <w:pPr>
        <w:pStyle w:val="TextoNormal"/>
      </w:pPr>
      <w:r>
        <w:t>No se entiende en qué pueda consistir la presunta violación del art. 24 C.E., en cuanto que la recurrente ha obtenido una Sentencia que responde a sus pretensiones, aunque las desestime, debidamente motivada en Derecho (lo que excluye la arbitrariedad que se denuncia) y en un procedimiento que ha cumplido todas las garantías y del que no se denuncia indefensión.  Por ello esa invocación ha de entenderse como meramente retórica.</w:t>
      </w:r>
    </w:p>
    <w:p w:rsidR="00FE0907" w:rsidRDefault="00FE0907" w:rsidP="00FE0907">
      <w:pPr>
        <w:pStyle w:val="TextoNormal"/>
      </w:pPr>
      <w:r>
        <w:t>Ha de rechazarse igualmente, sin necesidad de un mayor examen, la presunta lesión del art. 25 C.E., no aplicable al presente caso.  No se ha privado a la demandante, por vía de pena, de un derecho preexistente, sino que, precisamente se discute en el proceso la existencia de ese derecho (STC 68/1982).  La denegación del derecho a percibir la pensión de viudedad sólo es consecuencia de la aplicación de la norma en que basa su pretensión la actora, lo que en modo alguno puede considerarse una pena o sanción a los efectos del precepto constitucional invocado.</w:t>
      </w:r>
    </w:p>
    <w:p w:rsidR="00FE0907" w:rsidRDefault="00FE0907" w:rsidP="00FE0907">
      <w:pPr>
        <w:pStyle w:val="TextoNormal"/>
      </w:pPr>
    </w:p>
    <w:p w:rsidR="00FE0907" w:rsidRDefault="00FE0907" w:rsidP="00FE0907">
      <w:pPr>
        <w:pStyle w:val="TextoNormal"/>
      </w:pPr>
      <w:r w:rsidRPr="00FE0907">
        <w:rPr>
          <w:rStyle w:val="NumeroAFNegritaCaracter"/>
        </w:rPr>
        <w:t>4</w:t>
      </w:r>
      <w:r>
        <w:t>. No resulta claro si la infracción del derecho fundamental que se denuncia se refiere al derecho a la igualdad en la Ley o al derecho a la igualdad en la aplicación de la Ley.</w:t>
      </w:r>
    </w:p>
    <w:p w:rsidR="00FE0907" w:rsidRDefault="00FE0907" w:rsidP="00FE0907">
      <w:pPr>
        <w:pStyle w:val="TextoNormal"/>
      </w:pPr>
      <w:r>
        <w:t>Ha de excluirse que exista violación del derecho a la igualdad en la aplicación de la Ley, puesto que no se denuncia ningún apartamiento singular para este caso concreto de la doctrina sentada por el Tribunal Superior de Justicia de Galicia en casos idénticos al presente, término de comparación que resulta indispensable para poder valorar el cambio arbitrario de criterio por parte del órgano judicial que vulneraría esa igualdad en la aplicación de la Ley (SSTC 101/1983, 43/1984, 52/1987, 158/1988, 211/1988 y 68/1989).</w:t>
      </w:r>
    </w:p>
    <w:p w:rsidR="00FE0907" w:rsidRDefault="00FE0907" w:rsidP="00FE0907">
      <w:pPr>
        <w:pStyle w:val="TextoNormal"/>
      </w:pPr>
      <w:r>
        <w:t>Tampoco es claro de qué se hace derivar la desigualdad en la ley a consecuencia de la denegación de la pensión de viudedad solicitada.</w:t>
      </w:r>
    </w:p>
    <w:p w:rsidR="00FE0907" w:rsidRDefault="00FE0907" w:rsidP="00FE0907">
      <w:pPr>
        <w:pStyle w:val="TextoNormal"/>
      </w:pPr>
      <w:r>
        <w:t>Como ya dijimos en la STC 177/1985, han de considerarse supuestos plenamente distintos y diferenciados el de la pensión ordinaria de Seguridad Social que exige como condición para su concesión la existencia de un vínculo matrimonial entre el causante y la persona solicitante y beneficiaria, y el de la pensión extraordinaria prevista en la Disposición adicional décima de la Ley 30/1981, de 7 de julio, en favor del conviviente more uxorio que no hubiera podido contraer matrimonio antes del fallecimiento del causante por impedírselo la legislación hasta entonces vigente basada en la indisolubilidad del vínculo matrimonial.</w:t>
      </w:r>
    </w:p>
    <w:p w:rsidR="00FE0907" w:rsidRDefault="00FE0907" w:rsidP="00FE0907">
      <w:pPr>
        <w:pStyle w:val="TextoNormal"/>
      </w:pPr>
      <w:r>
        <w:t xml:space="preserve">En relación con la pensión ordinaria, la exigencia del vínculo matrimonial a efectos de la obtención del derecho a la pensión de viudedad, no resulta incompatible con el derecho a la igualdad del art. 14 C.E., siendo por tanto constitucional esa exigencia, según ha declarado la STC 184/1990. Por ello, si la alegación de discriminación contenida en la demanda se entendiese referida a esta exigencia del vínculo matrimonial para la pensión de viudedad ordinaria, la demanda habría de ser rechazada, por los argumentos indicados en dicha Sentencia, en la misma línea que las SSTC 29/1991, 30/1991, 31/1991, 35/1991, 38/1991 y 77/1991, y ello sin perjuicio de que en relación con la situación personal de </w:t>
      </w:r>
      <w:r>
        <w:lastRenderedPageBreak/>
        <w:t>necesidad que expone la recurrente pudiera tener abierto el acceso a una pensión de carácter no contributivo.</w:t>
      </w:r>
    </w:p>
    <w:p w:rsidR="00FE0907" w:rsidRDefault="00FE0907" w:rsidP="00FE0907">
      <w:pPr>
        <w:pStyle w:val="TextoNormal"/>
      </w:pPr>
    </w:p>
    <w:p w:rsidR="00FE0907" w:rsidRDefault="00FE0907" w:rsidP="00FE0907">
      <w:pPr>
        <w:pStyle w:val="TextoNormal"/>
      </w:pPr>
      <w:r w:rsidRPr="00FE0907">
        <w:rPr>
          <w:rStyle w:val="NumeroAFNegritaCaracter"/>
        </w:rPr>
        <w:t>5</w:t>
      </w:r>
      <w:r>
        <w:t>. El razonamiento central de la demanda, y también del escrito de alegaciones del Ministerio Fiscal en favor de la estimación del amparo, trata de fundamentar la obtención de la pensión de viudedad en la Disposición adicional décima de la Ley 30/1981, que asegura una pensión en caso de convivencia more uxorio no regularizada a consecuencia de la existencia de obstáculos legales, que la propia ley suprime y que impidieron en su momento la regularización, mediante el matrimonio, de esa situación de convivencia.</w:t>
      </w:r>
    </w:p>
    <w:p w:rsidR="00FE0907" w:rsidRDefault="00FE0907" w:rsidP="00FE0907">
      <w:pPr>
        <w:pStyle w:val="TextoNormal"/>
      </w:pPr>
      <w:r>
        <w:t>Según la demanda el Tribunal habría hecho una interpretación del precepto contraria al art.  14 C.E.  al introducir un factor discriminatorio carente de todo fundamento legal, el que la regularización se produjera en un determinado plazo, siendo así que en el presente caso se había intentado regularizar la situación de convivencia antes del fallecimiento del causante, aunque no se hubiese conseguido debido al curso temporal de los correspondientes trámites judiciales. Se invoca al respecto, también por el Ministerio Fiscal, la doctrina contenida en la STC 260/1988.</w:t>
      </w:r>
    </w:p>
    <w:p w:rsidR="00FE0907" w:rsidRDefault="00FE0907" w:rsidP="00FE0907">
      <w:pPr>
        <w:pStyle w:val="TextoNormal"/>
      </w:pPr>
      <w:r>
        <w:t>Han de tenerse en cuenta, sin embargo, las particulares circunstancias del caso resuelto en aquella Sentencia, pues la concesión del amparo entonces estaba en directa conexión con las singularidades del supuesto fáctico contemplado, la iniciación inmediata de los trámites judiciales del divorcio, tras la entrada en vigor de la Ley 30/1981, y el que la Sentencia sólo se dictase el 19 de enero de 1982, cinco días después del fallecimiento del causante. El haber adoptado a tiempo las medidas conducentes a la obtención del divorcio, con la clara intención de regularizar la situación de convivencia, llevó al Tribunal Constitucional a afirmar que el mero retraso en la tramitación judicial no podía ser un criterio de distinción constitucionalmente legítimo para fundamentar la exclusión del derecho a la pensión extraordinaria de viudedad concedida por la citada Disposición adicional.  Puesto que la admisión legal del divorcio "no determina automáticamente la posibilidad de convertir la unión extramatrimonial en vínculo conyugal", sino que requiere "unos trámites procedimentales que se prolongan en el tiempo", por exigencias del principio constitucional de igualdad, han de considerarse situaciones equiparables de imposibilidad legal de regularización mediante el matrimonio de la situación de convivencia, los casos en los que aunque el fallecimiento del causante fuera posterior a la entrada en vigor de la Ley 30/1981, aún no había dado tiempo para finalizar los trámites judiciales oportunos para la obtención del divorcio, iniciados inmediatamente, y regularizar mediante el matrimonio la situación de convivencia. El respeto al principio de igualdad lleva a esta interpretación funcional, correctora del precepto que incluye también, de acuerdo a la finalidad del precepto, situaciones transitorias de imposibilidad por falta material de tiempo de regularizar la situación de convivencia extramatrimonial.</w:t>
      </w:r>
    </w:p>
    <w:p w:rsidR="00FE0907" w:rsidRDefault="00FE0907" w:rsidP="00FE0907">
      <w:pPr>
        <w:pStyle w:val="TextoNormal"/>
      </w:pPr>
      <w:r>
        <w:t>Estas circunstancias excepcionales, que han de ponerse en conexión con la situación transitoria provocada por el trascendental cambio normativo, no se dan en el presente caso, en el que no se iniciaron inmediatamente los trámites judiciales de divorcio ni se ha alegado que desde la fecha de entrada en vigor de la Ley hasta el momento muy posterior de iniciar los trámites del divorcio, haya existido una auténtica imposibilidad física o material que justificara ese amplio lapso de tiempo transcurrido. No cabe equiparar, por tanto, el presente supuesto a los de la imposibilidad de regularizar la situación de convivencia por la insuficiencia de tiempo transcurrido desde el momento de entrada en vigor de la Ley 30/1981, contemplado en la STC 260/1988.</w:t>
      </w:r>
    </w:p>
    <w:p w:rsidR="00FE0907" w:rsidRDefault="00FE0907" w:rsidP="00FE0907">
      <w:pPr>
        <w:pStyle w:val="TextoNormal"/>
      </w:pPr>
      <w:r>
        <w:lastRenderedPageBreak/>
        <w:t>En consecuencia, no puede imputarse al órgano judicial que haya introducido arbitrariamente un elemento de distinción no existente en la norma, cuya constitucionalidad ni siquiera se cuestiona.  Antes bien, ha considerado razonablemente la existencia de una diferencia objetiva entre el presente supuesto y el resuelto en la STC 260/1988, el largo tiempo transcurrido desde la entrada en vigor de la Ley y el inicio voluntario de las gestiones tendentes a la disolución del vínculo matrimonial anterior, imputando a la voluntaria pasividad y no a la imposibilidad, la no regularización a tiempo de su situación de convivencia.</w:t>
      </w:r>
    </w:p>
    <w:p w:rsidR="00FE0907" w:rsidRDefault="00FE0907" w:rsidP="00FE0907">
      <w:pPr>
        <w:pStyle w:val="TextoNormal"/>
      </w:pPr>
      <w:r>
        <w:t>La pretensión de la recurrente es hacer decir a la norma lo que la norma no ha dicho, ni ha querido decir, ni es congruente con su finalidad: que basta la manifestación de la intención de contraer matrimonio y de iniciar en cualquier momento el procedimiento conducente a la obtención del divorcio para consolidar el derecho a una pensión de viudedad, cuyo carácter extraordinario indica la voluntad legal explícita de poner remedio a situaciones pasadas, pero no de extenderse, con voluntad de continuidad, a situaciones presentes y futuras.</w:t>
      </w:r>
    </w:p>
    <w:p w:rsidR="00FE0907" w:rsidRDefault="00FE0907" w:rsidP="00FE0907">
      <w:pPr>
        <w:pStyle w:val="TextoNormal"/>
      </w:pPr>
      <w:r>
        <w:t>Por todo ello, la Sentencia del Tribunal Superior de Justicia de Galicia aquí impugnada no ha lesionado el derecho a la igualdad del art. 14 C.E., y procede, en consecuencia, la desestimación de la demanda.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nueve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3" w:name="SENTENCIA_1992_30"/>
      <w:r>
        <w:lastRenderedPageBreak/>
        <w:t>SENTENCIA 30/1992, de 18 de marzo de 1992</w:t>
      </w:r>
    </w:p>
    <w:bookmarkEnd w:id="33"/>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ECLI:ES:TC:1992:30</w:t>
      </w:r>
    </w:p>
    <w:p w:rsidR="00FE0907" w:rsidRDefault="00FE0907" w:rsidP="00FE0907">
      <w:pPr>
        <w:pStyle w:val="SntesisDescriptiva"/>
      </w:pPr>
    </w:p>
    <w:p w:rsidR="00FE0907" w:rsidRDefault="00FE0907" w:rsidP="00FE0907">
      <w:pPr>
        <w:pStyle w:val="SntesisDescriptiva"/>
      </w:pPr>
      <w:r>
        <w:t>Recurso de amparo 1.764/1988. Contra Sentencia del Tribunal Supremo desestimatoria del recurso de casación contra la dictada por la Magistratura de Trabajo núm. 25 de Madrid en autos sobre despido.</w:t>
      </w:r>
    </w:p>
    <w:p w:rsidR="00FE0907" w:rsidRDefault="00FE0907" w:rsidP="00FE0907">
      <w:pPr>
        <w:pStyle w:val="SntesisDescriptiva"/>
      </w:pPr>
    </w:p>
    <w:p w:rsidR="00FE0907" w:rsidRDefault="00FE0907" w:rsidP="00FE0907">
      <w:pPr>
        <w:pStyle w:val="SntesisAnaltica"/>
      </w:pPr>
      <w:r>
        <w:t>Supuesta vulneración del derecho de libertad sindical: titularidad del derecho de audiencia consagrado por el art. 10.3.3. L.O.L.S</w:t>
      </w:r>
    </w:p>
    <w:p w:rsidR="00FE0907" w:rsidRDefault="00FE0907" w:rsidP="00FE0907">
      <w:pPr>
        <w:pStyle w:val="SntesisAnaltica"/>
      </w:pPr>
    </w:p>
    <w:p w:rsidR="00FE0907" w:rsidRDefault="00FE0907" w:rsidP="00FE0907">
      <w:pPr>
        <w:pStyle w:val="Extracto"/>
      </w:pPr>
      <w:r>
        <w:t>1.</w:t>
      </w:r>
      <w:r>
        <w:tab/>
        <w:t>Se reitera la doctrina del Tribunal acerca del contenido del derecho de libertad sindical contenida en las SSTC 40/1985, 51/1988 y 127/1989, entre otras [F.J. 3].</w:t>
      </w:r>
    </w:p>
    <w:p w:rsidR="00FE0907" w:rsidRDefault="00FE0907" w:rsidP="00FE0907">
      <w:pPr>
        <w:pStyle w:val="Extracto"/>
      </w:pPr>
    </w:p>
    <w:p w:rsidR="00FE0907" w:rsidRDefault="00FE0907" w:rsidP="00FE0907">
      <w:pPr>
        <w:pStyle w:val="Extracto"/>
      </w:pPr>
      <w:r>
        <w:t>2.</w:t>
      </w:r>
      <w:r>
        <w:tab/>
        <w:t>En cuanto al contenido esencial del derecho de libertad sindical, se ha dicho por este Tribunal que el acceso al recurso de amparo puede reconocerse tanto a los afiliados como a los órganos sindicales por ellos formados -cosa distinta de la que ocurriría, por ejemplo, con el derecho al honor o a la inviolabilidad de domicilio que son de ejercicio estrictamente personal-, ya que el art. 28.1 de la C.E. reconoce no sólo el derecho de los trabajadores individualmente considerados a organizarse sindicalmente -libertad sindical individual-, sino también, el derecho de los Sindicatos constituidos a ejercer aquellas actividades encaminadas a la defensa de sus fines, es decir, a la defensa y promoción de los intereses de los trabajadores -libertad sindical colectiva- [F. J. 4].</w:t>
      </w:r>
    </w:p>
    <w:p w:rsidR="00FE0907" w:rsidRDefault="00FE0907" w:rsidP="00FE0907">
      <w:pPr>
        <w:pStyle w:val="Extracto"/>
      </w:pPr>
    </w:p>
    <w:p w:rsidR="00FE0907" w:rsidRDefault="00FE0907" w:rsidP="00FE0907">
      <w:pPr>
        <w:pStyle w:val="Extracto"/>
      </w:pPr>
      <w:r>
        <w:t>3.</w:t>
      </w:r>
      <w:r>
        <w:tab/>
        <w:t>Por lo que se refiere al contenido adicional de la libertad sindical, su titularidad requiere un examen individualizado. Así, del análisis del art. 10.3. 3 L.O.L.S., ha de concluirse que únicamente el Sindicato, por medio de sus representantes, está legitimado para interponer el recurso de amparo, como consecuencia del presunto incumplimiento del mismo, en cuanto entidad directamente afectada -art. 46.1 LOTC- por la pretendida vulneración de la libertad sindical y, en definitiva, en cuanto titular directo de tal derecho [F. J. 4].</w:t>
      </w:r>
    </w:p>
    <w:p w:rsidR="00FE0907" w:rsidRDefault="00FE0907" w:rsidP="00FE0907">
      <w:pPr>
        <w:pStyle w:val="Extracto"/>
      </w:pPr>
    </w:p>
    <w:p w:rsidR="00FE0907" w:rsidRDefault="00FE0907" w:rsidP="00FE0907">
      <w:pPr>
        <w:pStyle w:val="Extracto"/>
      </w:pPr>
      <w:r>
        <w:t>4.</w:t>
      </w:r>
      <w:r>
        <w:tab/>
        <w:t>Aunque los actos contrarios a los derechos o facultades que integran el contenido adicional de la libertad sindical puedan conceptuarse como vulneración del art. 28.1 C.E., ha de matizarse que no todo incumplimiento de cualquier precepto referido a aquel contenido adicional, por insignificante que sea, integra el núcleo de la libertad sindical a efectos de la admisión del recurso de amparo, pues como señala la STC 51/1988 «...tal violación se dará cuando tales impedimentos u obstaculizaciones existan y no obedezcan a razones atendibles de protección de derechos e intereses constitucionalmente previstos que el autor de la norma legal o reglamentaria ha podido tomar en consideración» [F.J. 5].</w:t>
      </w:r>
    </w:p>
    <w:p w:rsidR="00FE0907" w:rsidRDefault="00FE0907" w:rsidP="00FE0907">
      <w:pPr>
        <w:pStyle w:val="Extracto"/>
      </w:pPr>
    </w:p>
    <w:p w:rsidR="00FE0907" w:rsidRDefault="00FE0907" w:rsidP="00FE0907">
      <w:pPr>
        <w:pStyle w:val="Extracto"/>
      </w:pPr>
      <w:r>
        <w:t>5.</w:t>
      </w:r>
      <w:r>
        <w:tab/>
        <w:t>No se puede hacer recaer en la Empresa la obligación de notificar al Delegado Sindical correspondiente el despido de un trabajador afiliado, pues dicha obliga</w:t>
      </w:r>
      <w:r>
        <w:lastRenderedPageBreak/>
        <w:t>ción sólo puede surgir cuando el trabajador, al menos, ha puesto en conocimiento del empresario su condición de afiliado a un Sindicato [F.J. 6].</w:t>
      </w:r>
    </w:p>
    <w:p w:rsidR="00FE0907" w:rsidRDefault="00FE0907" w:rsidP="00FE0907">
      <w:pPr>
        <w:pStyle w:val="Extracto"/>
      </w:pPr>
    </w:p>
    <w:p w:rsidR="00FE0907" w:rsidRDefault="00FE0907" w:rsidP="00FE0907">
      <w:pPr>
        <w:pStyle w:val="Extracto"/>
      </w:pPr>
      <w:r>
        <w:t>6.</w:t>
      </w:r>
      <w:r>
        <w:tab/>
        <w:t>Si bien en un primer momento este Tribunal entendió aplicable el derecho a la presunción de inocencia al proceso laboral, posteriormente ha rectificado y es hoy doctrina uniforme el considerar aplicable la presunción de inocencia exclusivamente en el ámbito del proceso penal [F.J. 7].</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y don Carlos de la Vega Benayas, don Fernando García-Mon y González-Regueral,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1.764/88, promovido por don Cesáreo Martín Sánchez, representado por el Procurador de los Tribunales don Rafael Rodríguez Montaut y asistido por el Letrado don Emilio Palomo Balda, contra la Sentencia de la Sala Sexta del Tribunal Supremo de 14 de junio de 1988 que desestima el recurso de casación interpuesto contra la dictada por la Magistratura de Trabajo núm. 25 de Madrid el 4 de mayo de 1987 en autos sobre despido. Ha comparecido la Sociedad Española de Gestión de Restaurantes S.A. -SEGRESA- representada por la Procuradora doña María del Carmen Hijosa Martínez y asistida por el Letrado don Federico García y García Santamarina, así como el Ministerio Fiscal y ha sido Ponente el Magistrado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día 5 de noviembre de 1988 tuvo entrada en este Tribunal demanda de amparo contra las resoluciones referidas, en las que se solicitaba la nulidad de dichas Sentencias por vulnerar los derechos fundamentales de libertad sindical -art. 28.1 C.E.- y de presunción de inocencia -art. 24.2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recurso de amparo se contrae, en síntesis, a los siguientes hechos: </w:t>
      </w:r>
    </w:p>
    <w:p w:rsidR="00FE0907" w:rsidRDefault="00FE0907" w:rsidP="00FE0907">
      <w:pPr>
        <w:pStyle w:val="TextoNormal"/>
      </w:pPr>
      <w:r>
        <w:t xml:space="preserve">a) El actor, que prestaba sus servicios para la Empresa SEGRESA desde noviembre de 1972, con la categoría profesional de dependiente 1ª; y en las cafeterías del Aeropuerto de Madrid-Barajas, fue despedido el día 1 de marzo de 1987 mediante comunicación escrita en la que se le imputaba la falsedad del certificado judicial presentado para justificar su inasistencia al trabajo durante los días 10 y 11 de febrero anterior. </w:t>
      </w:r>
    </w:p>
    <w:p w:rsidR="00FE0907" w:rsidRDefault="00FE0907" w:rsidP="00FE0907">
      <w:pPr>
        <w:pStyle w:val="TextoNormal"/>
      </w:pPr>
      <w:r>
        <w:lastRenderedPageBreak/>
        <w:t xml:space="preserve">b) Tras la celebración del preceptivo acto de conciliación ante la Dirección Provincial de Mediación, Arbitraje y Conciliación, que concluyó con el resultado de intentado sin efecto, el recurrente presentó demanda ante la Magistratura de Trabajo solicitando la declaración de nulidad -o subsidiaria improcedencia- de su despido. </w:t>
      </w:r>
    </w:p>
    <w:p w:rsidR="00FE0907" w:rsidRDefault="00FE0907" w:rsidP="00FE0907">
      <w:pPr>
        <w:pStyle w:val="TextoNormal"/>
      </w:pPr>
      <w:r>
        <w:t xml:space="preserve">En el hecho tercero de la demanda expresamente se hacía constar que tal despido no había sido notificado previamente al Delegado Sindical de CC.OO. en la Empresa, lo cual conllevaba su nulidad. </w:t>
      </w:r>
    </w:p>
    <w:p w:rsidR="00FE0907" w:rsidRDefault="00FE0907" w:rsidP="00FE0907">
      <w:pPr>
        <w:pStyle w:val="TextoNormal"/>
      </w:pPr>
      <w:r>
        <w:t xml:space="preserve">c) La Magistratura de Trabajo núm. 25 de Madrid, a la que correspondió el conocimiento del asunto, dictó Sentencia con fecha de 4 de mayo de 1987 en la que desestimando aquella demanda, declaró procedente el despido de don Cesáreo Martín. En dicha Sentencia se declaran como hechos probados: la certeza de los hechos relatados en la carta -3º-, la afiliación del actor al Sindicato Comisiones Obreras desde enero de 1987 -4ª-, y el no constar que fuese oído por la empresa previamente al despido el Delegado Sindical correspondiente, si bien el 24 de marzo de 1987 se le comunicó el mencionado despido -5ª-. </w:t>
      </w:r>
    </w:p>
    <w:p w:rsidR="00FE0907" w:rsidRDefault="00FE0907" w:rsidP="00FE0907">
      <w:pPr>
        <w:pStyle w:val="TextoNormal"/>
      </w:pPr>
      <w:r>
        <w:t xml:space="preserve">d) El recurso de casación por infracción de ley interpuesto por el solicitante de amparo contra la anterior, fue desestimado mediante Sentencia de la Sala Sexta del Tribunal Supremo de 14 de junio de 1988, debatida en Sala General, y de la que discreparon cuatro Magistrados a través de la formulación del correspondiente voto particular. </w:t>
      </w:r>
    </w:p>
    <w:p w:rsidR="00FE0907" w:rsidRDefault="00FE0907" w:rsidP="00FE0907">
      <w:pPr>
        <w:pStyle w:val="TextoNormal"/>
      </w:pPr>
      <w:r>
        <w:t xml:space="preserve">Tal Sentencia fundamenta su pronunciamiento desestimatorio, entre otras argumentaciones, en que "los derechos que el art. 10.3.3 L.O.L.S. establece a favor de los delegados sindicales ... no se integran ... en la libertad sindical, pues el contenido de ésta, especificado en su art. 2º, no comprende en ninguno de sus apartados el derecho de los sindicatos a hacer valer las consecuencias jurídicas del desconoci miento por la empresa de los derechos de los delegados", añadiendo el deber de evitar "que la asociación sindical sea utilizada para conseguir un trato discriminatorio, o para facilitar que acciones totalmente ajenas al sindicato y a sus fines se vean favorecidas por la afiliación. A este respecto el caso de autos es paradigmático, pues una acción tan reprochable como presentar falsos justificantes de un Juzgado para cubrir faltas al trabajo se vería protegida por el hecho de la afiliación sindical de su autor". </w:t>
      </w:r>
    </w:p>
    <w:p w:rsidR="00FE0907" w:rsidRDefault="00FE0907" w:rsidP="00FE0907">
      <w:pPr>
        <w:pStyle w:val="TextoNormal"/>
      </w:pPr>
      <w:r>
        <w:t xml:space="preserve">El voto particular, por su parte, considera que debe acogerse el primer motivo del recurso de casación -infracción por interpretación errónea del art. 10.3.3 L.O.L.S., en relación con el art. 102.2 de la L.P.L.- </w:t>
      </w:r>
    </w:p>
    <w:p w:rsidR="00FE0907" w:rsidRDefault="00FE0907" w:rsidP="00FE0907">
      <w:pPr>
        <w:pStyle w:val="TextoNormal"/>
      </w:pPr>
      <w:r>
        <w:t>Dicho voto particular, en la cuarta de las razones por las que disiente de la mayoría, expone que "el mero desconocimiento de la audiencia por el empresario no constituye en sí mismo y como conducta aislada un acto calificable como práctica antisindical a los efectos de aplicar el sistema especial de protección que establece el Título V -de la L.O.L.S-. Pero el que la citada garantía no alcance ese grado de protección no significa que carezca de eficacia o que ésta deba limitarse al ámbito de las sanciones administrativas. El art. 10.3.3 de la L.O.L.S. es un precepto de apoyo a la libertad sindical y como tal debe ser aplicado por Jueces y Tribunales ...".</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representación del recurrente considera, en primer lugar, que se ha infringido el derecho del art. 28.1 de la C.E. porque el contenido del art. 10.3.3 de la Ley Orgánica 11/1985 de 2 de agosto -derecho de los delegados sindicales a ser oídos por la empresa previamente a la adopción de medidas de carácter colectivo que afecten a los trabajadores en general, y a los afiliados a su sindicato, en particular, y especialmente en los despidos y sanciones de estos últimos -forma parte del derecho de libertad sindical, pues integrada tal </w:t>
      </w:r>
      <w:r>
        <w:lastRenderedPageBreak/>
        <w:t xml:space="preserve">libertad sindical no solo por un contenido esencial, sino también por un contenido o facultades adicionales, se trata del reconocimiento legal de un medio de acción sindical, adicional de los mínimos indispensables, que atribuye derechos también adicionales, y cuya finalidad es instrumentar la protección del trabajador afiliado. Así, tal derecho reconocido en el art. 10.3.3 de la L.O.L.S. conlleva un doble nivel de titularidad: además del del sindicato -colectivo-, y en concreto el de su delegado en la empresa a ser oído antes de la adopción de sanciones contra los afiliados a su sindicato, también el del trabajador afiliado -individual-, cuya afiliación sea conocida por la empresa, a que antes de sancionarle o despedirle el empresario oiga al delegado del sindicato a que pertenece. Y sin embargo, de la sentencia del Tribunal Supremo impugnada -fundamento jurídico 4º-, parece desprenderse que solo el Delegado Sindical ostenta dicha titularidad. </w:t>
      </w:r>
    </w:p>
    <w:p w:rsidR="00FE0907" w:rsidRDefault="00FE0907" w:rsidP="00FE0907">
      <w:pPr>
        <w:pStyle w:val="TextoNormal"/>
      </w:pPr>
      <w:r>
        <w:t xml:space="preserve">De otra parte, tal derecho reconocido en el art. 10.3.3 L.O.L.S. no supone una discriminación injustificada de los trabajadores no afiliados a un sindicato -o de los que, aun estándolo, no cuenten con Delegado Sindical-, respecto de aquellos que están afiliados y cuentan con Delegado Sindical en la empresa, ya que el art. 28 de la C.E. no impide que el legislador atribuya unos derechos a los trabajadores sindicados, o que el contenido de los derechos de éstos sea diverso al de aquellos que no se sindiquen -STC 68/1982 y 12/1983-, y de otro lado, es posible introducir diferencias entre los propios sindicatos para asegurar la efectividad de la propia actividad que a ellos se les encomienda, siempre que las diferencias se introduzcan con arreglo a criterios objetivos -STC 39/1986-. </w:t>
      </w:r>
    </w:p>
    <w:p w:rsidR="00FE0907" w:rsidRDefault="00FE0907" w:rsidP="00FE0907">
      <w:pPr>
        <w:pStyle w:val="TextoNormal"/>
      </w:pPr>
      <w:r>
        <w:t xml:space="preserve">Por último, y continuando con la infracción del art. 28.1 de la C.E., también alega, contrariamente al criterio mantenido por la Sentencia del Tribunal Supremo, que el repetido trámite de audiencia establecido en el art. 10.3.3 de la L.O.L.S. debe cumplirse, en cualquier caso, sea o no el delegado sindical miembro del Comité de Empresa, y ello con independencia de la información que la empresa deba facilitar al Comité -art. 64.1.6 del Estatuto de los Trabajadores- pues entre el contenido del art. 10.3.3 de la L.O.L.S. y el art. 64.1.6 del E.T. existen importantes diferencias. </w:t>
      </w:r>
    </w:p>
    <w:p w:rsidR="00FE0907" w:rsidRDefault="00FE0907" w:rsidP="00FE0907">
      <w:pPr>
        <w:pStyle w:val="TextoNormal"/>
      </w:pPr>
      <w:r>
        <w:t>En segundo lugar, y respecto a la invocada vulneración del derecho a la presunción de inocencia -art. 24.2 C.E.- se aduce en la demanda que el Magistrado de instancia da como hecho probado que los hechos relatados en la carta de despido son ciertos -que el recurrente presentó un certificado falso de un Juzgado de Instrucción para justificar su ausencia al trabajo durante los días 10 y 11 de febrero de 1987-, cuando no se ha producido actividad probatoria mínima respecto a que fuera realmente dicho demandante quien presentó tal justificante falso. Además éste justificó tal inasistencia al trabajo mediante la presentación de partes médicos de alta y baja, siendo dichos partes sustituidos por un certificado del Juzgado que el actor ni redactó ni presentó. Por ello, continua el recurrente, juega a su favor la presunción de inocencia, al no haberse acreditado que fuera él quien entregó el justificante en el Juzgado.</w:t>
      </w:r>
    </w:p>
    <w:p w:rsidR="00FE0907" w:rsidRDefault="00FE0907" w:rsidP="00FE0907">
      <w:pPr>
        <w:pStyle w:val="TextoNormal"/>
      </w:pPr>
    </w:p>
    <w:p w:rsidR="00FE0907" w:rsidRDefault="00FE0907" w:rsidP="00FE0907">
      <w:pPr>
        <w:pStyle w:val="TextoNormal"/>
      </w:pPr>
      <w:r w:rsidRPr="00FE0907">
        <w:rPr>
          <w:rStyle w:val="NumeroAFNegritaCaracter"/>
        </w:rPr>
        <w:t>4</w:t>
      </w:r>
      <w:r>
        <w:t>. El recurso fue admitido por providencia de la Sección Cuarta de este Tribunal de 23 de enero de 1989, que también acordó tener por personada y por parte a la representación del recurrente, así como, a tenor de lo dispuesto en el art. 51 de la LOTC, la remisión de las actuaciones judiciales y el emplazamiento de los que fueron parte en el proceso precedente para que en el plazo de diez días pudieran comparecer.</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Remitidas las actuaciones judiciales y personada la Procuradora doña María del Carmen Hijosa Martínez en nombre y representación de SEGRESA, por providencia de la Sección Segunda de 3 de abril de 1989 se tuvieron aquellas por recibidas y por personada </w:t>
      </w:r>
      <w:r>
        <w:lastRenderedPageBreak/>
        <w:t>y por parte a dicha representación y conforme al art. 52 de la LOTC, se concedió un plazo común de veinte días al Ministerio Fiscal y a las partes para que formulasen alegaciones.</w:t>
      </w:r>
    </w:p>
    <w:p w:rsidR="00FE0907" w:rsidRDefault="00FE0907" w:rsidP="00FE0907">
      <w:pPr>
        <w:pStyle w:val="TextoNormal"/>
      </w:pPr>
    </w:p>
    <w:p w:rsidR="00FE0907" w:rsidRDefault="00FE0907" w:rsidP="00FE0907">
      <w:pPr>
        <w:pStyle w:val="TextoNormal"/>
      </w:pPr>
      <w:r w:rsidRPr="00FE0907">
        <w:rPr>
          <w:rStyle w:val="NumeroAFNegritaCaracter"/>
        </w:rPr>
        <w:t>6</w:t>
      </w:r>
      <w:r>
        <w:t>. La representación del recurrente, en su escrito de alegaciones presentado el 26 de abril de 1989, da por reproducidas las contenidas en la demanda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En su escrito de alegaciones, presentado el 26 de abril de 1989, el Ministerio Fiscal, tras exponer los hechos, fundamentos del recurso y razonamientos jurídicos tanto de la Sentencia del Tribunal Supremo impugnada como del voto particular, parte de que es indudable la plena aplicación al supuesto de autos de lo dispuesto en el art. 10.3.3 de la L.O.L.S. En efecto, no hay que olvidar que tal precepto se encuadra en el Título IV de la L.O.L.S. que va referido como "de la acción sindical" y ésta, conforme a lo previsto en el art. 2.1 d) de dicha L.O.L.S., se integra en tal libertad sindical. Además, entender que tal previa audiencia del Delegado Sindical no es preceptiva ni obligatoria supondría vaciar de contenido el alcance del precepto. De otra parte, a pesar de las dificultades interpretativas del repetido artículo, y que la jurisprudencia constitucional, en alguna ocasión -ATC 731/1986-, ha declarado no encuadrable en tal libertad sindical las actuaciones de otros sujetos sindicales tales como los Comités de Empresa, sin embargo, el art. 10.3.3 L.O.L.S. parece atribuir en el punto debatido, al Delegado Sindical, una mayor y cualificada presencia que a tales Comités, precisamente por encarnar frente a la empresa y en conexión con sus afiliados la propia acción sindical -y no, como el Comité, una cualidad-institucional-funcional-personal-, es dicha actividad sindical la que el Tribunal Constitucional ha entendido comprendida en el seno del derecho a la libertad sindical -STC 40/1985-, sin que ello suponga una discriminación frente a los trabajadores no afiliados sindicalmente ya que la intervención del Delegado Sindical se justifica, precisamente, por tal derecho a la actividad sindical. En consecuencia, continua el Fiscal, al no reconocer las Sentencias impugnadas la esencialidad de lo preceptuado en el art. 10.3.3 L.O.L.S., han vulnerado el art. 28.1 C.E. </w:t>
      </w:r>
    </w:p>
    <w:p w:rsidR="00FE0907" w:rsidRDefault="00FE0907" w:rsidP="00FE0907">
      <w:pPr>
        <w:pStyle w:val="TextoNormal"/>
      </w:pPr>
      <w:r>
        <w:t xml:space="preserve">Por lo que respecta a la invocada lesión del derecho de presunción de inocencia -art. 24.2 C.E.-, el Ministerio Público sostiene que tal pretensión del demandante no puede prosperar. </w:t>
      </w:r>
    </w:p>
    <w:p w:rsidR="00FE0907" w:rsidRDefault="00FE0907" w:rsidP="00FE0907">
      <w:pPr>
        <w:pStyle w:val="TextoNormal"/>
      </w:pPr>
      <w:r>
        <w:t xml:space="preserve">Y ello tanto por las serias reservas que sobre la recepción de la presunción de inocencia en el orden laboral se establece por la doctrina de este Tribunal Constitucional, al no regir en él el ius punendi del Estado, como porque, conforme a la misma jurisprudencia, tratándose de despido disciplinario, lo que procede es que Jueces y Tribunales constaten la concurrencia de la causa de despido en su fundamentación probatoria, y así ha acontecido en el caso de autos. </w:t>
      </w:r>
    </w:p>
    <w:p w:rsidR="00FE0907" w:rsidRDefault="00FE0907" w:rsidP="00FE0907">
      <w:pPr>
        <w:pStyle w:val="TextoNormal"/>
      </w:pPr>
      <w:r>
        <w:t>Por tanto, concluye el Fiscal, procede se dicte Sentencia en la que se acuerde conceder el amparo por vulnerar las Sentencias recurridas el art. 28.1 de la C.E. y denegarlo respecto a la vulneración del art. 24.2 C.E.</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La representación de SEGRESA presentó sus alegaciones el 24 de abril de 1989. Considera, en primer lugar, que como la pretendida vulneración del derecho de liberad sindical no tiene su origen inmediato y directo en las resoluciones judiciales impugnadas -sino en el despido acordado y las circunstancias en que se produjo-, y además, la pretensión del súplico de la demanda de que se declare la nulidad radical o simple del despido es contraria a la prohibición de conocimiento de los hechos que dieron lugar al proceso por </w:t>
      </w:r>
      <w:r>
        <w:lastRenderedPageBreak/>
        <w:t xml:space="preserve">parte del Tribunal Constitucional, de todo ello se deduce que se vulnera, doblemente, lo preceptuado en el art. 44.1 b) LOTC. </w:t>
      </w:r>
    </w:p>
    <w:p w:rsidR="00FE0907" w:rsidRDefault="00FE0907" w:rsidP="00FE0907">
      <w:pPr>
        <w:pStyle w:val="TextoNormal"/>
      </w:pPr>
      <w:r>
        <w:t xml:space="preserve">De otra parte, sería deseable diferenciar los derechos adicionales de la libertad sindical por su posibilidad o imposibilidad de inclusión indiscriminada en el ámbito de protección del recurso de amparo, de aquellos otros que se incardinan en el núcleo del derecho fundamental del art. 28.1 C.E. En este sentido el Tribunal Supremo ha dictaminado en contra de la integración del derecho reconocido en el art. 10.3.3 L.O.L.S. en el marco de protección conferido a la libertad sindical, y así se interesa se deje ahora sentado, pues de otro modo se acabarían recabando competencias desorbitadas a través de un concepto tan indeterminado como el de "actividad sindical" del art. 2.1 d) de la L.O.L.S. </w:t>
      </w:r>
    </w:p>
    <w:p w:rsidR="00FE0907" w:rsidRDefault="00FE0907" w:rsidP="00FE0907">
      <w:pPr>
        <w:pStyle w:val="TextoNormal"/>
      </w:pPr>
      <w:r>
        <w:t xml:space="preserve">Como es la función social desempeñada por el Delegado Sindical la que justifica el grado de protección que la ley ha de otorgar al ejercicio de los derechos individuales, no tendrá las mismas consecuencias el incumplimiento, por parte de la empresa, de la obligación de oír a aquél dentro de una actuación configurada como práctica antisindical, que el mismo incumplimiento respecto de un despido disciplinario de un trabajador cuya conducta se ha hecho merecedora de la citada medida. La razón es obvia: lo contrario supondría consagrar una discriminación respecto de aquellos trabajadores que, en uso de su libertad sindical, optaron por no afiliarse. </w:t>
      </w:r>
    </w:p>
    <w:p w:rsidR="00FE0907" w:rsidRDefault="00FE0907" w:rsidP="00FE0907">
      <w:pPr>
        <w:pStyle w:val="TextoNormal"/>
      </w:pPr>
      <w:r>
        <w:t xml:space="preserve">Además, de una interpretación literal o gramatical del art. 10.3.3 L.O.L.S., relacionándolo con el art. 64.1.6 del E.T -conforme a la tesis mantenida por el Tribunal Supremo-, parece desprenderse que el que el "derecho de audiencia" del Delegado Sindical sea previo al despido o sanción, no es una exigencia ineludible. Y del análisis del referido art. 10.3.3 de la L.O.L.S. también se deduce que si es el propio trabajador quien no traslada la noticia al Delegado Sindical, pudiendo hacerlo, las consecuencias del incumplimiento deberán recaer sobre él y no sobre el empresario, al no tener este último la obligación formal de efectuar la notificación. En el supuesto de hecho origen del presente recurso, continua argumentando la representación de SEGRESA, se dan las siguientes circunstancias: el trabajador pudo argumentar, defenderse y comunicar lo que ocurría a su Delegado Sindical; no consta que tal recurrente informara sobre su despido a tal Delegado Sindical, o si lo hizo, éste no reaccionó al ser notificado. </w:t>
      </w:r>
    </w:p>
    <w:p w:rsidR="00FE0907" w:rsidRDefault="00FE0907" w:rsidP="00FE0907">
      <w:pPr>
        <w:pStyle w:val="TextoNormal"/>
      </w:pPr>
      <w:r>
        <w:t xml:space="preserve">El Delegado pudo ser oído previamente al despido, sin que se presentara, por lo que su ausencia, en ningún caso puede presumirse como que quiso intervenir y no pudo, o como Que no tuvo acceso a la información pertinente, es más, debe interpretarse que CC.OO no consideró lesionado su derecho de libertad sindical al no plantear acción de ningún tipo -art. 13 L.O.L.S.- y no haber actuado como coadyuvante en el proceso de despido -art. 14 L.O.L.S.-. </w:t>
      </w:r>
    </w:p>
    <w:p w:rsidR="00FE0907" w:rsidRDefault="00FE0907" w:rsidP="00FE0907">
      <w:pPr>
        <w:pStyle w:val="TextoNormal"/>
      </w:pPr>
      <w:r>
        <w:t xml:space="preserve">Todo lo anterior tiene como consecuencia no solo el que no se haya originado indefensión sino el que la inactividad del trabajador no pueda amparar la lesión de su derecho a la libertad sindical. </w:t>
      </w:r>
    </w:p>
    <w:p w:rsidR="00FE0907" w:rsidRDefault="00FE0907" w:rsidP="00FE0907">
      <w:pPr>
        <w:pStyle w:val="TextoNormal"/>
      </w:pPr>
      <w:r>
        <w:t xml:space="preserve">Por lo que se refiere, por último, a la invocada vulneración del derecho de presunción de inocencia del art. 24.2 C.E., el recurrente lo que pretende es hacer valer sus propios criterios, alegando el referido principio, y olvidando que existió una efectiva valoración de la actividad probatoria practicada. </w:t>
      </w:r>
    </w:p>
    <w:p w:rsidR="00FE0907" w:rsidRDefault="00FE0907" w:rsidP="00FE0907">
      <w:pPr>
        <w:pStyle w:val="TextoNormal"/>
      </w:pPr>
      <w:r>
        <w:t>En definitiva, la representación de SEGRESA concluye solicitando se dicte Sentencia en la que se acuerde denegar el amparo pretendido por don Cesáreo Martín Sánchez.</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16 de marzo de 1992 se fijó el día 18 del mismo mes y año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En la presente demanda de amparo se invocan dos diferentes lesiones de derechos constitucionales: la vulneración del derecho de libertad sindical del art. 28.1 de la C.E. y la lesión del derecho de presunción de inocencia del art. 24.2 de la misma.</w:t>
      </w:r>
    </w:p>
    <w:p w:rsidR="00FE0907" w:rsidRDefault="00FE0907" w:rsidP="00FE0907">
      <w:pPr>
        <w:pStyle w:val="TextoNormal"/>
      </w:pPr>
      <w:r>
        <w:t>La libertad sindical se considera infringida porque incumnplió la empresa en el procedimiento de despido del recurrente el requisito establecido en el art.  10.3.3 de la Ley Orgánica de libertad sindical (en cuya virtud, si un trabajador afiliado a un sindicato es despedido, debe ser previamente oído el delegado sindical correspondiente).  En opinión del recurrente dicha omisión debió de haber ocasionado la declaración de nulidad radical del despido efectuado y no la de su procedencia, tal y como efectuan las resoluciones impugnadas .</w:t>
      </w:r>
    </w:p>
    <w:p w:rsidR="00FE0907" w:rsidRDefault="00FE0907" w:rsidP="00FE0907">
      <w:pPr>
        <w:pStyle w:val="TextoNormal"/>
      </w:pPr>
      <w:r>
        <w:t>El derecho de presunción de inocencia se entiende violado, por su parte, porque, en opinión del recurrente, no se practicó prueba suficiente que acreditara que fuera el actor quien redactara y presentara en el Juzgado los certificados judiciales falsos que trataban de justificar su inasistencia al trabajo.</w:t>
      </w:r>
    </w:p>
    <w:p w:rsidR="00FE0907" w:rsidRDefault="00FE0907" w:rsidP="00FE0907">
      <w:pPr>
        <w:pStyle w:val="TextoNormal"/>
      </w:pPr>
    </w:p>
    <w:p w:rsidR="00FE0907" w:rsidRDefault="00FE0907" w:rsidP="00FE0907">
      <w:pPr>
        <w:pStyle w:val="TextoNormal"/>
      </w:pPr>
      <w:r w:rsidRPr="00FE0907">
        <w:rPr>
          <w:rStyle w:val="NumeroAFNegritaCaracter"/>
        </w:rPr>
        <w:t>2</w:t>
      </w:r>
      <w:r>
        <w:t>. Con carácter preliminar y respecto a la causa de inadmisión del art. 44.1 b) LOTC, a la que hace referencia la representación de SEGRESA en su escrito de alegaciones, es suficiente la delimitación del objeto del presente recurso de amparo puesta de manifiesto para que resulte evidente que tal óbice del procedibilidad no puede ser atendido.</w:t>
      </w:r>
    </w:p>
    <w:p w:rsidR="00FE0907" w:rsidRDefault="00FE0907" w:rsidP="00FE0907">
      <w:pPr>
        <w:pStyle w:val="TextoNormal"/>
      </w:pPr>
      <w:r>
        <w:t>En efecto, aunque los hechos examinados tengan su origen en el momento en que el actor fue despedido, sin embargo, la vulneración del derecho a la libertad sindical, y también a la presunción de inocencia, no se predican de aquel momento, sino que se imputan, de modo directo e inmediato, primero a la Sentencia de la Magistratura de Trabajo núm. 25 de Madrid -en virtud de la valoración jurídica que de aquellos hechos efectuó-, y después a la del Pleno del Tribunal Supremo, por desestimar el recurso de casación contra la anterior en base a considerar que no había existido en la de instancia, ni interpretación errónea del art. 10.3.3 de la Ley Orgánica 11/1985, de 8 de agosto, en relación con el art. 102.2 de la L.P.L., ni tampoco violación del derecho a la presunción de inocencia.</w:t>
      </w:r>
    </w:p>
    <w:p w:rsidR="00FE0907" w:rsidRDefault="00FE0907" w:rsidP="00FE0907">
      <w:pPr>
        <w:pStyle w:val="TextoNormal"/>
      </w:pPr>
    </w:p>
    <w:p w:rsidR="00FE0907" w:rsidRDefault="00FE0907" w:rsidP="00FE0907">
      <w:pPr>
        <w:pStyle w:val="TextoNormal"/>
      </w:pPr>
      <w:r w:rsidRPr="00FE0907">
        <w:rPr>
          <w:rStyle w:val="NumeroAFNegritaCaracter"/>
        </w:rPr>
        <w:t>3</w:t>
      </w:r>
      <w:r>
        <w:t>. La primera infracción constitucional aducida es la del art.  28.1 de la C.E. El adecuado análisis de tal cuestión exige una sucinta referencia a la doctrina de este Tribunal respecto a tal derecho fundamental. Así la STC 40/1985 declara que tal derecho de libertad sindical comprende, no solo el derecho de los trabajadores a organizarse sindicalmente, sino además el derecho de los sindicatos a ejercer aquellas actividades que permitan la defensa y protección de los intereses de los trabajadores, pues la libertad sindical implica la libertad en el ejercicio de la acción sindical, ésto es, aquellos medios de acción que contribuyan a que el sindicato pueda desenvolver la actividad a la que es llamado por el propio Texto constitucional -STC 39/1986-.</w:t>
      </w:r>
    </w:p>
    <w:p w:rsidR="00FE0907" w:rsidRDefault="00FE0907" w:rsidP="00FE0907">
      <w:pPr>
        <w:pStyle w:val="TextoNormal"/>
      </w:pPr>
      <w:r>
        <w:t>La STC 51/1988, que a su vez hace referencia a lo dispuesto en las SSTC 39/1986, 104/1987, 184/1987 y 9/1988, y cuya jurisprudencia es citada también en la STC 127/1989, establece al respecto lo siguiente: el art. 28.1 C.E.  integra derechos de actividad y medios de acción de los Sindicatos -huelga, negociación colectiva, promoción de conflictos- que, por contribuir de forma primordial a que el Sindicato pueda desarrollar las funciones a las que es llamado por el art.  7 de la Constitución, constituyen el núcleo mí</w:t>
      </w:r>
      <w:r>
        <w:lastRenderedPageBreak/>
        <w:t>nimo e indisponible de la libertad sindical, sin el cual ese derecho no sería recognoscible.  Junto a los anteriores medios de acción sindical, los Sindicatos pueden ostentar derechos o facultades adicionales atribuidas por normas o Convenios que pasen a engrosar o añadirse a aquel núcleo esencial -participación institucional, facultad de los sindicatos para promover y participar en las elecciones para órganos de representación de los trabajadores-.  El reconocimiento o creación de un medio de acción sindical, adicional a los mínimos indispensables y que atribuye a los sindicatos facultades o derechos también adicionales, impide alegar que afecten al contenido esencial de la libertad sindical los actos singulares de aplicación o inaplicación, en su caso, de la norma con efecto impeditivo, obstaculizador o limitativo del ejercicio de tales derechos; pero el derecho fundamental se integra, no sólo por su contenido esencial, sino también por esos derechos o facultades adicionales, de modo que los actos contrarios a estos últimos, sí son susceptibles de infringir dicho art. 28.1 C.E. Ahora bien, como tales derechos o facultades adicionales sobrepasan o no forman parte del contenido esencial de la libertad sindical, su configuración legal o convencional no está sujeta a más límite que el de no vulnerar su contenido.</w:t>
      </w:r>
    </w:p>
    <w:p w:rsidR="00FE0907" w:rsidRDefault="00FE0907" w:rsidP="00FE0907">
      <w:pPr>
        <w:pStyle w:val="TextoNormal"/>
      </w:pPr>
    </w:p>
    <w:p w:rsidR="00FE0907" w:rsidRDefault="00FE0907" w:rsidP="00FE0907">
      <w:pPr>
        <w:pStyle w:val="TextoNormal"/>
      </w:pPr>
      <w:r w:rsidRPr="00FE0907">
        <w:rPr>
          <w:rStyle w:val="NumeroAFNegritaCaracter"/>
        </w:rPr>
        <w:t>4</w:t>
      </w:r>
      <w:r>
        <w:t>. Conforme a la doctrina anterior y puesto que la demanda de amparo considera lesionado el derecho de libertad sindical, en definitiva, por no haberse dado cumplimiento a lo dispuesto en el art. 10.3.3 de la L.O. 11/1985 de 8 de agosto -L.O.L.S.-, en principio, no ofrece duda alguna la inclusión de tal disposición dentro de las facultades o derechos adicionales de la libertad sindical. Ahora bien, como el art. 10.3 de dicha L.O.L.S.  establece que "los delegados sindicales ...  tendrán las mismas garantías que las establecidas legalmente para los miembros del comité de empresa ... así como los siguientes derechos: 3º.  Ser oídos por la empresa previamente a la adopción de medidas de carácter colectivo que afecten a los trabajadores en general y a los afiliados a su sindicato, en particular, y especialmente en los despidos y sanciones de estos últimos", el primer problema que plantea el análisis del precepto, y que debe ser resuelto con carácter previo, es el de la titularidad de dicho derecho del art. 10.3.3 L.O.L.S., esto es, ¿está el trabajador legitimado para, en base a un pretendido incumplimiento de dicha disposición, impetrar el amparo del Tribunal Constitucional?. Si se considera que el trabajador no es titular del derecho, no se trata ya de si tal libertad sindical ha sido o no vulnerada, sino más sencillamente de que la lesión no podría ser invocada por el demandante, sino únicamente por el titular del derecho.</w:t>
      </w:r>
    </w:p>
    <w:p w:rsidR="00FE0907" w:rsidRDefault="00FE0907" w:rsidP="00FE0907">
      <w:pPr>
        <w:pStyle w:val="TextoNormal"/>
      </w:pPr>
      <w:r>
        <w:t>De modo genérico, el art. 162 de la C.E. faculta el acceso al recurso de amparo a quienes ostenten un interés legítimo, y en cuanto al derecho de libertad sindical, se ha dicho por este Tribunal, más concretamente, que puede reconocerse tanto a los afiliados como a los órganos sindicales por ellos formados -cosa distinta de lo que ocurriría, por ejemplo, con el derecho al honor o a la inviolabilidad de domicilio que son de ejercicio estrictamente personal- -ATC 942/1985-.  Lo anterior deriva de que el art. 28.1 de la C.E.  reconoce no sólo el derecho de los trabajadores individualmente considerados a organizarse sindicalmente, de modo que pueden constituir sindicatos, afiliarse a los de su elección o no afiliarse -libertad sindical individual-, sino también el derecho de los sindicatos constituidos a ejercer aquellas actividades encaminadas a la defensa de sus fines, es decir, a la defensa y promoción de los intereses de los trabajadores -libertad sindical colectiva-.  Ambas manifestaciones de la libertad sindical se diferencian netamente por la propia estructura del derecho, pues en el último caso la titularidad del mismo corresponde no solo a los trabajadores, sino también a las organizaciones sindicales -ATC 731/1986-.</w:t>
      </w:r>
    </w:p>
    <w:p w:rsidR="00FE0907" w:rsidRDefault="00FE0907" w:rsidP="00FE0907">
      <w:pPr>
        <w:pStyle w:val="TextoNormal"/>
      </w:pPr>
      <w:r>
        <w:t xml:space="preserve">Ahora bien, así como lo anterior resulta indiscutible respecto del contenido esencial o núcleo mínimo de la libertad sindical, y a él hace referencia, otra cosa debe predicarse </w:t>
      </w:r>
      <w:r>
        <w:lastRenderedPageBreak/>
        <w:t>respecto del contenido adicional de dicha libertad sindical, pues al ser éste variable o provisional y estar constituido por normas infraconstitucionales, cada uno de los derechos o facultades que integran el referido contenido adicional requiere un examen individualizado respecto a su titularidad, y así es como, del análisis del repetido art. 10.3 de la L.O.L.S. en relación con el apartado 3 del mismo, no puede sino concluirse que solo los delegados sindicales son titulares del derecho consagrado en tal disposición, ya que, a quien le corresponde prestar audiencia es al Sindicato -y no al trabajador-, quien, además no está obligado a emitir informe alguno, por lo que nos encontramos ante un derecho de la exclusiva titularidad y disponibilidad del sindicato concerniente.  De todo lo cual se infiere que únicamente el sindicato, por medio de sus representantes, está legitimado para interponer el recurso de amparo, como consecuencia del presunto incumplimiento del art. 10.3.3 L.O.L.S., en cuanto entidad directamente afectada -art.  46.1 LOTC- por la pretendida vulneración de la libertad sindical y en definitiva, en cuanto titular directo de tal derecho.</w:t>
      </w:r>
    </w:p>
    <w:p w:rsidR="00FE0907" w:rsidRDefault="00FE0907" w:rsidP="00FE0907">
      <w:pPr>
        <w:pStyle w:val="TextoNormal"/>
      </w:pPr>
    </w:p>
    <w:p w:rsidR="00FE0907" w:rsidRDefault="00FE0907" w:rsidP="00FE0907">
      <w:pPr>
        <w:pStyle w:val="TextoNormal"/>
      </w:pPr>
      <w:r w:rsidRPr="00FE0907">
        <w:rPr>
          <w:rStyle w:val="NumeroAFNegritaCaracter"/>
        </w:rPr>
        <w:t>5</w:t>
      </w:r>
      <w:r>
        <w:t>. Además de lo anterior, y entroncando con la jurisprudencia expuesta en el segundo de los fundamentos de derecho de esta resolución respecto de los contenidos esencial y adicional del derecho del art. 28.1 de la C.E., es necesario efectuar la siguiente precisión:</w:t>
      </w:r>
    </w:p>
    <w:p w:rsidR="00FE0907" w:rsidRDefault="00FE0907" w:rsidP="00FE0907">
      <w:pPr>
        <w:pStyle w:val="TextoNormal"/>
      </w:pPr>
      <w:r>
        <w:t>Aunque los actos contrarios a los derechos o facultades que integran el contenido adicional de la libertad sindical puedan conceptuarse como vulneración del art. 28.1 C.E., ha de matizarse que no todo incumplimiento de cualquier precepto referido a aquel contenido adicional, por insignificante que sea, integra el núcleo de la libertad sindical a efectos de la admisión del recurso de amparo, pues como señala la SSTC 51/1988 "... tal violación se dará cuando tales impedimentos u obstaculizaciones existan y no obedezcan a razones atendibles de protección de derechos e intereses constitucionalmente previstos que el autor de la norma legal o reglamentaria ha podido tomar en consideración".  Y en el mismo sentido las SSTC 187/1987 y 235/1988 han declarado que no toda reducción de las posibilidades de acción o de la capacidad de obrar de un sindicato puede calificarse de atentado a la libertad sindical, sino que es preciso que esas eventuales restricciones sean arbitrarias, injustificadas o contrarias a la ley.</w:t>
      </w:r>
    </w:p>
    <w:p w:rsidR="00FE0907" w:rsidRDefault="00FE0907" w:rsidP="00FE0907">
      <w:pPr>
        <w:pStyle w:val="TextoNormal"/>
      </w:pPr>
    </w:p>
    <w:p w:rsidR="00FE0907" w:rsidRDefault="00FE0907" w:rsidP="00FE0907">
      <w:pPr>
        <w:pStyle w:val="TextoNormal"/>
      </w:pPr>
      <w:r w:rsidRPr="00FE0907">
        <w:rPr>
          <w:rStyle w:val="NumeroAFNegritaCaracter"/>
        </w:rPr>
        <w:t>6</w:t>
      </w:r>
      <w:r>
        <w:t>. El adecuado análisis de la cuestión planteada exige también poner de manifiesto cual es el significado y alcance del art. 10.3.3 L.O.L.S., pues tal finalidad, según se desprende de los razonamientos del voto particular, no es tanto la de configurar una información general de los delegados sindicales sino instrumentar una protección del trabajador afiliado, en la medida en que la intervención previa del órgano sindical permita a éste ejercer un control, aunque solo sea en audiencia, sobre la decisión empresarial y desarrollar oportunamente una defensa eficaz de sus afiliados. En el mismo sentido la doctrina ha señalado que tal finalidad consiste en otorgar una protección adicional al trabajador sindicado para que no se vea restringido, limitado o coartado en el pleno ejercicio de su derecho de libertad sindical tipificado en el art.  2.1 de la L.O.L.S. en línea con la protección conferida por el Convenio núm. 87 de la OIT.</w:t>
      </w:r>
    </w:p>
    <w:p w:rsidR="00FE0907" w:rsidRDefault="00FE0907" w:rsidP="00FE0907">
      <w:pPr>
        <w:pStyle w:val="TextoNormal"/>
      </w:pPr>
      <w:r>
        <w:t>Pero, aun admitiendo la validez de dicha interpretación teleológica, facilmente se comprende que, en el caso que nos ocupa, el trabajador no dispensó la necesaria actividad de levantamiento de las cargas inherentes al cumplimiento de aquella finalidad.  De este modo, según se desprende de las actuaciones, es evidente, en primer lugar, que no hay indicio alguno de que el trabajador hubiera puesto de manifiesto a la empresa SEGRESA el hecho de su afiliación al Sindicato -art.  108.2 c) nueva L.P.L.-; además, tampoco hay constancia de que tal demandante comunicara al Delegado Sindical de CC.OO. en la empresa, la exis</w:t>
      </w:r>
      <w:r>
        <w:lastRenderedPageBreak/>
        <w:t>tencia de su despido -ni con anterioridad al planteamiento de la demanda, ni tampoco con posterioridad, antes de la celebración del juicio-.  Debido a tales incumplimientos, no se puede hacer recaer en la empresa la obligación de notificar al Delegado Sindical correspondiente el despido de un trabajador afiliado, pues dicha obligación solo puede surgir cuando el trabajador, al menos, ha puesto en conocimiento del empresario su condición de afiliado a un sindicato.</w:t>
      </w:r>
    </w:p>
    <w:p w:rsidR="00FE0907" w:rsidRDefault="00FE0907" w:rsidP="00FE0907">
      <w:pPr>
        <w:pStyle w:val="TextoNormal"/>
      </w:pPr>
      <w:r>
        <w:t>De otra parte, el trabajador-recurrente, a quien se comunicó en debida forma el despido, tuvo, en todo momento, la posibilidad de alegar y probar lo que estimó conveniente para la defensa de sus derechos e intereses legítimos, tanto en el acto del juicio -en el que, no obstante, quedó meridianamente acreditado su grave incumplimiento contractual, según se desprende de las resoluciones judiciales impugnadas-, como previamente, mediante la celebración del acto de conciliación ante la Dirección Provincial de Mediación, Arbitraje y Conciliación, por lo que en modo alguno se le produjo indefensión.</w:t>
      </w:r>
    </w:p>
    <w:p w:rsidR="00FE0907" w:rsidRDefault="00FE0907" w:rsidP="00FE0907">
      <w:pPr>
        <w:pStyle w:val="TextoNormal"/>
      </w:pPr>
      <w:r>
        <w:t>En cualquier caso, aun cuando el Delegado Sindical nunca hizo uso del repetido derecho de audiencia, ni reaccionó respecto al incumplimiento del art. 10.3.3 L.O.L.S, como consta que el despido se fundó en razones absolutamente ajenas a la actividad o hecho sindical -presentar certificados judiciales falsos para intentar justificar la falta de asistencia al trabajo-, dicho derecho de audiencia hubiera devenido absolutamente innecesario, tal y como lo demuestra la circunstancia de que cuando el despido fue comunicado con posterioridad al Sindicato CC.OO., dicho Sindicato, titular del derecho de audiencia, no reaccionó frente a tal supuesta infracción de la libertad sindical, pues, de entender producida la lesión, debió de haber ejercitado las correspondientes acciones judiciales -que la ley expresamente le confiere: arts. 13 y 14 L.O.L.S. y arts. y 174 y ss.  de la nueva Ley de Procedimiento Laboral- o, al menos, haber comparecido en este recurso para sostener la pretensión de amparo, lo que tampoco ha hecho.</w:t>
      </w:r>
    </w:p>
    <w:p w:rsidR="00FE0907" w:rsidRDefault="00FE0907" w:rsidP="00FE0907">
      <w:pPr>
        <w:pStyle w:val="TextoNormal"/>
      </w:pPr>
      <w:r>
        <w:t>Por consiguiente, cabe estimar cumplida la finalidad y alcance del art. 10.3.3 L.O.L.S. en las actuaciones judiciales previas al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Por lo que hace referencia, para concluir, a la vulneración del derecho de presunción de inocencia -art. 24.2. C.E.- también invocado en la demanda, debe partirse del alcance específico y en cierto modo restrictivo que el derecho de presunción de inocencia tiene en el ámbito laboral, pues su campo de aplicación natural es el proceso penal (y, por extensión, el procedimiento administrativo sancionador) y, si bien en un primer momento este Tribunal entendió aplicable tal derecho a dicha clase de procesos en tanto en cuanto la jurisprudencia laboral ha venido y viene sosteniéndolo, posteriormente ha rectificado y es hoy doctrina uniforme el considerar aplicable la presunción de inocencia exclusivamente en el ámbito del proceso penal.  Dicha doctrina se funda, esencialmente, de un lado, en que el despido no es más que una resolución contractual y por tanto no conlleva la aplicación del derecho penal administrativo, y, de otro,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-en este sentido AATC 213/1982 y 351/1989 y STC 81/1988-.  Además, como se ha dicho también reiteradamente por este Tribunal, dicho procedimiento laboral se rige por el principio dispositivo y, en él, no se ejerce el ius puniendi del Estado.</w:t>
      </w:r>
    </w:p>
    <w:p w:rsidR="00FE0907" w:rsidRDefault="00FE0907" w:rsidP="00FE0907">
      <w:pPr>
        <w:pStyle w:val="TextoNormal"/>
      </w:pPr>
      <w:r>
        <w:t xml:space="preserve">Lo anteriormente expuesto es suficiente para desestimar el amparo por la alegada causa de presunta infracción de la presunción de inocencia, pero, con independencia de todo ello, de las actuaciones se deduce que hubo actividad probatoria basada fundamentalmente </w:t>
      </w:r>
      <w:r>
        <w:lastRenderedPageBreak/>
        <w:t>en la circunstancia de que fue el recurrente quien presentó a la empresa una inexistente citación judicial para justificar su inasistencia al trabajo.  Dicha actuación, cuando menos, es contraria a la buena fe contractual.</w:t>
      </w:r>
    </w:p>
    <w:p w:rsidR="00FE0907" w:rsidRDefault="00FE0907" w:rsidP="00FE0907">
      <w:pPr>
        <w:pStyle w:val="TextoNormal"/>
      </w:pPr>
      <w:r>
        <w:t>Por todo ello, esta segunda queja de amparo tampoco puede ser estimada.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interpuesto por don CESAREO MARTIN SANCHEZ.</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dieciocho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4" w:name="SENTENCIA_1992_31"/>
      <w:r>
        <w:lastRenderedPageBreak/>
        <w:t>SENTENCIA 31/1992, de 18 de marzo de 1992</w:t>
      </w:r>
    </w:p>
    <w:bookmarkEnd w:id="34"/>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ECLI:ES:TC:1992:31</w:t>
      </w:r>
    </w:p>
    <w:p w:rsidR="00FE0907" w:rsidRDefault="00FE0907" w:rsidP="00FE0907">
      <w:pPr>
        <w:pStyle w:val="SntesisDescriptiva"/>
      </w:pPr>
    </w:p>
    <w:p w:rsidR="00FE0907" w:rsidRDefault="00FE0907" w:rsidP="00FE0907">
      <w:pPr>
        <w:pStyle w:val="SntesisDescriptiva"/>
      </w:pPr>
      <w:r>
        <w:t>Recurso de amparo 1.949/1988. Contra Sentencia del Juzgado de Primera Instancia núm. 26 de Madrid, dictada en apelación de juicio de desahucio.</w:t>
      </w:r>
    </w:p>
    <w:p w:rsidR="00FE0907" w:rsidRDefault="00FE0907" w:rsidP="00FE0907">
      <w:pPr>
        <w:pStyle w:val="SntesisDescriptiva"/>
      </w:pPr>
    </w:p>
    <w:p w:rsidR="00FE0907" w:rsidRDefault="00FE0907" w:rsidP="00FE0907">
      <w:pPr>
        <w:pStyle w:val="SntesisAnaltica"/>
      </w:pPr>
      <w:r>
        <w:t>Vulneración del derecho a la tutela judicial efectiva: interpretación excesivamente rigurosa de lo dispuesto por el art. 148.4 de la Ley de Arrendamientos Urbanos</w:t>
      </w:r>
    </w:p>
    <w:p w:rsidR="00FE0907" w:rsidRDefault="00FE0907" w:rsidP="00FE0907">
      <w:pPr>
        <w:pStyle w:val="SntesisAnaltica"/>
      </w:pPr>
    </w:p>
    <w:p w:rsidR="00FE0907" w:rsidRDefault="00FE0907" w:rsidP="00FE0907">
      <w:pPr>
        <w:pStyle w:val="Extracto"/>
      </w:pPr>
      <w:r>
        <w:t>1.</w:t>
      </w:r>
      <w:r>
        <w:tab/>
        <w:t>Por lo que se refiere a la necesidad de consignar las rentas vencidas para la válida interposición y sustanciación de los recursos planteados en los procesos arrendaticios, según exigen tanto la L.E.C. como la L.A.U., este Tribunal ha considerado justificadas dichas exigencias legales por su objeto, consistente en evitar que el arrendatario se valga de pleito para dejar de satisfacer la renta durante la tramitación del mismo (por todas, STC 104/1986), pero tales normas han de ser interpretadas teleológicamente, teniendo en cuenta la finalidad perseguida por el legislador, que es la de asegurar que el sistema de recursos no sea instrumentalizado como maniobra dilatoria en claro perjuicio de la contraparte (por todas, STC 46/1989)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proceso de amparo núm. 1.949/88, promovido por don Angel Sampedro García, representado por el Procurador de los Tribunales don Francisco Alvarez del Valle García y asistido por el Letrado don Javier Plata Veiga, contra Sentencia de 1 de septiembre de 1988 del Juzgado de Primera Instancia núm. 26 de Madrid, dictada en apelación del juicio de desahucio núm. 447/86 seguido ante el Juzgado de Distrito núm. 18 de esta capital. En el proceso de amparo ha comparecido el Ministerio Fiscal y la Entidad Hoslega, S.A., representada por el Procurador don Francisco de las Alas Pumariño y Miranda y asistida por el Letrado don Luis Docavo Alberti. Ha sido Ponente el Presidente don Francisco Tomás y Valiente,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tuvo entrada en este Tribunal el 2 de diciembre de 1988, el Procurador de los Tribunales don Francisco Alvarez del Valle García interpone, en nombre y representación de don Angel Sampedro García, recurso de amparo contra la Sentencia del Juzgado de Primera Instancia núm. 26 de los de Madrid, de 1 de septiembre de 1988, que desestima el recurso de apelación interpuesto contra la dictada por el Juzgado de Distrito núm. 18 de la misma ciudad en el juicio de desahucio núm. 447/86.</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recuso de amparo se contrae, en síntesis, a los siguientes hechos: </w:t>
      </w:r>
    </w:p>
    <w:p w:rsidR="00FE0907" w:rsidRDefault="00FE0907" w:rsidP="00FE0907">
      <w:pPr>
        <w:pStyle w:val="TextoNormal"/>
      </w:pPr>
      <w:r>
        <w:t xml:space="preserve">a) La entidad "Hoslega S.A." presentó demanda de desahucio, por falta de pago de las rentas de unos locales de negocio, contra el hoy recurrente de amparo, cuyo procedimiento fue tramitado ante el Juzgado de Distrito núm. 18 de Madrid (autos núm. 448/86). Por Sentencia de 14 de noviembre de 1986, el Juzgado estimó la demanda y decretó el desahucio de los locales. </w:t>
      </w:r>
    </w:p>
    <w:p w:rsidR="00FE0907" w:rsidRDefault="00FE0907" w:rsidP="00FE0907">
      <w:pPr>
        <w:pStyle w:val="TextoNormal"/>
      </w:pPr>
      <w:r>
        <w:t xml:space="preserve">b) Contra la citada Sentencia interpuso el demandado recurso de apelación ante el Juzgado de Primera Instancia núm. 26 de Madrid (rollo núm. 1/87), consignando la cantidad de 169.581 ptas. por las rentas vencidas desde el acto del juicio. En fecha 9 de diciembre de 1987 tuvo lugar una primera comparecencia y diligencia de vista, en la que la parte apelante solicitó la revocación de la Sentencia recurrida y la parte apelada la confirmación de la misma. Posteriormente, en fecha 11 de enero de 1988, el apelante consignó, a efectos de tener por enervada la acción de desahucio, la cantidad de 688.262 ptas. por las rentas vencidas desde el mes de noviembre de 1986 al mes de enero de 1988. Asimismo, en fecha 1 de febrero de 1988, consignó la cantidad de 45.043 ptas. correspondiente a las rentas de dicho mes. </w:t>
      </w:r>
    </w:p>
    <w:p w:rsidR="00FE0907" w:rsidRDefault="00FE0907" w:rsidP="00FE0907">
      <w:pPr>
        <w:pStyle w:val="TextoNormal"/>
      </w:pPr>
      <w:r>
        <w:t xml:space="preserve">c) Por providencia de 23 de febrero de 1988, el Juzgado de Primera Instancia acordó, para mejor proveer y con suspensión de término para dictar Sentencia a tenor de lo dispuesto en los arts. 340 y 1.566 de la L.E.C., requerir al apelante para que en el plazo de diez días acreditara estar al corriente en el pago de las rentas. Una vez acreditada la consignación de las rentas vencidas, incluida la correspondiente al mes de marzo, tuvo lugar, el 19 de abril de 1988, nueva vista de apelación, en la que únicamente compareció la parte apelante, quien solicitó la revocación de la Sentencia apelada. Con posterioridad el Juzgado, por providencia de 30 de mayo de 1988, señaló el día 21 de julio siguiente para la celebración nuevamente de la vista de apelación, por no haberse celebrado la vista anterior ante la Juez que tenía que dictar Sentencia. No obstante lo anterior, el Juzgado, por providencia de 19 de julio de 1988, acordó oír a las partes sobre la posible nulidad de actuaciones a partir de lo proveído en fecha de 23 de febrero de 1988, así como la acreditación de estar el apelante al corriente de las rentas vencidas. A lo largo de la tramitación procesal expuesta, el apelante consignó periódicamente las rentas correspondientes a los meses de abril, mayo, junio y julio. </w:t>
      </w:r>
    </w:p>
    <w:p w:rsidR="00FE0907" w:rsidRDefault="00FE0907" w:rsidP="00FE0907">
      <w:pPr>
        <w:pStyle w:val="TextoNormal"/>
      </w:pPr>
      <w:r>
        <w:t xml:space="preserve">d) Por Auto de 30 de julio de 1988, el Juzgado decretó la nulidad de las actuaciones practicadas desde la providencia de 23 de febrero de 1988, por haberse omitido total y absolutamente las normas de procedimiento previstas en la segunda instancia, referente a la resolución del recurso tras la comparecencia de las partes y sus alegaciones sobre la revocación o confirmación de la Sentencia apelada. Y por Sentencia de 1 de septiembre de 1988, el Juzgado, luego de razonar que la Sentencia apelada habría de ser revocada en el pronunciamiento que no acepta la consignación con efectos enervatorios, desestimó el </w:t>
      </w:r>
      <w:r>
        <w:lastRenderedPageBreak/>
        <w:t>recurso de apelación y confirmó en todos sus extremos la Sentencia impugnada por omisión del apelante de la obligación de estar al corriente en el pago de las rentas durante la sustanciación de la apelación, dado que la primera consignación después de anunciar el recurso fue hecha el 11 de enero de 1988, posteriormente a la comparecencia de las partes, que había tenido lugar el día 9 de diciembre de 1987. Solicitada aclaración de la Sentencia por el recurrente, fue denegada en Auto de 30 de octubre de 1988.</w:t>
      </w:r>
    </w:p>
    <w:p w:rsidR="00FE0907" w:rsidRDefault="00FE0907" w:rsidP="00FE0907">
      <w:pPr>
        <w:pStyle w:val="TextoNormal"/>
      </w:pPr>
    </w:p>
    <w:p w:rsidR="00FE0907" w:rsidRDefault="00FE0907" w:rsidP="00FE0907">
      <w:pPr>
        <w:pStyle w:val="TextoNormal"/>
      </w:pPr>
      <w:r w:rsidRPr="00FE0907">
        <w:rPr>
          <w:rStyle w:val="NumeroAFNegritaCaracter"/>
        </w:rPr>
        <w:t>3</w:t>
      </w:r>
      <w:r>
        <w:t>. La representación del recurrente considera que la Sentencia impugnada vulnera el art. 24.1 de la Constitución, al interpretar con manifiesto error el art. 148.4 de la Ley de Arrendamientos Urbanos, y desestimar el recurso de apelación por algo que no se corresponde con la realidad, toda vez que la consignación de las rentas durante la sustanciación de la apelación efectivamente se produjo. De este modo, la Juez niega validez, por tanto, a sucesivas consignaciones y ordena anular las actuaciones sin una suficiente motivación. Pero, además, y con mayor relevancia debe ponerse de manifiesto que el Juez no cumplió con el requisito exigido por el art. 148.4 LAU ya que, en todo caso, no se requirió al recurrente para que cumpliese con la obligación de consignar antes de dar lugar a la caducidad del recurso. En definitiva, el rigorismo o el error con que la Juez ad quem interpreta el art. 148.4 LAU, le impide entrar a conocer del fondo del asunto y este formalismo lesiona el derecho del recurrente a una tutela judicial efectiva (art. 24.1 de la Constitución). Por otrosí se solicita la suspensión de la ejecución de la Sentencia recurrida.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23 de enero de 1989, la Sección Tercera de la Sala Segunda (en la actualidad Sala Primera), acuerda admitir a trámite la demanda de amparo formulada por don Angel Sampedro García, sin perjuicio de lo que resulte de los antecedentes y tener por personado y parte en nombre y representación del mismo al Procurador de los Tribunales Sr. Alvarez del Valle. Asimismo, a tenor de lo dispuesto en el art. 51 de la Ley Orgánica del Tribunal Constitucional, acuerda requerir a los Juzgados de Distrito núm. 18 y de Instrucción núm. 26, ambos de Madrid, para que en el plazo de diez días remitan, respectivamente, testimonio de los autos núm. 447/86 y de la apelación núm. 1/87, interesándose al propio tiempo el emplazamiento de quienes fueron parte en el mencionado procedimiento, con excepción del recurrente, que aparece ya personado, para que en el plazo de diez días,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Por escrito presentado el 9 de febrero de 1989, el Procurador de los Tribunales don Francisco de las Alas Pumariño y Miranda, en nombre y representación de Hoslega, S.A., se persona en el presente recurso de amparo, solicitando que se entiendan con él todas las diligencias que se practiquen en este recurso, y que en su día se le entreguen las copias para poder formular las alegaciones pertinentes.</w:t>
      </w:r>
    </w:p>
    <w:p w:rsidR="00FE0907" w:rsidRDefault="00FE0907" w:rsidP="00FE0907">
      <w:pPr>
        <w:pStyle w:val="TextoNormal"/>
      </w:pPr>
    </w:p>
    <w:p w:rsidR="00FE0907" w:rsidRDefault="00FE0907" w:rsidP="00FE0907">
      <w:pPr>
        <w:pStyle w:val="TextoNormal"/>
      </w:pPr>
      <w:r w:rsidRPr="00FE0907">
        <w:rPr>
          <w:rStyle w:val="NumeroAFNegritaCaracter"/>
        </w:rPr>
        <w:t>6</w:t>
      </w:r>
      <w:r>
        <w:t>. La Sección, por providencia de 2 de abril de 1989, acuerda tener por recibidas las actuaciones remitidas por los Juzgados de Instrucción núm. 26 y de Distrito núm. 18 de las que se acusará recibo, y por personado y parte en nombre y representación de la entidad Hoslega, S.A., al Procurador Sr. de las Alas Pumariño. Asimismo, y a tenor de lo dispuesto en el art. 52 de la Ley Orgánica del Tribunal Constitucional, acuerda dar vista de todas las actuaciones del presente recurso de amparo por un plazo común de veinte días al Ministerio Fiscal y a los Procuradores Sres. Alvarez del Valle y de las Alas Pumariño, para que dentro de dicho término puedan presentar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representación del recurrente, en escrito presentado el 28 de abril de 1989, da por reproducidos todos y cada uno de los hechos contenidos en el escrito de demanda por ser reflejo exacto, en lo fundamental, de lo que aparece en los autos originales remitidos a este Tribunal por los órganos judiciales. En cuanto al fondo de la cuestión planteada, reitera que la Sentencia dictada en apelación por el Juzgado de Primera Instancia núm. 26 de Madrid vulnera el derecho del hoy recurrente a obtener la tutela judicial efectiva (art. 24.1 CE), al estimar no válidas las numerosas y repetidas consignaciones de renta practicadas durante la sustanciación del recurso de apelación. En el presente caso, además, la denegación del recurso sobreviene después de tramitarse éste y por causa exclusivamente procesal, pues la Sentencia impugnada se limita a señalar que, si bien se efectuó en su momento la consignación para apelar, las siguientes consignaciones se producen a partir de la comparecencia de las partes, razón por la que se declara resuelto el contrato de arrendamiento. Durante la sustanciación del recurso el Juez no ha hecho ningún requerimiento de los previstos en el art. 148.4 de la LAU, y cuando se produce el que aparece a tenor de la providencia de 23 de febrero de 1988, se cumple por parte del hoy recurrente; asimismo, cuando el Juzgado solicita, por providencia de 19 de julio de 1988, que se acredite estar al corriente de las rentas vencidas, el propio Juzgado, en providencia del día siguiente, manda ofrecer las cantidades a la parte apelada "para ver si la aceptan o no". </w:t>
      </w:r>
    </w:p>
    <w:p w:rsidR="00FE0907" w:rsidRDefault="00FE0907" w:rsidP="00FE0907">
      <w:pPr>
        <w:pStyle w:val="TextoNormal"/>
      </w:pPr>
      <w:r>
        <w:t xml:space="preserve">En segundo término alega que el Auto dictado el 30 de julio de 1988 por el Juzgado de apelación, en el que se acordó la nulidad de las actuaciones practicadas desde la providencia de 23 de febrero del mismo año, no fue notificado a ninguna de las partes, razón por la que carece de eficacia en el proceso, y si la Sentencia de apelación lo tuvo en cuenta, se produce la indefensión prohibida por el art. 24.1 C.E., ello con independencia de que la justicia civil es rogada y que nadie había solicitado la nulidad de actuaciones que el mencionado Auto acuerda. </w:t>
      </w:r>
    </w:p>
    <w:p w:rsidR="00FE0907" w:rsidRDefault="00FE0907" w:rsidP="00FE0907">
      <w:pPr>
        <w:pStyle w:val="TextoNormal"/>
      </w:pPr>
      <w:r>
        <w:t>En atención a lo expuesto, solicita de este Tribunal que otorgue el amparo solicitado, de conformidad con el suplico del escrito de demanda.</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Por escrito presentado el 28 de abril de 1989, la representación de la entidad "Hoslega, S.A.", comparecida como parte demandada, alega, en primer término, que en la exposición de hechos de la demanda se omiten algunos datos importantes. En concreto, y a los efectos que interesan, se afirma, de una parte, que la cantidad consignada por el demandado para interponer la apelación es la que consta en los recibos de alquiler y no aplica ningún criterio de garantía, así como que las consignaciones realizadas caprichosamente por el recurrente el 11 de enero de 1988, como luego las posteriores, no concuerdan con el importe de los recibos de los alquileres vencidos. De otra parte, la comparecencia para la vista de apelación se señaló para el día 9 de diciembre de 1987 por el Juzgado de Primera Instancia y se celebró dicho día con asistencia de los Abogados del apelante y apelado; y en el acto de la comparecencia se acompañaron los recibos de los alquileres de los locales desde diciembre de 1986 hasta diciembre de 1987. </w:t>
      </w:r>
    </w:p>
    <w:p w:rsidR="00FE0907" w:rsidRDefault="00FE0907" w:rsidP="00FE0907">
      <w:pPr>
        <w:pStyle w:val="TextoNormal"/>
      </w:pPr>
      <w:r>
        <w:t xml:space="preserve">En segundo término, aduce que el recurso incumple los requisitos establecidos en el art. 44 de la LOTC. Al respecto alega lo siguiente: a) En relación con la Sentencia de apelación impugnada, el recurso ha sido planteado fuera del plazo previsto en el art. 44.2 de la LOTC, puesto que el mismo debe contarse desde el día siguiente a la notificación de la Sentencia de apelación, y no del Auto dictado el 30 de octubre de 1988 denegando la aclaración de la Sentencia, resolución ésta última que no es recurrible en amparo por su propia naturaleza, b) Por lo que respecta al amparo solicitado en relación con el Auto de 30 de </w:t>
      </w:r>
      <w:r>
        <w:lastRenderedPageBreak/>
        <w:t xml:space="preserve">julio de 1988, aparte de que igualmente ha de considerarse extemporáneo, pues el recurrente tuvo conocimiento del mismo antes de la notificación de la Sentencia, también incumple los requisitos exigidos en los apartados a) y c) del art. 44 de la LOTC. En efecto, el recurrente no invocó en ninguno de sus escritos presentados ante el Juzgado de Primera Instancia que se vulnerara un derecho fundamental al decretarse la nulidad de actuaciones y contra el citado Auto no interpuso recurso de apelación, de conformidad con el art. 381 de la L.E.C., c) En la demanda, el recurrente no fija con precisión el amparo que solicita para preservar el derecho o libertad que se considere vulnerado, tal como dispone el art. 49.1 de la LOTC. </w:t>
      </w:r>
    </w:p>
    <w:p w:rsidR="00FE0907" w:rsidRDefault="00FE0907" w:rsidP="00FE0907">
      <w:pPr>
        <w:pStyle w:val="TextoNormal"/>
      </w:pPr>
      <w:r>
        <w:t xml:space="preserve">En tercer término, por lo que respecta al fondo del asunto, considera que lo que el demandante pretende es convertir al Tribunal y al recurso de amparo en una tercera instancia. La Sentencia contra la que se solicita el amparo está fundamentada y desestima el recurso de apelación por no haber consignado las rentas el apelante durante la tramitación del proceso, y este fundamento encuentra su apoyo en el art. 1.566 de la L.E.C., redactado conforme a la Ley de Reforma Urgente de la L.E.C. Este artículo es de orden público y prevalece sobre la LAU pues es posterior a ella y en su disposición derogatoria dispone la derogación de cuantas disposiciones se opongan (sic). Por ello, al no haber consignado el recurrente de amparo las rentas vencidas y las que con arreglo al contrato deba pagar adelantadas, desde diciembre de 1986 a diciembre de 1988, como queda acreditado, y además consignar transcurrido un mes desde la fecha de la vista, es manifiesto que la desestimación de la apelación es conforme a derecho. De otra parte, tampoco el Auto de 30 de julio de 1988 es materia de amparo, ni vulnera el art. 24.1 de la C.E. ni ha producido indefensión al solicitante de amparo, pues en dicha resolución el Juez decretó de oficio la nulidad de actuaciones, por vicios del procedimiento, de conformidad con lo dispuesto en los arts. 238 y 240 de la LOPJ. </w:t>
      </w:r>
    </w:p>
    <w:p w:rsidR="00FE0907" w:rsidRDefault="00FE0907" w:rsidP="00FE0907">
      <w:pPr>
        <w:pStyle w:val="TextoNormal"/>
      </w:pPr>
      <w:r>
        <w:t>En atención a las consideraciones anteriores, solicita de este Tribunal que dicte Sentencia desestimando el recurso de amparo por las causas aducidas.</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En su escrito de alegaciones, presentado el 29 de abril de 1989, el Ministerio Fiscal, luego de exponer los hechos y fundamentos en los que se basa el recurso, manifiesta que es claro que la Sentencia pronunciada en apelación, aun reconociendo que en el fondo tiene razón el apelante, por cuanto que la consignación de las rentas efectuada en la instancia tenía eficacia enervante de la acción de desahucio, conforme a lo prevenido en el art. 147.1ª de la Ley de Arrendamientos Urbanos, no entra, sin embargo, a resolver el fondo del asunto en congruencia con esta aseveración, sino que desestima el recurso de apelación por entender que en el mismo la consignación de las rentas no la efectuó en el momento de anunciar la apelación, sino después de la comparecencia. Pero lo cierto es que el apelante, cuando fue requerido en virtud de la providencia de 23 de febrero de 1988, acreditó en forma la consignación de las rentas, hallándose por tanto al corriente del pago de estas. Tal providencia quedó sin efecto en virtud del Auto que declaró la nulidad de lo actuado a partir de dicha providencia inclusive y, sin notificar este Auto a la parte apelante, tampoco se le volvió a requerir en la forma que establece el art. 148.4 de la LAU. En cualquier caso, queda claro que el apelante cumplió con el deber de abonar las rentas derivadas del contrato de arrendamiento, hallándose al corriente del pago durante la tramitación del proceso en primera instancia y en la apelación. </w:t>
      </w:r>
    </w:p>
    <w:p w:rsidR="00FE0907" w:rsidRDefault="00FE0907" w:rsidP="00FE0907">
      <w:pPr>
        <w:pStyle w:val="TextoNormal"/>
      </w:pPr>
      <w:r>
        <w:t xml:space="preserve">La ratio del art. 148.2 de la LAU está en impedir que el arrendatario siga en el goce de la cosa arrendada mientras se tramita el recurso de apelación sin pagar la renta convenida, en perjuicio del derecho del arrendador. El precepto se justifica porque en otro caso se </w:t>
      </w:r>
      <w:r>
        <w:lastRenderedPageBreak/>
        <w:t xml:space="preserve">rompería el equilibrio de las prestaciones y el contrato mismo, por incumplimiento de la prestación debida por parte de uno de los contratantes, generando una situación jurídica de enriquecimiento ilícito para el arrendatario que continuaría en el goce de la cosa sin contraprestación. De ahí que se le imponga el deber de acreditar el pago de las rentas o bien de haber efectuado la consignación. Por ello, haber acreditado el pago de las rentas o hecho la consignación es presupuesto procesal necesario para que el arrendatario pueda interponer recurso de apelación, constituyendo, como ha declarado este Tribunal, un requisito imperativo y de orden público que debe apreciarse de oficio por los tribunales (STC 104/84), porque la tutela judicial queda satisfecha con la obtención de una resolución fundada en derecho, que podrá ser de inadmisión del recurso si concurre causa legal para declararla. Pero si la falta de pago de la renta o, en su caso, la consignación, es una causa legal de inadmisión del recurso de apelación en materia arrendaticia, cuya aplicación por el órgano judicial, debidamente acreditada, satisface el derecho fundamental a la tutela judicial efectiva, no puede sin embargo convertirse en un obstáculo procesal que impida al órgano judicial pronunciar una resolución sobre el fondo del asunto, cuando de las actuaciones aparece que el arrendatario cumplió con su obligación de pagar las rentas (consignándolas, en este caso). En las numerosas ocasiones que se ha pronunciado este Tribunal sobre la exigencia establecida en el art. 148.2 de la LAU, siempre lo ha hecho en el sentido contrario a una interpretación formalista y rigurosa del precepto, por entender que, frente a ella, debe prevalecer una interpretación teleológica o finalista de la norma que tenga presente el sentido de las formas en el proceso y no convierta en obstáculo insalvable el incumplimiento involuntario y no malicioso de requisitos formales. Por ello ha afirmado con reiteración que el derecho a la tutela judicial efectiva exige una mayor flexibilidad en la aplicación de dicho precepto para evitar que el requisito exigido, en principio constitucionalmente legítimo, pueda convertirse en un obstáculo desproporcionado para recurrir (por todas, STC 62/1.989. Por otra parte, también ha declarado el carácter subsanable de la falta de justificación del pago de las rentas, por lo que el órgano judicial deberá ofrecer a la parte la posibilidad de subsanar el defecto, como en este caso hizo el Juzgado en la providencia de 23 de febrero, que luego anuló, a pesar de que el apelante acreditó en ese momento haber efectuado la consignación de las rentas devengadas. En este sentido cabe citar la STC 46/1.987. </w:t>
      </w:r>
    </w:p>
    <w:p w:rsidR="00FE0907" w:rsidRDefault="00FE0907" w:rsidP="00FE0907">
      <w:pPr>
        <w:pStyle w:val="TextoNormal"/>
      </w:pPr>
      <w:r>
        <w:t>En el caso de este recurso, la Sentencia de apelación, aún admitiendo el derecho material del apelante, por un defecto meramente formal y subsanable -y subsanado- no entra a conocer del fondo del asunto por haberse efectuado la consignación de las rentas, ya durante el trámite de la apelación, a destiempo. Pero lo cierto es que el Juzgado había admitido el recurso de apelación (providencia de 26 de enero de 1987); acordó citar a las partes para la comparecencia prevista en el art. 1.585 de la L.E.C. (providencia de 27 de octubre de 1987) celebrándose ésta el 9 de diciembre de 1987. Después, por providencia de 23 de febrero de 1988, el Juzgado de Primera Instancia acuerda requerir al apelante para que acredite estar al corriente del pago de las rentas, lo que efectúa oportunamente, providencia esta última que fue anulada posteriormente por auto que no llegó a notificarse al apelante. Es cierto que el art. 24 de la Constitución no constitucionaliza todo el derecho procesal, pero sí obliga a aplicar e interpretar las normas procesales de manera que se cumplan de acuerdo con su fin específico, que no es otro que el de ordenar adecuadamente la actividad procesal, instrumento necesario para la realización práctica de los derechos de los ciudadanos. Por lo expuesto, el Fiscal estima que procede dictar Sentencia por la que se conceda el amparo solicitado por don Angel Sampedro García.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10</w:t>
      </w:r>
      <w:r>
        <w:t>. Por Auto de 20 de febrero de 1989, dictado en la pieza separada de suspensión, la Sala acordó suspender la ejecución de la Sentencia dictada el 1 de septiembre de 1988 por el Juzgado de Primera Instancia núm. 26 de los de Madrid en el rollo de apelación núm. 1/87, y de la del Juzgado de Distrito núm. 18 de la misma ciudad de 14 de noviembre de 1987 en los autos de juicio de desahucio núm. 447/86.</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16 de marzo de 1992, se señaló para deliberación y fallo de la presente Sentencia el día 18 de marzo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planteada en el presente recurso de amparo consiste en determinar si ha resultado vulnerado el derecho a la tutela judicial efectiva (art. 24.1 C.E.), como consecuencia de haber desestimado el Juzgado de Primera Instancia núm. 26 de Madrid la apelación interpuesta por el hoy demandante de amparo, confirmando en todos sus extremos la Sentencia apelada, por omisión del apelante de la obligación de estar al corriente en el pago de las rentas vencidas durante la sustanciación de la segunda instancia.  Esta es la única cuestión que debe resolverse en el presente recurso, puesto que, en realidad, todas las demás alegaciones referidas a las distintas resoluciones dictadas durante la confusa y dilatada tramitación de la segunda instancia, y a su posterior anulación de oficio por la Juez de apelación, aparecen desligadas de lo que es el origen y causa de la presunta vulneración del derecho fundamental a obtener la tutela judicial efectiva.</w:t>
      </w:r>
    </w:p>
    <w:p w:rsidR="00FE0907" w:rsidRDefault="00FE0907" w:rsidP="00FE0907">
      <w:pPr>
        <w:pStyle w:val="TextoNormal"/>
      </w:pPr>
      <w:r>
        <w:t>Pero antes de resolver el fondo de la cuestión planteada es preciso examinar las causas de inadmisión apuntadas por la representación de la parte demandada en su escrito de alegaciones.  En primer término, la presentación por el recurrente de amparo de un recurso de aclaración contra la Sentencia de apelación no puede considerarse, dadas las peculiaridades del presente caso, constitutiva de una maniobra para prolongar artificialmente el plazo de interposición del amparo, ni tampoco que dicha presentación fuera evidentemente injustificada, por lo que, de conformidad con reiterada doctrina de este Tribunal (por todas, STC 73/1991), y de acuerdo también con lo dispuesto en el art. 407 de la L.E.C., no es posible apreciar la extemporaneidad de la demanda.  En segundo término, la delimitación del objeto de este proceso constitucional, en los términos antes dichos, hace innecesario analizar la concurrencia de las otras causas de inadmisión aducidas, puesto que las mismas se refieren a resoluciones respecto de las cuales ningún pronunciamiento cabe hacer.</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Este Tribunal ha venido afirmando reiteradamente que el acceso a los recursos forma parte integrante del derecho a la tutela judicial efectiva, que constituye una de sus vertientes, y que, además, el contenido de ese derecho no se agota en el acceso al recurso, sino que comprende el derecho a obtener una resolución jurídicamente fundada, que puede limitarse, sin embargo, a declarar la inadmisión del recurso en el caso de que no se den los requisitos legalmente establecidos (SSTC 37/1982, 19/1983 u 93/1984, entre muchas otras).  Al mismo tiempo ha dicho que los órganos judiciales están obligados a interpretar las disposiciones procesales en el sentido más favorable para la efectividad del derecho que consagra el art.  24.1 de la Constitución (STC 90/1986), evitando la imposición de formalismos enervantes, contrarios al espíritu y finalidad de la norma y el convertir cualquier irregularidad formal en un obstáculo insalvable para la prosecución del proceso, al </w:t>
      </w:r>
      <w:r>
        <w:lastRenderedPageBreak/>
        <w:t>margen de la función y sentido de la razón y finalidad que inspira la existencia del requisito procesal (SSTC 69/1984 y 90/1986).  Ello significa que al examinar el cumplimiento de los requisitos procesales, el órgano judicial está obligado a ponderar la entidad real del vicio advertido, en relación con la sanción del cierre del proceso y del acceso a la justicia que de él pueda derivar y, además, permitir en lo posible la subsanación del vicio advertido (STC 49/1989). Si el órgano judicial no hace posible la subsanación de un defecto formal que pudiera considerarse como subsanable o impone un rigor en las exigencias formales más allá de la finalidad a que la misma responda, la resolución judicial que cerrase la vía del proceso o del recurso sería incompatible con la efectividad del derecho fundamental a la tutela judicial que tutela el art. 24.1 de la Constitución.  Más concretamente, por lo que se refiere a la necesidad de consignar las rentas vencidas para la válida interposición y sustanciación de los recursos planteados en los procesos arrendaticios, según exigen tanto la LEC como LAU, este Tribunal ha considerado justificadas dichas exigencias legales por su objeto consistente en evitar que el arrendatario se valga del pleito para dejar de satisfacer la renta durante la tramitación del mismo (por todas, STC 104/86), pero tales normas han de ser interpretadas teleológicamente, teniendo en cuenta la finalidad perseguida por el legislador, que es la de asegurar que el sistema de recursos no sea instrumentalizado como maniobra dilatoria en claro perjuicio de la contraparte (por todas, STC 46/89).</w:t>
      </w:r>
    </w:p>
    <w:p w:rsidR="00FE0907" w:rsidRDefault="00FE0907" w:rsidP="00FE0907">
      <w:pPr>
        <w:pStyle w:val="TextoNormal"/>
      </w:pPr>
    </w:p>
    <w:p w:rsidR="00FE0907" w:rsidRDefault="00FE0907" w:rsidP="00FE0907">
      <w:pPr>
        <w:pStyle w:val="TextoNormal"/>
      </w:pPr>
      <w:r w:rsidRPr="00FE0907">
        <w:rPr>
          <w:rStyle w:val="NumeroAFNegritaCaracter"/>
        </w:rPr>
        <w:t>3</w:t>
      </w:r>
      <w:r>
        <w:t>. En el caso que ahora nos ocupa, el examen de las actuaciones arroja, a los efectos que para la resolución del recurso interesan, los siguientes resultados: 1º) Al tiempo de interponer el recurso de apelación, el hoy recurrente consignó la cantidad correspondiente por las rentas vencidas desde el acto del juicio en primera instancia.  El recurso planteado fue admitido por el Juzgado de Distrito y después, previa personación del recurrente, tramitado ante el Juzgado de Primera Instancia núm.  26 de Madrid; 2º) En fecha 9 de diciembre de 1987 tuvo lugar la vista del recurso, en la que la parte apelada, entre otros motivos, alegó la falta de consignación por la apelante de las rentas vencidas durante el periodo de tramitación del recurso de apelación.  Días después, en fecha 11 de enero de 1988, el apelante consignó la cantidad correspondiente a dicho periodo; con posterioridad, y de forma periódica, el recurrente consignó las rentas vencidas durante la tramitación de la apelación; 3º) El Juzgado de Primera Instancia, luego de una larga y confusa tramitación procesal, en la que se llegó a celebrar una nueva vista de apelación y después se decretó de oficio la nulidad de todo lo actuado a partir de lo proveído en fecha 23 de febrero de 1988, dictó Sentencia el 1 de septiembre de 1988.  En dicha Sentencia, la Juez, no obstante razonar la estimación de la cuestión de fondo planteada en el recurso, desestimó éste porque el recurrente había consignado las rentas vencidas desde la interposición del recurso de apelación con posterioridad a la celebración de la vista de apelación.</w:t>
      </w:r>
    </w:p>
    <w:p w:rsidR="00FE0907" w:rsidRDefault="00FE0907" w:rsidP="00FE0907">
      <w:pPr>
        <w:pStyle w:val="TextoNormal"/>
      </w:pPr>
    </w:p>
    <w:p w:rsidR="00FE0907" w:rsidRDefault="00FE0907" w:rsidP="00FE0907">
      <w:pPr>
        <w:pStyle w:val="TextoNormal"/>
      </w:pPr>
      <w:r w:rsidRPr="00FE0907">
        <w:rPr>
          <w:rStyle w:val="NumeroAFNegritaCaracter"/>
        </w:rPr>
        <w:t>4</w:t>
      </w:r>
      <w:r>
        <w:t>. De cuanto antecede, y de conformidad con la doctrina constitucional antes expuesta, ha de concluirse que, en el presente caso y teniendo en cuenta las circunstancias concurrentes, la desestimación del recurso de apelación por el solo hecho de que durante un periodo de tiempo de la larga tramitación del recurso el recurrente no estuvo al corriente del pago de las rentas vencidas en ese concreto periodo, ha lesionado el derecho fundamental del recurrente a obtener la tutela judicial efectiva garantizado por el art. 24.1 de la C.E.</w:t>
      </w:r>
    </w:p>
    <w:p w:rsidR="00FE0907" w:rsidRDefault="00FE0907" w:rsidP="00FE0907">
      <w:pPr>
        <w:pStyle w:val="TextoNormal"/>
      </w:pPr>
      <w:r>
        <w:t xml:space="preserve">En efecto, es evidente que la Sentencia ahora impugnada desestimó el recurso de apelación, aunque no lo diga expresamente, en aplicación de lo dispuesto en el párrafo 4 del art.  148 de la LAU.  Dicho precepto, que reproduce sustancialmente la norma del art. 1.567 de la L.E.C. referida a los recursos de casación, establece que durante la sustanciación de los </w:t>
      </w:r>
      <w:r>
        <w:lastRenderedPageBreak/>
        <w:t>recursos interpuestos por el inquilino o arrendatario vendrán éstos obligados al pago o consignación de la renta, y que "el incumplimiento de esta obligación dará lugar a la caducidad del recurso siempre que, requerido por el Juez o Tribunal que conozca del mismo, no cumpliese tal obligación en el término de cinco días".  Pero es igualmente claro, de una parte, que el Juzgado de apelación en ningún momento requirió al hoy recurrente para que cumpliera la obligación impuesta por el art. 148.4 de la LAU, antes citado, ni siquiera después de la celebración de la vista de apelación, en la que la parte apelada alegó expresamente la falta de consignación a los efectos prevenidos en dicho precepto.  Y, de otra parte, aún sin requerimiento judicial, la parte apelante consignó las rentas adeudadas días después, en fecha 11 de enero de 1988, muchos meses antes de que por la Juez de apelación se procediera a dictar Sentencia (en fecha 1 de septiembre de 1988).</w:t>
      </w:r>
    </w:p>
    <w:p w:rsidR="00FE0907" w:rsidRDefault="00FE0907" w:rsidP="00FE0907">
      <w:pPr>
        <w:pStyle w:val="TextoNormal"/>
      </w:pPr>
      <w:r>
        <w:t>Resulta indudable, por tanto, que la desestimación -mejor caducidad- del recurso de apelación por la demora en la consignación de las rentas, no obstante su consignación posterior, ha sido consecuencia de una interpretación excesivamente rigurosa y claramente desproporcionada de lo dispuesto en el art.  148.4 de la LAU, teniendo en cuenta, de una parte, que el Juzgado nunca exigió el cumplimiento del requisito luego apreciado como causa de desestimación en la Sentencia, y, de otro lado, que la decisión adoptada ha impedido un pronunciamiento de fondo sobre la pretensión deducida por el recurrente en segunda instancia en base a una omisión o demora en la consignación de las rentas, cuya trascendencia real, si la tuvo, ha sido sensiblemente atenuada por la tramitación seguida en el propio recurso, en la que se produjo la subsanación por el propio curso de los hechos.  De otra parte, es preciso señalar que durante el largo y anómalo desarrollo del proceso en la segunda instancia, en modo alguno imputable a la conducta procesal del hoy recurrente, éste cumplió con la obligación de consignar las rentas vencidas, razón por la cual la inicial tardanza en el pago de determinadas rentas vencidas, luego consignadas, impide afirmar que en la apelación de este proceso arrendaticio haya incumplido el apelante la finalidad de la carga de estar al corriente del pago de las rentas.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amparo solicitado por don Angel Sampedro García y, en su virtud:</w:t>
      </w:r>
    </w:p>
    <w:p w:rsidR="00FE0907" w:rsidRDefault="00FE0907" w:rsidP="00FE0907">
      <w:pPr>
        <w:pStyle w:val="TextoNormal"/>
      </w:pPr>
      <w:r>
        <w:t>1º Reconocer el derecho del recurrente a la tutela judicial efectiva.</w:t>
      </w:r>
    </w:p>
    <w:p w:rsidR="00FE0907" w:rsidRDefault="00FE0907" w:rsidP="00FE0907">
      <w:pPr>
        <w:pStyle w:val="TextoNormal"/>
      </w:pPr>
      <w:r>
        <w:t>2º Anular, la Sentencia de 1 de septiembre de 1988 del Juzgado de Primera Instancia núm. 26 de Madrid, dictada en el rollo de apelación núm. 1/87.</w:t>
      </w:r>
    </w:p>
    <w:p w:rsidR="00FE0907" w:rsidRDefault="00FE0907" w:rsidP="00FE0907">
      <w:pPr>
        <w:pStyle w:val="TextoNormal"/>
      </w:pPr>
      <w:r>
        <w:t>3º Retrotraer las actuaciones al momento procesal inmediatamente anterior al pronunciamiento de la citada Sentencia, para que en ella el Juzgado de Primera Instancia núm. 26 de Madrid se pronuncie sobre el fondo de las pretensiones deducidas en el recurso de apelación formulado contra la Sentencia del Juzgado de Distrito núm. 18 de Madrid.</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dieciocho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5" w:name="SENTENCIA_1992_32"/>
      <w:r>
        <w:lastRenderedPageBreak/>
        <w:t>SENTENCIA 32/1992, de 18 de marzo de 1992</w:t>
      </w:r>
    </w:p>
    <w:bookmarkEnd w:id="35"/>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ECLI:ES:TC:1992:32</w:t>
      </w:r>
    </w:p>
    <w:p w:rsidR="00FE0907" w:rsidRDefault="00FE0907" w:rsidP="00FE0907">
      <w:pPr>
        <w:pStyle w:val="SntesisDescriptiva"/>
      </w:pPr>
    </w:p>
    <w:p w:rsidR="00FE0907" w:rsidRDefault="00FE0907" w:rsidP="00FE0907">
      <w:pPr>
        <w:pStyle w:val="SntesisDescriptiva"/>
      </w:pPr>
      <w:r>
        <w:t>Recurso de amparo 2.078/1988. Contra Sentencia del Tribunal Central de Trabajo, revocando Sentencia de la Magistratura de Trabajo de Cuenca, en autos de reclamación de cantidad.</w:t>
      </w:r>
    </w:p>
    <w:p w:rsidR="00FE0907" w:rsidRDefault="00FE0907" w:rsidP="00FE0907">
      <w:pPr>
        <w:pStyle w:val="SntesisDescriptiva"/>
      </w:pPr>
    </w:p>
    <w:p w:rsidR="00FE0907" w:rsidRDefault="00FE0907" w:rsidP="00FE0907">
      <w:pPr>
        <w:pStyle w:val="SntesisAnaltica"/>
      </w:pPr>
      <w:r>
        <w:t>Supuesta vulneración del derecho a la tutela judicial efectiva: congruencia de la Sentencia recurrida</w:t>
      </w:r>
    </w:p>
    <w:p w:rsidR="00FE0907" w:rsidRDefault="00FE0907" w:rsidP="00FE0907">
      <w:pPr>
        <w:pStyle w:val="SntesisAnaltica"/>
      </w:pPr>
    </w:p>
    <w:p w:rsidR="00FE0907" w:rsidRDefault="00FE0907" w:rsidP="00FE0907">
      <w:pPr>
        <w:pStyle w:val="Extracto"/>
      </w:pPr>
      <w:r>
        <w:t>1.</w:t>
      </w:r>
      <w:r>
        <w:tab/>
        <w:t>El problema de si la prescripción puede o no ser aprecida de oficio al resolver el recurso de suplicación, por el carácter extraordinario de dicho recurso y por el objeto limitado del mismo, constreñido a la materia marcada por el recurrente, puede ser objeto de consideración por este Tribunal sólo desde la perspectiva de una posible limitación de las oportunidades de defensa de la parte afectada, es decir, en tanto en cuanto su apreciación «ex officio» impida a las partes aducir cuantas alegaciones consideren oportuno acerca de la existencia e inexistencia de la misma, mas no en su vertiente de mera transgresión del ámbito material del recurso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2.078/88, interpuesto por la Red Nacional de los Ferrocarriles Españoles (RENFE), representada por el Procurador de los Tribunales don Rafael Rodríguez Montaut y asistida del Letrado don Luis F. Díaz Guerra, contra la Sentencia de 17 de octubre de 1988 de la Sala Primera del Tribunal Central de Trabajo. Ha comparecido, además del Ministerio Fiscal, el Procurador de los Tribunales don José Luis Granizo García-Cuenca, sustituido posteriormente por el Procurador don Roberto Granizo Palomeque, en nombre y representación de don Emiliano Lloret Culebras, don Benicio Lloret Villalba, don José Burgos Díez, don Julio Torrecilla Torrecilla, don Pedro Soria Reyes, don Alejandro Lain Monton, don Joaquin Martínez González, y don José Botia Panales, </w:t>
      </w:r>
      <w:r>
        <w:lastRenderedPageBreak/>
        <w:t>asistidos del Letrado don Javier S. Berzosa Lamata. Ha sido Ponente el Magistrado don Carlos de la Vega Benayas,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el Juzgado de Guardia el 16 de diciembre de 1988, registrado en este Tribunal el día 20, el Procurador de los Tribunales don Rafael Rodríguez Montaut interpone, en nombre y representación de la Red Nacional de Ferrocarriles Españoles (RENFE), recurso de amparo contra Sentencia de 17 de octubre de 1988 de la Sala Primera del Tribunal Central de Trabajo.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síntesis, en los siguientes hechos: </w:t>
      </w:r>
    </w:p>
    <w:p w:rsidR="00FE0907" w:rsidRDefault="00FE0907" w:rsidP="00FE0907">
      <w:pPr>
        <w:pStyle w:val="TextoNormal"/>
      </w:pPr>
      <w:r>
        <w:t xml:space="preserve">a) Con fecha 1 de agosto de 1985, diversos trabajadores de la entidad RENFE formularon demanda ante la jurisdicción laboral en reclamación de cantidad, que fueron tramitadas en la Magistratura de Trabajo de Cuenca (autos núm. 611/85). Celebrada la vista oral, en la que la representación de la entidad demandada se opuso a las demandas por razones de fondo y alegó la excepción de prescripción, el Magistrado dictó Sentencia el 4 de marzo de 1986 en la que estimó parcialmente la excepción de prescripción y desestimó las pretensiones de los demandantes por razones de fondo. </w:t>
      </w:r>
    </w:p>
    <w:p w:rsidR="00FE0907" w:rsidRDefault="00FE0907" w:rsidP="00FE0907">
      <w:pPr>
        <w:pStyle w:val="TextoNormal"/>
      </w:pPr>
      <w:r>
        <w:t xml:space="preserve">En el primero de los fundamentos de derecho se hace constar expresamente que "es clara la procedencia de la prescripción de lo reclamado en el mes anterior al mes de junio de 1984... por aplicación del art. 59 del Estatuto de los Trabajadores". </w:t>
      </w:r>
    </w:p>
    <w:p w:rsidR="00FE0907" w:rsidRDefault="00FE0907" w:rsidP="00FE0907">
      <w:pPr>
        <w:pStyle w:val="TextoNormal"/>
      </w:pPr>
      <w:r>
        <w:t>b) Contra dicha Sentencia interpusieron recurso de suplicación los demandantes ante el Tribunal Central de Trabajo. Tras la pertinente tramitación, la Sala Primera de dicho Tribunal dictó Sentencia el 17 de octubre de 1988, en la que sin hacer referencia alguna a la excepción de prescripción apreciada parcialmente en la Sentencia de instancia, estimó el recurso interpuesto, revocó la Sentencia recurrida y estimó íntegramente las reclamaciones de los trabajadores.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representación de la entidad recurrente considera que la Sentencia dictada en suplicación por el Tribunal Central de Trabajo vulnera el derecho a obtener la tutela judicial efectiva consagrada en el art. 24.1 de la Constitución. En primer lugar alega que en el recurso de suplicación interpuesto por los demandantes no se hizo alusión alguna a la excepción de prescripción aceptada en la Sentencia de instancia, por lo que, dada la naturaleza extraordinaria del recurso de suplicación, el Tribunal Central debió dar por prescrito lo que dice la Magistratura de Trabajo y no entrar a conocer de la prescripción aceptada, pues es doctrina reiterada del propio Tribunal Central de Trabajo que el Juzgador ad quem no puede llevar a cabo una construcción ex officio del recurso. (En este sentido manifiesta que este Tribunal Constitucional ha admitido a trámite los recursos de amparo núms. 1.508 y 1.536, ambos de 1988, formulados por la entidad RENFE, en los que se alegaba la infracción del art. 24.1 de la C.E. por los mismos o parecidos motivos). </w:t>
      </w:r>
    </w:p>
    <w:p w:rsidR="00FE0907" w:rsidRDefault="00FE0907" w:rsidP="00FE0907">
      <w:pPr>
        <w:pStyle w:val="TextoNormal"/>
      </w:pPr>
      <w:r>
        <w:t xml:space="preserve">En segundo lugar alega que en el presente caso, además, el Tribunal Central de Trabajo ha omitido todo razonamiento sobre la excepción de prescripción invocada y aceptada en la Sentencia de instancia, y ha resuelto las pretensiones de fondo de los actores, por lo que es manifiesta la lesión del derecho a obtener la tutela judicial efectiva. </w:t>
      </w:r>
    </w:p>
    <w:p w:rsidR="00FE0907" w:rsidRDefault="00FE0907" w:rsidP="00FE0907">
      <w:pPr>
        <w:pStyle w:val="TextoNormal"/>
      </w:pPr>
      <w:r>
        <w:t xml:space="preserve">Por lo expuesto, solicita de este Tribunal que anule la Sentencia impugnada y devuelva las actuaciones al Tribunal Central de Trabajo para que, con libertad de criterio, dicte una </w:t>
      </w:r>
      <w:r>
        <w:lastRenderedPageBreak/>
        <w:t>nueva resolución ajustada en Derecho. Por "otrosí" pide, de conformidad con lo dispuesto en el art. 56 de la LOTC, la suspensión de la ejecución de la Sentencia recurrida, pues ello no supone trastorno alguno por cuanto que la entidad recurrente ya consignó el importe de la condena.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6 de febrero de 1989, la Sección Tercera de la Sala Segunda de este Tribunal Constitucional acordó admitir a trámite la demanda de amparo formulada por RENFE, y tener por personado y parte en nombre y representación de la misma al Procurador Sr. Rodríguez Montaut. </w:t>
      </w:r>
    </w:p>
    <w:p w:rsidR="00FE0907" w:rsidRDefault="00FE0907" w:rsidP="00FE0907">
      <w:pPr>
        <w:pStyle w:val="TextoNormal"/>
      </w:pPr>
      <w:r>
        <w:t xml:space="preserve">Conforme al art. 51 de la LOTC, se concedió un plazo de diez días al Tribunal Central de Trabajo y a la Magistratura de Trabajo de Cuenca, para que remitieran, respectivamente, testimonio del recurso de suplicación núm. 2.230/86 y de los autos núm. 611/85, interesándose al propio tiempo se emplazara a quienes fueron parte en mencionados procedimientos, con excepción de la recurrente, que aparece ya personada, para que pudieran comparecer en este proceso constitucional. </w:t>
      </w:r>
    </w:p>
    <w:p w:rsidR="00FE0907" w:rsidRDefault="00FE0907" w:rsidP="00FE0907">
      <w:pPr>
        <w:pStyle w:val="TextoNormal"/>
      </w:pPr>
      <w:r>
        <w:t>Conforme a lo socilitado por la parte actora, se acordó formar la correspondiente pieza separada de suspensión.</w:t>
      </w:r>
    </w:p>
    <w:p w:rsidR="00FE0907" w:rsidRDefault="00FE0907" w:rsidP="00FE0907">
      <w:pPr>
        <w:pStyle w:val="TextoNormal"/>
      </w:pPr>
    </w:p>
    <w:p w:rsidR="00FE0907" w:rsidRDefault="00FE0907" w:rsidP="00FE0907">
      <w:pPr>
        <w:pStyle w:val="TextoNormal"/>
      </w:pPr>
      <w:r w:rsidRPr="00FE0907">
        <w:rPr>
          <w:rStyle w:val="NumeroAFNegritaCaracter"/>
        </w:rPr>
        <w:t>5</w:t>
      </w:r>
      <w:r>
        <w:t>. En la pieza separada de suspensión, la Sala Segunda de este Tribunal, mediante auto de 23 de febrero de 1989, acordó la suspensión de la ejecución de la Sentencia de 17 de octubre de 1988 del Tribunal Central de Trabajo dictada en el recurso de suplicación núm. 2.230/86.</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3 de abril de 1989, la Sección Primera de este Tribunal acordó tener por recibidas las actuaciones remitidas por el Tribunal Central de Trabajo y por la Magistratura de Trabajo de Cuenca. Asimismo, acordó tener por personado y parte en nombre y representación de don Emiliano Lloret Culebras y siete más, al Procurador Sr. Granizo García-Cuenca. </w:t>
      </w:r>
    </w:p>
    <w:p w:rsidR="00FE0907" w:rsidRDefault="00FE0907" w:rsidP="00FE0907">
      <w:pPr>
        <w:pStyle w:val="TextoNormal"/>
      </w:pPr>
      <w:r>
        <w:t>Conforme a lo dispuesto en el art. 52 de la LOTC, se concedió un plazo común de veinte días al Ministerio Fiscal y a los Procuradores Sres. Rodríguez Montaut y Granizo García-Cuenca, para que con vista de las actuaciones pudiesen formular las alegaciones correspondientes.</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Don José Luis Granizo García-Cuenca, Procurador de los Tribunales en nombre y representación de don Emiliano Lloret Culebras y siete más, en escrito presentado el 20 de abril de 1989, se opone al recurso y alega básicamente, que la Sentencia de la Magistratura de Trabajo no hace referencia a qué días concretos de los reclamados y qué cantidades se consideran prescritas en ninguno de los actores y que, de haberlas considerado, debió el Magistrado indicarlo, y si no lo hizo, fue porque entendió que no había ninguna cantidad afectada por dicha prescripción. </w:t>
      </w:r>
    </w:p>
    <w:p w:rsidR="00FE0907" w:rsidRDefault="00FE0907" w:rsidP="00FE0907">
      <w:pPr>
        <w:pStyle w:val="TextoNormal"/>
      </w:pPr>
      <w:r>
        <w:t xml:space="preserve">Por otro lado, aduce que es absolutamente legítimo y coherente que el Tribunal Central de Trabajo, no se pronuncie por tal prescripción, porque la propia empresa demandada RENFE (que ahora considera violado su derecho constitucional de tutela judicial efectiva) no hizo mención alguna en su escrito de impugnación del Recurso de Suplicación a esta excepción, asumiendo por ello la responsabilidad jurídica de que el fallo del Tribunal Central de Trabajo no haga referencia a la indicada excepción. </w:t>
      </w:r>
    </w:p>
    <w:p w:rsidR="00FE0907" w:rsidRDefault="00FE0907" w:rsidP="00FE0907">
      <w:pPr>
        <w:pStyle w:val="TextoNormal"/>
      </w:pPr>
      <w:r>
        <w:lastRenderedPageBreak/>
        <w:t>Termina diciendo que la pretensión de la parte recurrente en amparo no debe prosperar, puesto que, en el fallo, que es la conclusión del razonamiento jurídico de la Sentencia, no se contiene en ningún caso referencia alguna a la excepción de prescripción. Así lo pide en el suplico.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Don Rafael Rodríguez Montaut, Procurador de los Tribunales y de la Red Nacional de Ferrocarriles Españoles (RENFE), en escrito presentado el 28 de abril de 1989, dá por reproducido cuanto exponía en el relato fáctico de su demanda de amparo origen de este procedimiento, e insiste en que el Tribunal Central de Trabajo, en su Sentencia de 17 de octubre de 1988, al no considerar en absoluto la prescripción apreciada por el Juzgado de Instancia, y condenar al íntegro de las demandas, entra en algo que no se le había planteado, lo que viene a suponer una construcción ex officio del recurso. Estima que esa actividad corresponde a la parte y no al Tribunal Central de Trabajo, que debe ceñirse a las cuestiones planteadas, sin que pueda extenderse a la corrección de posibles infracciones legales no denunciadas. </w:t>
      </w:r>
    </w:p>
    <w:p w:rsidR="00FE0907" w:rsidRDefault="00FE0907" w:rsidP="00FE0907">
      <w:pPr>
        <w:pStyle w:val="TextoNormal"/>
      </w:pPr>
      <w:r>
        <w:t>A su juicio es patente la infracción que se produce por el juzgador ad quem del art. 24.1 de la C.E., pues al encontrarse con una Sentencia que resuelve algo no planteado por la parte ni examinado de forma motivada en la Sentencia, y por ello, irrecurrible por el cauce procesal normal, su representada no tiene oportunidad de alegar nada en su defensa, produciéndose una clara falta de tutela judicial efectiva.</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El Fiscal, en escrito presentado el 28 de abril de 1989, después de exponer los antecedentes, afirma que el punto central de la incongruencia que alega RENFE reside en que el T.C.T., ha extendido el fallo a una cuestión decidida en la Sentencia de instancia, la prescripción parcial de las acciones de los trabajadores, cuestión que no había sido objeto de debate en el recurso de suplicación. A ello se ha llegado al pronunciarse la Sala Primera del T.C.T. sobre la totalidad de las pretensiones de los trabajadores, cuando éstos se habían allanado sobre la cuestión de la prescripción parcial, al no formular recurso sobre tal extremo. </w:t>
      </w:r>
    </w:p>
    <w:p w:rsidR="00FE0907" w:rsidRDefault="00FE0907" w:rsidP="00FE0907">
      <w:pPr>
        <w:pStyle w:val="TextoNormal"/>
      </w:pPr>
      <w:r>
        <w:t xml:space="preserve">A la luz de la jurisprudencia citada sobre el derecho que tienen las partes que acuden a un proceso a que las resoluciones judiciales sean congruentes con las pretensiones deducidas por aquéllas en el pleito, estima que en el presente caso existe lesión del art. 24.1 C.E. por incongruencia extra petita, dado que la Sala Primera del T.C.T. decidió sobre un supuesto que no formaba parte de las pretensiones deducidas por las partes en el recurso de suplicación. </w:t>
      </w:r>
    </w:p>
    <w:p w:rsidR="00FE0907" w:rsidRDefault="00FE0907" w:rsidP="00FE0907">
      <w:pPr>
        <w:pStyle w:val="TextoNormal"/>
      </w:pPr>
      <w:r>
        <w:t xml:space="preserve">Añade el Fiscal que la Magistratura de Trabajo de Cuenca desestimó en su integridad las pretensiones de los actores y acotó además que en todo caso parte de ellas estaban prescritas, por lo cual el recurso de suplicación debió referirse expresamente a esta cuestión de la prescripción, pues dicho recurso no puede considerarse una nueva "demanda". En consecuencia, opina que, si bien es cierto que el recurso de suplicación planteó nuevamente sus argumentos de fondo sobre las pretensiones, de ello no puede desprenderse que se entendiera debatida implícitamente la prescripción reseñada, ya que el debate de este punto precisa de razones específicas. Y a ello entiende que no obsta el que RENFE en su escrito de impugnación del recurso no alegase nada en defensa de aquélla, ya que concedida judicialmente, eran los trabajadores los que debían combatirla. </w:t>
      </w:r>
    </w:p>
    <w:p w:rsidR="00FE0907" w:rsidRDefault="00FE0907" w:rsidP="00FE0907">
      <w:pPr>
        <w:pStyle w:val="TextoNormal"/>
      </w:pPr>
      <w:r>
        <w:t xml:space="preserve">En cuanto al alcance del presente recurso de amparo considera que no puede ir más allá de la anulación de la Sentencia recurrida, en cuanto se entiende subsistente la prescripción </w:t>
      </w:r>
      <w:r>
        <w:lastRenderedPageBreak/>
        <w:t xml:space="preserve">acordada en la instancia, debiendo, en consecuencia, modificarse en tal sentido el quantum de las cantidades concedidas en el fallo de la Sentencia recurrida. </w:t>
      </w:r>
    </w:p>
    <w:p w:rsidR="00FE0907" w:rsidRDefault="00FE0907" w:rsidP="00FE0907">
      <w:pPr>
        <w:pStyle w:val="TextoNormal"/>
      </w:pPr>
      <w:r>
        <w:t>Por todo lo expuesto, el Ministerio Fiscal interesa que se dicte sentencia en la que se acuerde conceder el amparo solicitado por entender que la resolución judicial recurrida ha vulnerado el art. 24.1 de la Constitución.</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16 de marzo de 1992, se señaló para deliberación y votación de la presente Sentencia el día 18 del mismo mes y año; y se tuvo por personado y parte al Procurador don Roberto Granizo Palomeque en sustitución de su compañero don José Luis Granizo García-Cuenca.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va dirigido contra la Sentencia de la Sala Primera del Tribunal Central de Trabajo de 17 de octubre de 1988 que estimó el recurso de suplicación, interpuesto por diversos trabajadores de RENFE, en el que se reclamaban diversas cantidades.</w:t>
      </w:r>
    </w:p>
    <w:p w:rsidR="00FE0907" w:rsidRDefault="00FE0907" w:rsidP="00FE0907">
      <w:pPr>
        <w:pStyle w:val="TextoNormal"/>
      </w:pPr>
      <w:r>
        <w:t>La empresa RENFE, ahora recurrente en amparo, imputa a dicha Sala la lesión del derecho fundamental del art. 24.1, que consagra el principio a la tutela judicial efectiva, en cuanto se pronuncia sobre una cuestión -la de la prescripción de ciertas cantidades reclamadas por un determinado tiempo- que no había sido introducida en el debate procesal de la suplicación por los trabajadores recurrentes. En este sentido se afirma que el TCT, al no tener en cuenta la prescripción aceptada en la Sentencia de instancia, que debió confirmar por no haberse impugnado en suplicación, produjo una situación de indefensión, impidiendo a la solicitante de amparo hacer en la fase procesal de sentencia ningún tipo de alegaciones. Asimismo, la recurrente en amparo imputa a la Sentencia defecto de motivación, toda vez que la revocación de la Sentencia de instancia, en lo que hace referencia a la prescripción aceptada, no está razonada por la misma.</w:t>
      </w:r>
    </w:p>
    <w:p w:rsidR="00FE0907" w:rsidRDefault="00FE0907" w:rsidP="00FE0907">
      <w:pPr>
        <w:pStyle w:val="TextoNormal"/>
      </w:pPr>
      <w:r>
        <w:t>El Ministerio Fiscal, que comparte la objección principal, estima, por su parte, que la Sentencia del Tribunal Central de Trabajo viola el principio de contradicción, ya que, decidiendo sobre un aspecto que no formaba parte de las pretensiones suscitadas por la parte recurrente, priva a la parte contraria, hoy recurrente en amparo, de la posibilidad de pronunciarse sobre el tema.</w:t>
      </w:r>
    </w:p>
    <w:p w:rsidR="00FE0907" w:rsidRDefault="00FE0907" w:rsidP="00FE0907">
      <w:pPr>
        <w:pStyle w:val="TextoNormal"/>
      </w:pPr>
    </w:p>
    <w:p w:rsidR="00FE0907" w:rsidRDefault="00FE0907" w:rsidP="00FE0907">
      <w:pPr>
        <w:pStyle w:val="TextoNormal"/>
      </w:pPr>
      <w:r w:rsidRPr="00FE0907">
        <w:rPr>
          <w:rStyle w:val="NumeroAFNegritaCaracter"/>
        </w:rPr>
        <w:t>2</w:t>
      </w:r>
      <w:r>
        <w:t>. Al objeto de centrar el debate, es preciso indicar, desde la propia configuración del recurso de amparo, que la alegación formulada en el sentido de que la prescripción no puede ser apreciada de oficio por el carácter extraordinario del recurso de suplicación y por el objeto limitado del mismo, constreñido a la materia marcada por el recurrente, puede ser aquí objeto de estudio, pero desde la perspectiva de una posible limitación de las oportunidades de defensa de la parte afectada, es decir, en tanto en cuanto su apreciación ex officio impida a las partes aducir cuantas alegaciones consideren oportuno acerca de la existencia e inexistencia de la misma, mas no en su vertiente de mera transgresión del ámbito material del recurso. Como ya se ha dicho en anterior ocasión, a propósito de este mismo asunto (STC 225/1991), la objeción aquí planteada únicamente puede ir referida a si el "hecho ha generado una incongruencia susceptible de haber provocado indefensión constitucionalmente vedada para la ahora recurrente, es decir, si se le han hurtado las po</w:t>
      </w:r>
      <w:r>
        <w:lastRenderedPageBreak/>
        <w:t>sibilidades de defensa mediante la introducción de un elemento que no ha podido combatir".</w:t>
      </w:r>
    </w:p>
    <w:p w:rsidR="00FE0907" w:rsidRDefault="00FE0907" w:rsidP="00FE0907">
      <w:pPr>
        <w:pStyle w:val="TextoNormal"/>
      </w:pPr>
    </w:p>
    <w:p w:rsidR="00FE0907" w:rsidRDefault="00FE0907" w:rsidP="00FE0907">
      <w:pPr>
        <w:pStyle w:val="TextoNormal"/>
      </w:pPr>
      <w:r w:rsidRPr="00FE0907">
        <w:rPr>
          <w:rStyle w:val="NumeroAFNegritaCaracter"/>
        </w:rPr>
        <w:t>3</w:t>
      </w:r>
      <w:r>
        <w:t>. Es doctrina reiterada de este Tribunal que el derecho a obtener tutela judicial efectiva sin que en ningún momento se produzca indefensión, comprende, entre otros contenidos, el principio de que el Juez o Tribunal no puede modificar o alterar los términos del debate procesal, alteración que se produce cuando el órgano judicial por iniciativa propia se pronuncia sobre pretensiones que no han sido promovidas por ninguna de las partes. Los pronunciamientos gratuítos o sobre temas no propuestos por las partes suponen un menoscabo del derecho de defensa contradictoria de las partes, en cuanto se priva a las mismas de la posibilidad de alegar o enmendar lo que estimen conveniente a sus intereses. Los órganos judiciales están obligados a decidir conforme a lo alegado, no otorgando más de lo pedido ni menos de lo resistido por el demandado, ni tampoco cosa distinta de lo solicitado por las partes, dando audiencia bilateral; de forma que no es justificable un pronunciamiento que altere el objeto procesal, sea porque la cuestión no ha sido objeto de debate, bien porque no ha habido audiencia de las partes, salvo que la falta de audiencia obedezca a la no comparecencia por propia voluntad o negligencia del afectado (SSTC 142/1987, 114/1988 y 6/1990).</w:t>
      </w:r>
    </w:p>
    <w:p w:rsidR="00FE0907" w:rsidRDefault="00FE0907" w:rsidP="00FE0907">
      <w:pPr>
        <w:pStyle w:val="TextoNormal"/>
      </w:pPr>
    </w:p>
    <w:p w:rsidR="00FE0907" w:rsidRDefault="00FE0907" w:rsidP="00FE0907">
      <w:pPr>
        <w:pStyle w:val="TextoNormal"/>
      </w:pPr>
      <w:r w:rsidRPr="00FE0907">
        <w:rPr>
          <w:rStyle w:val="NumeroAFNegritaCaracter"/>
        </w:rPr>
        <w:t>4</w:t>
      </w:r>
      <w:r>
        <w:t>. En el supuesto que motiva el presente recurso, lo que se trata de determinar es si la prescripción parcial de la acción de los trabajadores declarada por la Sentencia de instancia y revocada por el Tribunal Central de Trabajo, constituye una cuestión no deducida por los trabajadores recurrentes en suplicación y, por lo tanto, un asunto resuelto en la Sentencia impugnada sin oir contradictoriamente a la parte demandada, actual recurrente en amparo.  El análisis de los hechos demuestra que -como en anteriores ocasiones en que se ha impetrado el amparo de este Tribunal sobre idéntica pretensión por la misma entidad demandante (SSTC 225/1991 y 226/1991), la censura promovida contra la Sentencia impugnada está desprovista de todo fundamento, puesto que no hay en la misma ninguna respuesta que no traiga origen de la petición formalizada por los recurrentes. Basta ver el petitum del recurso de suplicación interpuesto por los trabajadores reclamantes de diversas cantidades, en el que se pide al órgano judicial que "revoque la Sentencia recurrida y dicte en su día nueva Sentencia en la cual se estimen íntegramente las demandas interpuestas por mis representados, en los términos que se especifican en el suplico de las mismas". Es de destacar que en el suplico de la demanda los trabajadores piden una suma total, equivalente al valor de los días de descanso no disfrutados entre los meses de mayo 1984 y mayo 1985 sin especificar la cantidad correspondiente a cada mes.</w:t>
      </w:r>
    </w:p>
    <w:p w:rsidR="00FE0907" w:rsidRDefault="00FE0907" w:rsidP="00FE0907">
      <w:pPr>
        <w:pStyle w:val="TextoNormal"/>
      </w:pPr>
      <w:r>
        <w:t>Con independencia de que los trabajadores recurrentes de suplicación no razonaran en la fundamentación nada relativo a lo reclamado en el mes anterior a junio de 1984, que la Sentencia de instancia en el fundamento jurídico primero declaró prescrito, es innegable que mediante la formalización del recurso pretendían obtener las cantidades correspondientes también a dicho período, pues no consta en ningún pasaje del escrito de suplicación que hicieran renuncia o desistieran de reclamarlas, aceptando la prescripción parcial de sus acciones.</w:t>
      </w:r>
    </w:p>
    <w:p w:rsidR="00FE0907" w:rsidRDefault="00FE0907" w:rsidP="00FE0907">
      <w:pPr>
        <w:pStyle w:val="TextoNormal"/>
      </w:pPr>
      <w:r>
        <w:t xml:space="preserve">En tales términos, nada cabe imputar, desde la óptica de la incongruencia extra petita, constitutiva de indefensión, a la Sentencia impugnada del T.C.T., -que se limita, con un criterio más o menos acertado, a estimar íntegramente las cantidades reclamadas de acuerdo con las iniciales reclamaciones a las que se remite el suplico del recurso de suplicación </w:t>
      </w:r>
      <w:r>
        <w:lastRenderedPageBreak/>
        <w:t>formalizado-, pues existe una plena adecuación entre lo pedido y lo otorgado en el fallo, sin que se haya producido alteración o modificación del debate procesal.</w:t>
      </w:r>
    </w:p>
    <w:p w:rsidR="00FE0907" w:rsidRDefault="00FE0907" w:rsidP="00FE0907">
      <w:pPr>
        <w:pStyle w:val="TextoNormal"/>
      </w:pPr>
      <w:r>
        <w:t>Por lo mismo debe decaer el reproche de violación del principio de contradicción, sustentada por la recurrente en que no tuvo oportunidad de oponerse o de discutir el aspecto relativo a la prescripción parcial de las acciones apreciado de oficio, inaudita parte, en la Sentencia. Si la cuestión no fue obviada por los recurrentes, sino al contrario, deducida, como se ha puesto de manifiesto, en el suplico, bien que de forma implícita o tácita, no cabe afirmar que se haya hurtado a la recurrente en amparo la posibilidad de combatir ese aspecto concreto, pues bien pudo formular sus alegaciones en el escrito de impugnación, que sorprendentemente guarda silencio acerca de este extremo.</w:t>
      </w:r>
    </w:p>
    <w:p w:rsidR="00FE0907" w:rsidRDefault="00FE0907" w:rsidP="00FE0907">
      <w:pPr>
        <w:pStyle w:val="TextoNormal"/>
      </w:pPr>
    </w:p>
    <w:p w:rsidR="00FE0907" w:rsidRDefault="00FE0907" w:rsidP="00FE0907">
      <w:pPr>
        <w:pStyle w:val="TextoNormal"/>
      </w:pPr>
      <w:r w:rsidRPr="00FE0907">
        <w:rPr>
          <w:rStyle w:val="NumeroAFNegritaCaracter"/>
        </w:rPr>
        <w:t>5</w:t>
      </w:r>
      <w:r>
        <w:t>. Finalmente, en la demanda se trata de dar relevancia constitucional a la falta de respuesta explícita a la revocación de la prescripción parcial de la acción de los trabajadores reconocida por una Sentencia de instancia. Pero tal objeción se ha de rechazar igualmente, pues, aparte de que cabe estimar que la cuestión ha sido contestada de manera implícita, a esa falta de motivación no se le puede dar trascendencia constitucional porque la concurrencia de la prescripción no fue alegada oportunamente por la hoy recurrente en amparo, de forma que el pronunciamiento del T.C.T. es imputable a la falta de diligencia necesaria o pasividad argumental de la solicitante para plantear dicha excepción ante el órgano judicial, que se ha ceñido a resolver la cuestión en los términos en que los trabajadores formularon su pretensión en el recurso de suplicación.</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amparo solicitado por la Red Nacional de los Ferrocarriles Españoles (RENFE).</w:t>
      </w:r>
    </w:p>
    <w:p w:rsidR="00FE0907" w:rsidRDefault="00FE0907" w:rsidP="00FE0907">
      <w:pPr>
        <w:pStyle w:val="TextoNormal"/>
      </w:pPr>
    </w:p>
    <w:p w:rsidR="00FE0907" w:rsidRDefault="00FE0907" w:rsidP="00FE0907">
      <w:pPr>
        <w:pStyle w:val="TextoNormal"/>
      </w:pPr>
      <w:r>
        <w:t>Publíquese la presente Sentencia en el "Boletín Oficial del Estado".</w:t>
      </w:r>
    </w:p>
    <w:p w:rsidR="00FE0907" w:rsidRDefault="00FE0907" w:rsidP="00FE0907">
      <w:pPr>
        <w:pStyle w:val="TextoNormal"/>
      </w:pPr>
      <w:r>
        <w:t>Dada en Madrid, a dieciocho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6" w:name="SENTENCIA_1992_33"/>
      <w:r>
        <w:lastRenderedPageBreak/>
        <w:t>SENTENCIA 33/1992, de 18 de marzo de 1992</w:t>
      </w:r>
    </w:p>
    <w:bookmarkEnd w:id="36"/>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ECLI:ES:TC:1992:33</w:t>
      </w:r>
    </w:p>
    <w:p w:rsidR="00FE0907" w:rsidRDefault="00FE0907" w:rsidP="00FE0907">
      <w:pPr>
        <w:pStyle w:val="SntesisDescriptiva"/>
      </w:pPr>
    </w:p>
    <w:p w:rsidR="00FE0907" w:rsidRDefault="00FE0907" w:rsidP="00FE0907">
      <w:pPr>
        <w:pStyle w:val="SntesisDescriptiva"/>
      </w:pPr>
      <w:r>
        <w:t>Recurso de amparo 2.094/1988. Contra Sentencia del Tribunal Supremo dictada en recurso de casación interpuesto contra una anterior dictada por la Audiencia Provincial de San Sebastián en causa por delito de homicidio.</w:t>
      </w:r>
    </w:p>
    <w:p w:rsidR="00FE0907" w:rsidRDefault="00FE0907" w:rsidP="00FE0907">
      <w:pPr>
        <w:pStyle w:val="SntesisDescriptiva"/>
      </w:pPr>
    </w:p>
    <w:p w:rsidR="00FE0907" w:rsidRDefault="00FE0907" w:rsidP="00FE0907">
      <w:pPr>
        <w:pStyle w:val="SntesisAnaltica"/>
      </w:pPr>
      <w:r>
        <w:t>Supuesta vulneración de los derechos a la tutela judicial efectiva, a la presunción de inocencia y a la utilización de los medios de prueba pertinentes</w:t>
      </w:r>
    </w:p>
    <w:p w:rsidR="00FE0907" w:rsidRDefault="00FE0907" w:rsidP="00FE0907">
      <w:pPr>
        <w:pStyle w:val="SntesisAnaltica"/>
      </w:pPr>
    </w:p>
    <w:p w:rsidR="00FE0907" w:rsidRDefault="00FE0907" w:rsidP="00FE0907">
      <w:pPr>
        <w:pStyle w:val="Extracto"/>
      </w:pPr>
      <w:r>
        <w:t>1.</w:t>
      </w:r>
      <w:r>
        <w:tab/>
        <w:t>Aunque es cierto que en todo proceso judicial debe respetarse el derecho de defensa contradictoria de las partes, el mismo ha sido y es objeto de matizaciones en relación con la acción civil derivada del delito ejercitada contra terceras personas, por estar limitada al peculiar objeto indemnizatorio, pues la responsabilidad civil derivada del delito puede resolverse independientemente de la penal (SSTC 4/1982, 48/1984, 18/1985 y 90/1987, entre otras), debido a que la naturaleza de la acción civil derivada del delito participa del carácter dispositivo de las acciones reguladas en la L.E.C. (arts. 614 y 615 de la L.E.Crim.) [F.J. 2].</w:t>
      </w:r>
    </w:p>
    <w:p w:rsidR="00FE0907" w:rsidRDefault="00FE0907" w:rsidP="00FE0907">
      <w:pPr>
        <w:pStyle w:val="Extracto"/>
      </w:pPr>
    </w:p>
    <w:p w:rsidR="00FE0907" w:rsidRDefault="00FE0907" w:rsidP="00FE0907">
      <w:pPr>
        <w:pStyle w:val="Extracto"/>
      </w:pPr>
      <w:r>
        <w:t>2.</w:t>
      </w:r>
      <w:r>
        <w:tab/>
        <w:t>La falta de emplazamiento del responsable civil subsidiario, su incomparecencia en el acto de la vista y su posterior omisión en la Sentencia, únicamente pueden perjudicar a las personas ofendidas por el delito, las cuales son las únicas legitimadas para pedir la subsanación del defecto procesal que originase su omisión [F.J. 2].</w:t>
      </w:r>
    </w:p>
    <w:p w:rsidR="00FE0907" w:rsidRDefault="00FE0907" w:rsidP="00FE0907">
      <w:pPr>
        <w:pStyle w:val="Extracto"/>
      </w:pPr>
    </w:p>
    <w:p w:rsidR="00FE0907" w:rsidRDefault="00FE0907" w:rsidP="00FE0907">
      <w:pPr>
        <w:pStyle w:val="Extracto"/>
      </w:pPr>
      <w:r>
        <w:t>3.</w:t>
      </w:r>
      <w:r>
        <w:tab/>
        <w:t>En la prueba pericial lo que el perito aporta al juzgador no son los hechos, sino sus conocimientos técnicos o artísticos sobre los mismos, que puedan resultar necesarios para su correcta apreciación. Naturalmente que el informe será más completo y ofrecerá mayores garantías de fiabilidad, si se realiza sobre el cuerpo del delito, pero ello no excluye que los conocimientos del perito puedan realizarse, a falta de aquél, sobre los elementos que se le faciliten [F.J. 4].</w:t>
      </w:r>
    </w:p>
    <w:p w:rsidR="00FE0907" w:rsidRDefault="00FE0907" w:rsidP="00FE0907">
      <w:pPr>
        <w:pStyle w:val="Extracto"/>
      </w:pPr>
    </w:p>
    <w:p w:rsidR="00FE0907" w:rsidRDefault="00FE0907" w:rsidP="00FE0907">
      <w:pPr>
        <w:pStyle w:val="Extracto"/>
      </w:pPr>
      <w:r>
        <w:t>4.</w:t>
      </w:r>
      <w:r>
        <w:tab/>
        <w:t>Como ya dijimos en la STC 51/1985, «las limitaciones del derecho consagrado en el art. 24.2 a servirse de las pruebas pertinentes para la defensa como derecho constitucional, no justifican su sacrificio a intereses indudablemente dignos de tutela, pero de rango subordinado, como puede ser la economía del proceso, la celeridad de éste o la eficacia de la Administración de justicia» [F. J. 5].</w:t>
      </w:r>
    </w:p>
    <w:p w:rsidR="00FE0907" w:rsidRDefault="00FE0907" w:rsidP="00FE0907">
      <w:pPr>
        <w:pStyle w:val="Extracto"/>
      </w:pPr>
    </w:p>
    <w:p w:rsidR="00FE0907" w:rsidRDefault="00FE0907" w:rsidP="00FE0907">
      <w:pPr>
        <w:pStyle w:val="Extracto"/>
      </w:pPr>
      <w:r>
        <w:t>5.</w:t>
      </w:r>
      <w:r>
        <w:tab/>
        <w:t xml:space="preserve">Es indiscutible la existencia de una relación entre denegación indebida de pruebas e indefensión, pero no son conceptos que hayan, sin más, de equipararse, porque no existe indefensión de relevancia constitucional cuando, aun existiendo alguna irregularidad procesal, no se llega a producir efectivo y real menoscabo del derecho de defensa, bien porque no exista relación entre los hechos que se querían probar y las pruebas rechazadas o bien porque quede acreditado que el </w:t>
      </w:r>
      <w:r>
        <w:lastRenderedPageBreak/>
        <w:t>interesado, pese al rechazo, pudo en todo caso proceder a la defensa de sus derechos e intereses legítimos (SSTC 149/1987, 158/1989)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2.094/88 promovido por don Manuel Guerrero Álvarez, representado por la Procuradora de los Tribunales doña Africa Martín Rico y asistido por el Letrado don Jorge Argote Alarcón, contra la Sentencia de la Sala Segunda del Tribunal Supremo de 14 de noviembre de 1988, dictada en el recurso de casación núm. 2.361/85 interpuesto contra la dictada el 20 de mayo de 1985 por la Audiencia Provincial de San Sebastián en la causa núm. 460/82, por delito de homicidio. Ha sido parte el Ministerio Fiscal y Ponente el Magistrado don Fernando García-Mon y González-Regueral quien expresa al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este Tribunal el 21 de diciembre de 1988, la Procuradora de los Tribunales doña Africa Martín Rico interpuso recurso de amparo contra la Sentencia de la Sala Segunda del Tribunal Supremo de 14 de noviembre de 1988 que desestimó el recurso de casación formulado contra la de la Audiencia Provincial de San Sebastián de 20 de mayo de 1985 en la que se condena al recurrente como autor de un delito de homicidio.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recurso de amparo se contrae, en síntesis, a los siguientes hechos: </w:t>
      </w:r>
    </w:p>
    <w:p w:rsidR="00FE0907" w:rsidRDefault="00FE0907" w:rsidP="00FE0907">
      <w:pPr>
        <w:pStyle w:val="TextoNormal"/>
      </w:pPr>
      <w:r>
        <w:t>A) El recurrente de amparo, Cabo de la Guardia Civil con destino en el Grupo Antiterrorista Rural de la 543ª. Comandancia, fue procesado en su día como consecuencia de la muerte de una persona ocurrida en la madrugada del 16 de octubre de 1982 en el km. 455'200 de la carretera N-I (Madrid-Irún) cuando procedía, en unión de otros agentes, en servicio de cap- tura de personas relacionadas con actividades terroristas, a la detención de un vehículo Citroen Dyane-6, y a la identificación de su conductor. Tras gritar varias veces el "alto a la Guardia Civil", el fallecido no atendió a las mismas y se introdujo en el coche iniciando la huída. En ese momento el recurrente realizó varios disparos al aire con el fusil que portaba, y como el vehículo no se detuviera, efectuó otros siete disparos más, tiro a tiro, de los que seis penetraron en el coche e hirieron en distintas zonas del cuerpo a su conductor quien, a pesar de ello, continuó en su huída. Consumida la munición del fu</w:t>
      </w:r>
      <w:r>
        <w:lastRenderedPageBreak/>
        <w:t xml:space="preserve">sil, realizó nuevos disparos de pistola contra el coche que no lo alcanzaron, hasta que a unos 150 metros del lugar quedó detenido el mismo y su conductor herido con dos impactos de bala en los brazos y otro en la mamila izquierda que le causaron la muerte, días después, en el hospital a que fue evacuado. </w:t>
      </w:r>
    </w:p>
    <w:p w:rsidR="00FE0907" w:rsidRDefault="00FE0907" w:rsidP="00FE0907">
      <w:pPr>
        <w:pStyle w:val="TextoNormal"/>
      </w:pPr>
      <w:r>
        <w:t xml:space="preserve">La Audiencia Provincial de San Sebastián dictó Sentencia en la que condenó al recurrente como autor de un delito de homicidio, con la concurrencia de la eximente incompleta de obrar en cumplimiento de un deber, a la pena de seis años y un día de prisión mayor, accesorias, pago de costas, incluidas las de la acusación particular, e indemnización de 2.000.000 de pts. a la viuda del fallecido, de 1.000.000 de pts. a cada uno de los tres hijos habidos en el matrimonio y a que indemnice a los herederos del fallecido en 69.933 pts. </w:t>
      </w:r>
    </w:p>
    <w:p w:rsidR="00FE0907" w:rsidRDefault="00FE0907" w:rsidP="00FE0907">
      <w:pPr>
        <w:pStyle w:val="TextoNormal"/>
      </w:pPr>
      <w:r>
        <w:t xml:space="preserve">B) Contra la anterior Sentencia se formuló recurso de casación por el condenado en ella, basado en la omisión del emplazamiento del responsable civil subsidiario (el Estado) a efectos de su personación como parte en la causa y por haberse denegado en la vista oral la práctica de la prueba pericial, propuesta en ese mismo acto por la defensa del recurrente, con base a que tramitándose el proceso por las normas del procedimiento ordinario tal prueba debería haber sido articulada en el escrito de calificación provisional. Al mismo tiempo se denunciaba que al haber actuado así, la Audiencia Provincial había producido la indefensión del recurrente. </w:t>
      </w:r>
    </w:p>
    <w:p w:rsidR="00FE0907" w:rsidRDefault="00FE0907" w:rsidP="00FE0907">
      <w:pPr>
        <w:pStyle w:val="TextoNormal"/>
      </w:pPr>
      <w:r>
        <w:t>Mediante Sentencia de 14 de noviembre de 1988 el Tribunal Supremo desestimó el recurso de casación interpuesto y confirmó la Sentencia recurrida. En sus fundamentos se argumenta que el demandante no está legitimado para pedir la revocación de la de primera instancia por la falta de citación del responsable civil subsidiario, ya que no se trata de un derecho propio del recurrente sino que, aun reconociendo que se ha producido el defecto procesal denunciado, tal infracción únicamente podría haber sido denunciada por el perjudicado. Por otra parte, la prueba pericial propuesta por el procesado (destinada a determinar las incidencias, trayectorias y huellas de los balazos sobre el metal) era innecesaria, pues con los dictámenes emitidos por el Gabinete Central de Identificación de la Comisaría General de Policía Judicial y los de los Médicos Forenses, el Tribunal disponía de elementos de juicio suficientes para formar su convicción. Por consiguiente, la prueba propuesta era impertinente, por superflua, y su falta de práctica no le ocasionaba indefensión.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representación del recurrente basa su recurso en las tres causas siguientes: </w:t>
      </w:r>
    </w:p>
    <w:p w:rsidR="00FE0907" w:rsidRDefault="00FE0907" w:rsidP="00FE0907">
      <w:pPr>
        <w:pStyle w:val="TextoNormal"/>
      </w:pPr>
      <w:r>
        <w:t xml:space="preserve">A) Vulneración del derecho fundamental a la tutela judicial efectiva por haberse omitido la citación del responsable civil subsidiario para su comparecencia en el acto del juicio oral. </w:t>
      </w:r>
    </w:p>
    <w:p w:rsidR="00FE0907" w:rsidRDefault="00FE0907" w:rsidP="00FE0907">
      <w:pPr>
        <w:pStyle w:val="TextoNormal"/>
      </w:pPr>
      <w:r>
        <w:t xml:space="preserve">El Auto de procesamiento del instructor declara la responsabilidad civil subsidiaria del Estado y si bien tanto las Sentencias de primera instancia como la de casación reconocen la omisión del emplazamiento de éste para el juicio oral, se dice en ellas que el actor carece de legitimación para impugnar por este motivo, pues el defecto formal observado únicamente podría redundar en perjuicio de la víctima y de sus causahabientes, no en el acusado. </w:t>
      </w:r>
    </w:p>
    <w:p w:rsidR="00FE0907" w:rsidRDefault="00FE0907" w:rsidP="00FE0907">
      <w:pPr>
        <w:pStyle w:val="TextoNormal"/>
      </w:pPr>
      <w:r>
        <w:t>Frente a este argumento, opone el demandante que cualquiera de las partes personadas puede alegar este motivo, debido a que la constitución de la relación jurídico procesal es una cuestión de orden público y el responsable civil subsidiario es parte fundamental del proceso penal. De tal manera que si el derecho a la tutela judicial efectiva exige una interpretación normativa conforme a la Constitución, el Tribunal no ha actuado de acuerdo con este derecho fundamental al no poner remedio a un vicio procesal de la envergadura del que se ha producido, que impide el ejercicio de un derecho que no es exclusivo del recu</w:t>
      </w:r>
      <w:r>
        <w:lastRenderedPageBreak/>
        <w:t xml:space="preserve">rrente sino del Estado, cuya conexión con el del primero es directa e inmediata, y su presencia en el proceso podría producir una ampliación de sus defensas y probanzas. </w:t>
      </w:r>
    </w:p>
    <w:p w:rsidR="00FE0907" w:rsidRDefault="00FE0907" w:rsidP="00FE0907">
      <w:pPr>
        <w:pStyle w:val="TextoNormal"/>
      </w:pPr>
      <w:r>
        <w:t xml:space="preserve">B) Violación del derecho constitucional a la presunción de inocencia por la admisión y valoración de una prueba pericial practicada por el Gabinete Central de Identificación de la Dirección General de Policía. </w:t>
      </w:r>
    </w:p>
    <w:p w:rsidR="00FE0907" w:rsidRDefault="00FE0907" w:rsidP="00FE0907">
      <w:pPr>
        <w:pStyle w:val="TextoNormal"/>
      </w:pPr>
      <w:r>
        <w:t xml:space="preserve">La Sala sentenciadora, cuyos hechos probados han sido aceptados en casación, señala que el demandante efectuó un disparo dirigido de frente contra el fallecido. Tal conclusión la extrae del informe pericial realizado en la Dirección General de Policía sobre la base de unas fotografías tomadas del vehículo donde apareció herida la víctima, y esta prueba, única de cargo, carece de valor, ya que no fue realizada sobre el propio vehículo -que había sido devuelto ante riormente a los familiares del fallecido, y reparado- sino sobre unas fotografías que se obtuvieron del mismo. El objeto sobre el que se realizó la pericia es inidóneo e incompleto: lo primero porque la fotografía no es un reflejo exacto de la realidad que plasma, y lo segundo porque éstas sólo recogen la parte externa de los impactos, y no las internas del vehículo. Además, las conclusiones contenidas en el informe están en contradicción con las observaciones efectuadas por el Juez Instructor en la diligencia de inspección ocular. </w:t>
      </w:r>
    </w:p>
    <w:p w:rsidR="00FE0907" w:rsidRDefault="00FE0907" w:rsidP="00FE0907">
      <w:pPr>
        <w:pStyle w:val="TextoNormal"/>
      </w:pPr>
      <w:r>
        <w:t xml:space="preserve">Así, pues, la única prueba de cargo practicada se ha realizado sin las debidas garantías y de ella se ha extraído como conclusión que el recurrente efectuó a la víctima un disparo por delante y al pecho, que no aparece demostrado en absoluto, por lo que se ha infringido el art. 24.2 de la Constitución. </w:t>
      </w:r>
    </w:p>
    <w:p w:rsidR="00FE0907" w:rsidRDefault="00FE0907" w:rsidP="00FE0907">
      <w:pPr>
        <w:pStyle w:val="TextoNormal"/>
      </w:pPr>
      <w:r>
        <w:t xml:space="preserve">C) Denegación del derecho a utilizar los medios de prueba pertinentes para la defensa, con la consiguiente indefensión, al haberse rechazado la práctica de la prueba pericial propuesta en el acto del juicio oral. </w:t>
      </w:r>
    </w:p>
    <w:p w:rsidR="00FE0907" w:rsidRDefault="00FE0907" w:rsidP="00FE0907">
      <w:pPr>
        <w:pStyle w:val="TextoNormal"/>
      </w:pPr>
      <w:r>
        <w:t xml:space="preserve">En la fase sumarial se dictó Auto de incoación de sumario de urgencia y, llegados al día de la vista, se propuso por la defensa prueba pericial que, en un principio, fue admitida por la Sala y, tras las protestas de la acusación particular y del Ministerio Fiscal, ésta, previa deliberación, decidió rechazarla sobre la base de que el procedimiento había variado, y que se tramitaba por las normas del proceso ordinario y no de urgencia. Este cambio de procedimiento fue sorpresivo para el demandante, a quien en ningún momento anterior se le notificó resolución alguna que acordara la transformación del procedimiento. De aquí que éste tuviera en todo momento la convicción de que podía proponer y practicar prueba en el mismo acto del juicio oral. Sin embargo, la decisión de la Sala le ha privado del derecho a utilizar los medios de prueba, destinado a desvirtuar la que había sido realizada por el Gabinete de Identificación de la Dirección General de Policía, puesto que si en este proceso era fundamental determinar la trayectoria y dirección de los disparos, al privársele de la prueba se le ha causado, indudablemente, indefensión. </w:t>
      </w:r>
    </w:p>
    <w:p w:rsidR="00FE0907" w:rsidRDefault="00FE0907" w:rsidP="00FE0907">
      <w:pPr>
        <w:pStyle w:val="TextoNormal"/>
      </w:pPr>
      <w:r>
        <w:t>Concluye la demanda solicitando la nulidad de las resoluciones que han impedido el pleno ejercicio de los derechos referidos y la reposición de las actuaciones al momento procesal en que se encontraba cuando se produjo el quebranto de los derechos conculcados, debiendo tomarse los acuerdos precisos para restablecer al recurrente en la integridad de sus derechos, así como, en tanto se dicta Sentencia en el presente recurso, pidió que se acordara la suspensión de la ejecución de las Sentencias impugnadas pues, de lo contrario, el amparo perdería su finalidad.</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12 de enero de 1989, la Sección acordó tener por interpuesto recurso de amparo a instancias de don Manuel Guerrero Álvarez, y por personada en nombre del mismo a la Procuradora doña Africa Martín Rico. Previamente a decidir sobre la </w:t>
      </w:r>
      <w:r>
        <w:lastRenderedPageBreak/>
        <w:t>admisión del recurso, de conformidad con el art. 88 de la LOTC, se acordó requerir al Tribunal Supremo y a la Audiencia Provincial de San Sebastián para que en el plazo de diez días remitiesen testimonios del recurso de casación, del sumario y del correspondiente rollo de Sala.</w:t>
      </w:r>
    </w:p>
    <w:p w:rsidR="00FE0907" w:rsidRDefault="00FE0907" w:rsidP="00FE0907">
      <w:pPr>
        <w:pStyle w:val="TextoNormal"/>
      </w:pPr>
    </w:p>
    <w:p w:rsidR="00FE0907" w:rsidRDefault="00FE0907" w:rsidP="00FE0907">
      <w:pPr>
        <w:pStyle w:val="TextoNormal"/>
      </w:pPr>
      <w:r w:rsidRPr="00FE0907">
        <w:rPr>
          <w:rStyle w:val="NumeroAFNegritaCaracter"/>
        </w:rPr>
        <w:t>5</w:t>
      </w:r>
      <w:r>
        <w:t>. Recibidos los testimonios solicitados, mediante providencia de 3 de abril de 1989 se admitió a trámite la de manda y se interesó de la Audiencia Provincial de San Sebastián el emplazamiento de las personas que fueron parte en el referido proceso, a excepción del recurrente, para que, en plazo de diez días, pudieran comparecer en este proceso constitucional. Igualmente se resolvió formar la correspondiente pieza separada de suspensión.</w:t>
      </w:r>
    </w:p>
    <w:p w:rsidR="00FE0907" w:rsidRDefault="00FE0907" w:rsidP="00FE0907">
      <w:pPr>
        <w:pStyle w:val="TextoNormal"/>
      </w:pPr>
    </w:p>
    <w:p w:rsidR="00FE0907" w:rsidRDefault="00FE0907" w:rsidP="00FE0907">
      <w:pPr>
        <w:pStyle w:val="TextoNormal"/>
      </w:pPr>
      <w:r w:rsidRPr="00FE0907">
        <w:rPr>
          <w:rStyle w:val="NumeroAFNegritaCaracter"/>
        </w:rPr>
        <w:t>6</w:t>
      </w:r>
      <w:r>
        <w:t>. Formuladas las alegaciones correspondientes, la Sala Primera de este Tribunal por Auto de 11 de mayo de 1989 acordó la suspensión de la ejecución de la Sentencia dictada por la Sala Segunda del Tribunal Supremo y de la Audiencia Provincial de San Sebastián, en lo relativo a la pena privativa de libertad y sus accesorias. No así la del pago de las indemnizaciones a los herederos de la víctima, siempre que éstos afianzasen, en la forma que acuerde el órgano judicial, la devolución de las cantidades que perciban.</w:t>
      </w:r>
    </w:p>
    <w:p w:rsidR="00FE0907" w:rsidRDefault="00FE0907" w:rsidP="00FE0907">
      <w:pPr>
        <w:pStyle w:val="TextoNormal"/>
      </w:pPr>
    </w:p>
    <w:p w:rsidR="00FE0907" w:rsidRDefault="00FE0907" w:rsidP="00FE0907">
      <w:pPr>
        <w:pStyle w:val="TextoNormal"/>
      </w:pPr>
      <w:r w:rsidRPr="00FE0907">
        <w:rPr>
          <w:rStyle w:val="NumeroAFNegritaCaracter"/>
        </w:rPr>
        <w:t>7</w:t>
      </w:r>
      <w:r>
        <w:t>. Mediante nueva providencia de 5 de junio de 1989 se dió vista de todas las actuaciones del presente recurso de amparo al demandante y al Ministerio Fiscal para que, por plazo común de veinte días, alegasen lo que conviniese a su derecho.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Por escrito que tuvo entrada en este Tribunal el 27 de junio de 1989, el Ministerio Fiscal formuló sus alegaciones en las que, tras indicar que aunque el amparo se diga formulado contra la Sentencia del Tribunal Supremo, los reproches que se aducen sólo pueden aplicarse a la Sentencia de instancia. Afirma, respecto a la vulneración del derecho a la tutela judicial efectiva por falta de emplazamiento del responsable civil subsidiario, que sólo invocando un interés propio puede recurrirse en casación y que la falta de emplazamiento del Estado supone un defecto procesal que sólo pudiera afectar a la acusación particular la cual desistió del recurso de casación interpuesto, de aquí que no pudiera ser examinado este motivo de casación por el Tribunal Supremo. A mayor abundamiento, el simple quebrantamiento procesal no justifica una indefensión para quien lo alega, y es lo cierto que el recurrente no ha visto mermado o limitado su derecho de defensa por esta circunstancia. Por consiguiente, no se ha violado el derecho a la tutela judicial efectiva del art. 24.1 de la Constitución. </w:t>
      </w:r>
    </w:p>
    <w:p w:rsidR="00FE0907" w:rsidRDefault="00FE0907" w:rsidP="00FE0907">
      <w:pPr>
        <w:pStyle w:val="TextoNormal"/>
      </w:pPr>
      <w:r>
        <w:t xml:space="preserve">En cuanto al segundo motivo de amparo, se basa en que la prueba pericial realizada sobre las fotografías tomadas del vehículo no se sujeta a los requisitos que para esta prueba exige el art. 334 de la L.E.Crim.; por tanto, de ella no se puede extraer la conclusión de que el demandante efectuó un disparo de frente hacia la parte delantera del coche. Sin embargo, aun prescindiendo de este controvertido disparo realizado de frente, existen suficientes pruebas en las actuaciones que permiten rechazar la alegada infracción del principio constitucional de presunción de inocencia, pues quedan aún los disparos que el procesado realizó sobre la parte trasera del coche, que también alcanzaron al conductor, y que permiten deducir la existencia de un ánimo de matar en aquél. </w:t>
      </w:r>
    </w:p>
    <w:p w:rsidR="00FE0907" w:rsidRDefault="00FE0907" w:rsidP="00FE0907">
      <w:pPr>
        <w:pStyle w:val="TextoNormal"/>
      </w:pPr>
      <w:r>
        <w:t xml:space="preserve">Tampoco se puede concluir que no se haya seguido un proceso con todas las garantías. Lo que en realidad imputa el actor al informe pericial es que éste no se ha efectuado con la necesaria garantía técnica, pero ello no es atendible pues no se está ante una prueba que </w:t>
      </w:r>
      <w:r>
        <w:lastRenderedPageBreak/>
        <w:t xml:space="preserve">vincule al juzgador, sino ante una prueba más de las que el Tribunal tuvo a su disposición para formar criterio, de tal manera que el veredicto de culpabilidad sigue basado también en otras pruebas distintas a la pericial impugnada. En definitiva, una cosa son las garantías que constitucionalmente se exigen a todo proceso judicial, y otra cosa es que la prueba pericial pudiera haber sido realizada en mejores condiciones técnicas, que es en definitiva lo que origina la queja del actor y que no desemboca en la indefensión alegada. </w:t>
      </w:r>
    </w:p>
    <w:p w:rsidR="00FE0907" w:rsidRDefault="00FE0907" w:rsidP="00FE0907">
      <w:pPr>
        <w:pStyle w:val="TextoNormal"/>
      </w:pPr>
      <w:r>
        <w:t xml:space="preserve">Respecto al tercer motivo del recurso se invoca una doble objeción: una de carácter formal, consistente en la inadmisión de una prueba propuesta de forma procedente según el denominado procedimiento de urgencia, y otra, de carácter sustantivo, por la inadmisión de esa prueba que era pertinente y cuya omisión pudo producir indefensión. En cuanto a la primera, es cierto que, tratándose de un procedimiento de urgencia, la parte podía esperar al juicio oral para aportar nuevas pruebas y si en ese momento se le deniegan, se le ha sustraído el derecho a hacer uso de las pruebas pertinentes, derecho constitucional que consagra el art. 24.2 de la Constitución. Sin embargo, el procedimiento que legalmente correspondía por razón del delito y de la pena a imponer tenía que ser el ordinario y, aunque no se comunicó al imputado el cambio de procedimiento, tanto del modo en que se tramitó la fase intermedia como de las actuaciones de las partes al formular sus calificaciones y del Auto que señalaba el juicio oral -en el que se mencionaban los arts. 659 y 660 de la L.E.Crim. sólo aplicable al proceso ordinario- no podía ignorar la asistencia Letrada del recurrente que el procedimiento que se seguía era el ordinario. </w:t>
      </w:r>
    </w:p>
    <w:p w:rsidR="00FE0907" w:rsidRDefault="00FE0907" w:rsidP="00FE0907">
      <w:pPr>
        <w:pStyle w:val="TextoNormal"/>
      </w:pPr>
      <w:r>
        <w:t xml:space="preserve">En cuanto a la segunda objeción, la Sala de instancia ya argumenta la imposibilidad de que fuera una bala rebotada en el nervio superior del parabrisas la que ocasionara la herida en el pecho de la víctima, y el propio Tribunal Supremo estimó supérflua, por innecesaria, la prueba que el actor pretendía que se practicara. Ello permite afirmar que su denegación no ha ocasionado la indefensión alegada, dado que del análisis del resto de la prueba de que se disponía permitía concluir que la propuesta era inoperante. </w:t>
      </w:r>
    </w:p>
    <w:p w:rsidR="00FE0907" w:rsidRDefault="00FE0907" w:rsidP="00FE0907">
      <w:pPr>
        <w:pStyle w:val="TextoNormal"/>
      </w:pPr>
      <w:r>
        <w:t>Por todo lo anterior el Fiscal considera que debe desestimarse la presente demanda de amparo.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En escrito de 3 de julio de 1989 la representación de la parte actora solicitó la sustitución del trámite de alegaciones por la celebración de vista oral, la cual fue rechazada por providencia de la Sección Primera de 17 de julio de 1989, por ser tal petición extemporánea, y se concedió a la misma un nuevo plazo de diez días para formular las alegaciones escritas. </w:t>
      </w:r>
    </w:p>
    <w:p w:rsidR="00FE0907" w:rsidRDefault="00FE0907" w:rsidP="00FE0907">
      <w:pPr>
        <w:pStyle w:val="TextoNormal"/>
      </w:pPr>
      <w:r>
        <w:t xml:space="preserve">En el plazo indicado, insistiendo en los fundamentos de su demanda, argumenta el recurrente en relación con el primero de los motivos de su recurso que la falta de emplazamiento del responsable civil subsidiario podría haberse corregido por el Tribunal Supremo ordenando que se retrotrajeran las actuaciones al momento procesal en que se produjo el error, lo que habría originado la nulidad de las actuaciones posteriores y permitido llevar a cabo medios de prueba que en el juicio oral no pudieron practicarse. Por el contrario, el Tribunal Supremo rechazó el motivo so pretexto de una falta de legitimación, y ello supuso no sólo la infracción de un precepto procesal (art. 850.2 de la L.E.Crim.) sino la privación de un medio de defensa que supone una flagrante violación del derecho al proceso debido y que vulnera el art. 24.1 de la Constitución, comprensivo también del derecho a que por los Tribunales de Justicia se respeten las "maneras" o "formas" procesales, que no son otra cosa que garantías para los sometidos a su jurisdicción. </w:t>
      </w:r>
    </w:p>
    <w:p w:rsidR="00FE0907" w:rsidRDefault="00FE0907" w:rsidP="00FE0907">
      <w:pPr>
        <w:pStyle w:val="TextoNormal"/>
      </w:pPr>
      <w:r>
        <w:t xml:space="preserve">Respecto del segundo de los motivos del recurso de amparo se insiste en que la única prueba de cargo que se imputa al actor se ha llevado a cabo sin un mínimo de garantías </w:t>
      </w:r>
      <w:r>
        <w:lastRenderedPageBreak/>
        <w:t xml:space="preserve">legales. El informe emitido por el Gabinete Central de Identificación de la Policía relativo a las trayectorias e impactos se realizó, exclusivamente, a la vista de unas fotografías y sin tener en cuenta la diligencia de inspección ocular practicada por el Juez Instructor, en la que se constataba la existencia de unos impactos de bala cuya entrada se había producido por detrás del vehículo. Así las cosas, con este único elemento probatorio, se condena al recurrente por haber disparado el fusil de frente contra una persona y dirigido hacia el pecho. Si tenemos presente que tal actividad probatoria se ha llevado a cabo sin las prevenciones que establece nuestra legislación vigente, se infringe el derecho al proceso con todas las garantías, que repercute en otro derecho constitucionalmente amparado como es el de presunción de inocencia. </w:t>
      </w:r>
    </w:p>
    <w:p w:rsidR="00FE0907" w:rsidRDefault="00FE0907" w:rsidP="00FE0907">
      <w:pPr>
        <w:pStyle w:val="TextoNormal"/>
      </w:pPr>
      <w:r>
        <w:t xml:space="preserve">El día del juicio oral, el demandante propuso la práctica de una prueba pericial consistente en un informe emitido por escrito por dos técnicos de balística diplomados en investigación criminal así como una placa de metal con diversos impactos de diferentes armas, acreditativa de las formas que dejaban en dicha placa los orificios de entrada y salida y de la diversa potencia de distintas municiones y armas. Tal prueba era idónea y se solicitó en el momento procesal oportuno. Era idónea y necesaria porque la prueba de cargo practicada por el Gabinete de Identificación de la Policía era incompleta, y se pretendía con ella desvirtuar la misma con la finalidad de tratar de demostrar que los disparos efectuados se realizaron por detrás del vehículo y no por delante como luego establecieron las Sentencias impugnadas. La práctica de tal pericia fue admitida en principio por la Sala, pero, al ser impugnada por las acusaciones, tomó el acuerdo de rechazarla por estimar que el procedimiento seguido era el ordinario y no el de urgencia, extremo éste sobre el que el actor no había recibido previa notificación. De esta manera, se infringió su derecho a utilizar los medios de prueba pertinentes para la defensa y se le causó indefensión violando los derechos reconocidos en el art. 24.1 y 2 de la Constitución. </w:t>
      </w:r>
    </w:p>
    <w:p w:rsidR="00FE0907" w:rsidRDefault="00FE0907" w:rsidP="00FE0907">
      <w:pPr>
        <w:pStyle w:val="TextoNormal"/>
      </w:pPr>
      <w:r>
        <w:t xml:space="preserve">Termina pidiendo que se dicte Sentencia de conformidad con el suplico de la demanda de amparo. </w:t>
      </w:r>
    </w:p>
    <w:p w:rsidR="00FE0907" w:rsidRDefault="00FE0907" w:rsidP="00FE0907">
      <w:pPr>
        <w:pStyle w:val="TextoNormal"/>
      </w:pPr>
      <w:r>
        <w:t>Por providencia del día 16 de marzo de 1992, se señaló el día 18 siguiente para votación y fallo de dicha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tiene por objeto decidir, en los términos planteados en la demanda, tres cuestiones distintas: a) Si la falta de emplazamiento del Estado como responsable civil subsidiario, declarado como tal en el Auto de procesamiento, para su personación y defensa en el juicio oral vulnera el derecho a la tutela judicial efectiva del art.  24.1 y causa indefensión al recurrente, por ser dicho responsable civil parte necesaria y haber originado su ausencia una defectuosa constitución de la relación jurídico procesal; b) Si la prueba pericial aportada al juicio oral, y practicada sobre unas fotografías obtenidas del vehículo que conducía el fallecido, ha sido realizada sin las debidas garantías y debe ser considerada como prueba de cargo susceptible de destruir la presunción de inocencia pues, de no ser así, la sentencia condenatoria dictada habría infringido el derecho constitucional consagrado en el art. 24.2 de la Constitución; y c) Si la inadmisión de la prueba pericial propuesta por el recurrente en el acto del juicio oral, y denegada por haberse producido un cambio en el procedimiento (de urgencia a ordinario) no notificado a la parte, ha ocasionado una denegación indebida del derecho a utilizar los medios de prueba pertinentes, con resultado de indefensión, y violado el art.  24.1 y 2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Con relación al primero de los motivos del recurso de amparo, el art. 19 del Código Penal señala que toda persona responsable criminalmente de un delito o falta lo es también civilmente y en consecuencia, imputándose al actor la autoría de la muerte de otra persona, el Auto de procesamiento, tras ordenar que se requiriese al procesado para que prestase fianza bastante para cubrir el importe de la indemnización que en su día pudiera fijarse, declara la responsabilidad civil subsidiaria del Estado, a la vista del carácter de funcionario público (Guardia Civil) que ostentaba el procesado, y en aplicación de lo dispuesto en los arts. 21 y 22 del Código Penal.</w:t>
      </w:r>
    </w:p>
    <w:p w:rsidR="00FE0907" w:rsidRDefault="00FE0907" w:rsidP="00FE0907">
      <w:pPr>
        <w:pStyle w:val="TextoNormal"/>
      </w:pPr>
      <w:r>
        <w:t>Al formular sus escritos de acusación, tanto el Ministerio Fiscal como la acusación particular efectuaron distintas peticiones indemnizatorias a favor de los perjudicados y herederos de la víctima de las cuales, decían, "responderá de modo subsidiario el Estado a través del Ministerio del Interior".  En virtud de estas peticiones, y de acuerdo con lo que dispone el art. 652 de la L.E.Crim., el Tribunal debió de dar traslado de la causa al responsable civil subsidiario para que se evacuara por éste su escrito de conclusiones y tenerlo así por parte en el momento de la celebración del juicio oral.  Sin embargo, la Sala no actuó de esta manera pues, tras efectuarse la petición indicada anteriormente, se omitió cualquier notificación o emplazamiento al responsable civil subsidiario, el cual quedó por ello excluído de la causa.</w:t>
      </w:r>
    </w:p>
    <w:p w:rsidR="00FE0907" w:rsidRDefault="00FE0907" w:rsidP="00FE0907">
      <w:pPr>
        <w:pStyle w:val="TextoNormal"/>
      </w:pPr>
      <w:r>
        <w:t>Argumenta el actor que tal omisión le produjo indefensión, pues siendo la constitución de la relación jurídico procesal una cuestión de orden público, esta defectuosa constitución no sólo implica una infracción de las reglas del proceso, que no fija legitimaciones puntuales para denunciar la infracción, sino que ha impedido practicar las pruebas precisas que todas las partes del proceso hubieran podido proponer.</w:t>
      </w:r>
    </w:p>
    <w:p w:rsidR="00FE0907" w:rsidRDefault="00FE0907" w:rsidP="00FE0907">
      <w:pPr>
        <w:pStyle w:val="TextoNormal"/>
      </w:pPr>
      <w:r>
        <w:t>Este criterio, sin embargo, no puede ser compartido.  En efecto, a pesar de que el art. 100 de la L.E.Crim. señala que de todo delito o falta nace acción penal para el castigo del culpable y puede nacer también acción civil para la restitución de la cosa, la reparación del daño y la indemnización de perjuicios causados por el hecho punible, ello no puede llevarnos a confundir la distinta naturaleza de las acciones penal y civil que surgen del hecho punible, puesto que el hecho de que los preceptos que regulan esta última se encuentren en el Código Penal y que la responsabilidad civil sea exigible conjuntamente con la penal en la misma vía jurisdiccional, es debido a evidentes razones de orden práctico, pero no pueden enturbiar la distinción entre la sanción penal y la responsabilidad civil que puede surgir a consecuencia de un delito o falta, cuando éste provoca un daño a la víctima que deba ser reparado (ATC 161/1983).  En virtud de esta distinción la acción civil derivada del delito es renunciable por el ofendido (art. 108 L.E.Crim.)  y puede ser ejercitada separadamente de la penal por el perjudicado (arts.  110, 111 y 112 L.E.Crim.), de tal manera que el derecho al resarcimiento se constituye como un derecho subjetivo privado del ofendido cuya renuncia sólo puede perjudicar a éste (art. 107 L.E.Crim.).</w:t>
      </w:r>
    </w:p>
    <w:p w:rsidR="00FE0907" w:rsidRDefault="00FE0907" w:rsidP="00FE0907">
      <w:pPr>
        <w:pStyle w:val="TextoNormal"/>
      </w:pPr>
      <w:r>
        <w:t>En este sentido se ha orientado la jurisprudencia de este Tribunal, al señalar que, aunque es cierto que en todo proceso judicial debe respetarse el derecho de defensa contradictoria de las partes , el mismo ha sido y es objeto de matizaciones en relación con la acción civil derivada del delito ejercitada contra terceras personas, por estar limita da al peculiar objeto indemnizatorio, pues la responsabilidad civil derivada del delito puede resolverse independientemente de la penal (SSTC 4/1982, 48/1984, 18/1985 y 90/1988, entre otras), debido a que la naturaleza de la acción civil derivada del delito participa del carácter dispositivo de las acciones reguladas en la L.E.C. (arts. 614 y 615 de la L.E.Crim.).</w:t>
      </w:r>
    </w:p>
    <w:p w:rsidR="00FE0907" w:rsidRDefault="00FE0907" w:rsidP="00FE0907">
      <w:pPr>
        <w:pStyle w:val="TextoNormal"/>
      </w:pPr>
      <w:r>
        <w:lastRenderedPageBreak/>
        <w:t>Por todo lo anterior, hay que concluir que la falta de emplazamiento del responsable civil subsidiario, su incomparecencia en el acto de la vista y su posterior omisión en la Sentencia, únicamente podía perjudicar a las personas ofendidas por el delito, las cuales eran las únicas legitimadas para pedir la subsanación del defecto procesal que originaba su omisión. Estas no actuaron así, e incluso en el trámite de casación desistieron del recurso interpuesto por ellas mismas.  De aquí que no se origine indefensión alguna para el acusado, quien no ha visto mermados, por esta causa, sus medios de defensa ni le originaba perjuicio alguno la infracción de un precepto procesal que no tiene trascendencia constitucional (SSTC 53/1989, 90/1988 y 161/1985, entre otras).</w:t>
      </w:r>
    </w:p>
    <w:p w:rsidR="00FE0907" w:rsidRDefault="00FE0907" w:rsidP="00FE0907">
      <w:pPr>
        <w:pStyle w:val="TextoNormal"/>
      </w:pPr>
    </w:p>
    <w:p w:rsidR="00FE0907" w:rsidRDefault="00FE0907" w:rsidP="00FE0907">
      <w:pPr>
        <w:pStyle w:val="TextoNormal"/>
      </w:pPr>
      <w:r w:rsidRPr="00FE0907">
        <w:rPr>
          <w:rStyle w:val="NumeroAFNegritaCaracter"/>
        </w:rPr>
        <w:t>3</w:t>
      </w:r>
      <w:r>
        <w:t>. El segundo motivo de amparo versa sobre un informe pericial realizado por el Gabinete Central de Identificación de la Dirección General de Policía, -unido a los folios 118 y siguientes del sumario-, en el que, tras el examen de la camisa y el jersey que llevaba puestos el fallecido el día de los hechos, de catorce fotografías obtenidas del vehículo en cuyo interior se encontraba éste cuando fueron efectuados los disparos, y de una fotocopia del informe de autopsia, se llega -"salvo error de apreciación producido por la falta de idoneidad de los elementos de juicio (fotografías)"- a las siguientes conclusiones: 1º) que el vehículo presenta fotográficamente un mínimo de seis impactos, de los cuales cinco los recibe por su parte trasera y uno por su parte delantera; 2º) dando como cierto que la víctima recibe un disparo en el pecho con salida por la espalda, su trayectoria se correspondería con la del disparo estimado como delantero en el vehículo, con la víctima sentada en el asiento del conductor; ... 4º) no es posible determinar las trayectorias de los disparos, dado tanto las dispersiones de los orificios de entrada y salida, como las posibles y supuestas desviaciones de los proyectiles, en el interior del vehículo, por impactos contra zonas del mismo.</w:t>
      </w:r>
    </w:p>
    <w:p w:rsidR="00FE0907" w:rsidRDefault="00FE0907" w:rsidP="00FE0907">
      <w:pPr>
        <w:pStyle w:val="TextoNormal"/>
      </w:pPr>
      <w:r>
        <w:t>Esta prueba, afirma el recurrente, es la única de cargo que existe en el proceso y carece radicalmente de valor, pues el objeto de la pericia no fue el vehículo sobre el que se efectuaron los disparos sino unas fotografías obtenidas del mismo.  En consecuencia, al no haberse practicado el informe con las garantías que recogen los arts.  334 y siguientes de la L.E.Crim. -que la prueba pericial se efectúe sobre el cuerpo objeto del delito-, debe considerarse inexistente, y, en su virtud, nos hallamos ante un vacío probatorio insuficiente para destruir la presunción de inocencia.</w:t>
      </w:r>
    </w:p>
    <w:p w:rsidR="00FE0907" w:rsidRDefault="00FE0907" w:rsidP="00FE0907">
      <w:pPr>
        <w:pStyle w:val="TextoNormal"/>
      </w:pPr>
    </w:p>
    <w:p w:rsidR="00FE0907" w:rsidRDefault="00FE0907" w:rsidP="00FE0907">
      <w:pPr>
        <w:pStyle w:val="TextoNormal"/>
      </w:pPr>
      <w:r w:rsidRPr="00FE0907">
        <w:rPr>
          <w:rStyle w:val="NumeroAFNegritaCaracter"/>
        </w:rPr>
        <w:t>4</w:t>
      </w:r>
      <w:r>
        <w:t>. Conforme a reiterada jurisprudencia de este Tribunal, la presunción de inocencia consagrada en el art. 24.2 de la Constitución se asienta sobre dos ideas esenciales: de un lado, el principio de libre valoración de la prueba en el proceso penal y, de otro, que la Sentencia condenatoria se fundamente en auténticos actos de prueba suficientes para desvirtuarla, para lo cual se hace necesario que la evidencia que origine su resultado lo sea, tanto con respecto a la existencia del hecho punible, como en todo lo atinente a la participación que en él tuvo el acusado (SSTC 31/1981, 44/1987, 82/1988 y 161/1990).</w:t>
      </w:r>
    </w:p>
    <w:p w:rsidR="00FE0907" w:rsidRDefault="00FE0907" w:rsidP="00FE0907">
      <w:pPr>
        <w:pStyle w:val="TextoNormal"/>
      </w:pPr>
      <w:r>
        <w:t xml:space="preserve">El recurrente, según hemos visto, estima que el informe pericial practicado no constituye un verdadero medio de prueba por haberse realizado sin las necesarias garantías ya que no se efectuó sobre el vehículo que recibió los impactos, devuelto a los herederos de la víctima que procedieron a su reparación, sino sobre las fotografías que se obtuvieron del mismo y al ser ésta la única prueba de cargo, no ha quedado destruída la presunción de inocencia. Mas estas afirmaciones del recurrente no pueden admitirse. En la prueba pericial lo que el perito aporta al juzgador no son los hechos sino sus conocimientos técnicos o artísticos sobre los mismos que puedan resultar necesarios para su correcta apreciación.  </w:t>
      </w:r>
      <w:r>
        <w:lastRenderedPageBreak/>
        <w:t>Así el art. 456 de la L.E.Crim. dice que "el Juez acordará el informe pericial cuando, para conocer o apreciar algún hecho o circunstancia importante en el sumario, fuesen necesarios o convenientes conocimientos científicos o artísticos". Naturalmente que el informe será más completo y ofrecerá mayores garantías de fiabilidad, si se realiza sobre el cuerpo del delito, pero ello no excluye que los conocimientos del perito puedan realizarse, a falta de aquél, sobre los elementos que se le faciliten y que fueron, en este caso, no sólo las catorce fotografías del vehículo que recibió los impactos sino también la ropa -camisa y jersey- que vestía la víctima al tiempo de recibirlos y la xerocopia del informe de autopsia en el que se recogían las lesiones por disparo de arma de fuego observados en el cuerpo de la víctima y las causas probables de su muerte. No es, pues, cierto que el informe pericial se realizara exclusivamente sobre las fotografías del vehículo, sino que se emitió a la vista también de los demás elementos citados que en él se reseñan y analizan y que permitieron su emisión en la forma y con el detalle que consta en los autos. Su valor probatorio pudo, por tanto, ser apreciado por el Tribunal de instancia conforme a lo dispuesto en el art. 741 de la L.E.Crim., sin que corresponda a este Tribunal revisar la valoración que sobre dicha prueba y de las demás practicadas hayan realizado los órganos judiciales (SSTC 31/1981, 107/1983, 107/1989 y 94/1990, entre otras muchas).</w:t>
      </w:r>
    </w:p>
    <w:p w:rsidR="00FE0907" w:rsidRDefault="00FE0907" w:rsidP="00FE0907">
      <w:pPr>
        <w:pStyle w:val="TextoNormal"/>
      </w:pPr>
      <w:r>
        <w:t>Tampoco puede ser admitida la afirmación del recurrente en lo relativo a que dicho informe era la única prueba de cargo que se practicó en el juicio oral.  Ya en el mismo se afirma que se ha verificado tras examinar no sólo las fotografías del vehículo sino la propia ropa que llevaba la víctima y una copia del informe de autopsia, y en el considerando primero de la Sentencia de instancia se razona que las conclusiones a las que en ella se llegan han sido obtenidas del informe emitido por el Gabinete Central de Identificación y también del informe Médico Forense y del emitido por los médicos que atendieron al fallecido en el hospital en que fue ingresado y del acta del juicio oral se desprende que en él se practicó, asímismo, prueba testifical y pericial médico forense, de diversos especialistas médicos, y de dos comandantes de la Guardia Civil, propuestos por la defensa, que depusieron sobre la potencia de fuego de las armas empleadas y sobre las posibilidades de rebote de los proyectiles empleados.</w:t>
      </w:r>
    </w:p>
    <w:p w:rsidR="00FE0907" w:rsidRDefault="00FE0907" w:rsidP="00FE0907">
      <w:pPr>
        <w:pStyle w:val="TextoNormal"/>
      </w:pPr>
      <w:r>
        <w:t>Con base en todas estas pruebas y no sólo en el informe pericial al que limita sus alegaciones el recurrente, la Sentencia, saliendo al paso de la versión de éste sobre la trayectoria de la bala que penetró en el pecho de la víctima, razona lo siguiente en su primer considerando: "...debiéndose rechazar la hipótesis de la defensa referente a que el tiro o disparo que entró en el pecho de Marcelo Garciandía fue debido a un rebote, pues la potencia del fusil de asalto Cetme hace difícil pensar en la posibilidad de que una bala pueda rebotar en el nervio superior del parabrisas delantero cuando dos de ellas lo atravesaron y pueda volver sobre sí misma con tal potencia que pueda atravesar a una persona, produciendo un orificio de entrada limpio...".  De estas circunstancias, así como de la salida del proyectil por la parte trasera del vehículo y del tipo de herida puntiforme producida a la víctima, llega la Sala a la conclusión de que "se efectuó un disparo por la parte delantera del vehículo que alcanzó el pecho del conductor que se encontraba inclinado sobre el volante, disparo que entró por el cristal delantero y salió por la parte trasera izquierda del vehículo, a media altura, después de atravesar el cuerpo del conductor...".</w:t>
      </w:r>
    </w:p>
    <w:p w:rsidR="00FE0907" w:rsidRDefault="00FE0907" w:rsidP="00FE0907">
      <w:pPr>
        <w:pStyle w:val="TextoNormal"/>
      </w:pPr>
      <w:r>
        <w:t xml:space="preserve">A la vista de estas conclusiones a que llega la Sala tras analizar los diferentes medios de prueba practicados, no puede decirse que se haya vulnerado el principio de presunción de inocencia del actor. En efecto, para que tal vulneración pudiera apreciarse sería necesario: bien la existencia de un vacío probatorio por no haberse practicado prueba alguna; bien que la practicada se hubiera realizado sin respetar las garantías procesales o hubiera </w:t>
      </w:r>
      <w:r>
        <w:lastRenderedPageBreak/>
        <w:t>sido obtenida con violación de derechos fundamentales del recurrente; o, finalmente, que no mediara razonamiento alguno, o fuera ilógico o arbitrario, entre el resultado de las pruebas practicadas y los hechos que se deducen de las mismas (SSTC 182/1989 y 41/1991, entre otras).  Ninguna de estas circunstancias concurren en el presente caso en el que el recurrente sólo combate el informe pericial de la Dirección General de Policía, Gabinete Central de Identificación, por no haberse realizado la peritación sobre el vehículo.  Mas aunque se prescindiera de dicha prueba -y no hay razón para hacerlo puesto que se trata de una prueba más de las practicadas-, se podría haber llegado por la Sala a la misma conclusión con el análisis de las demás pruebas, partiendo siempre del hecho irrebatible de la penetración de uno de los proyectiles en el pecho de la víctima.  Pues bien, razonada de manera lógica y plasmada en la Sentencia suficientemente la apreciación de la Sala y la conclusión a que llega, no es posible sostener que, como entiende el recurrente, se ha violado su derecho a la presunción de inocencia.</w:t>
      </w:r>
    </w:p>
    <w:p w:rsidR="00FE0907" w:rsidRDefault="00FE0907" w:rsidP="00FE0907">
      <w:pPr>
        <w:pStyle w:val="TextoNormal"/>
      </w:pPr>
    </w:p>
    <w:p w:rsidR="00FE0907" w:rsidRDefault="00FE0907" w:rsidP="00FE0907">
      <w:pPr>
        <w:pStyle w:val="TextoNormal"/>
      </w:pPr>
      <w:r w:rsidRPr="00FE0907">
        <w:rPr>
          <w:rStyle w:val="NumeroAFNegritaCaracter"/>
        </w:rPr>
        <w:t>5</w:t>
      </w:r>
      <w:r>
        <w:t>. En relación con el último motivo de amparo conviene hacer alguna consideración previa.  El denominado procedimiento de urgencia para determinados delitos fue introducido en la L.E.Crim. por la reforma operada por la Ley 3/1967 de 8 de abril.  Nació con la finalidad de arbitrar un procedimiento penal más ágil y rápido que el contenido en las normas reguladoras de la L.E.Crim. para el proceso ordinario.  Los arts.  14 y 779 de la L.E.Crim. fijaron, en lo que aquí nos interesa, la competencia de las Audiencias Provinciales para el enjuiciamiento y fallo de las causas por delitos castigados con pena no superior a la de prisión menor, privación de permiso de conducir o multa, cualquiera que sea su cuantía, y, tratándose de delitos flagrantes, para el enjuiciamiento y fallo de las causas por delitos castigados con pena no superior a prisión mayor.</w:t>
      </w:r>
    </w:p>
    <w:p w:rsidR="00FE0907" w:rsidRDefault="00FE0907" w:rsidP="00FE0907">
      <w:pPr>
        <w:pStyle w:val="TextoNormal"/>
      </w:pPr>
      <w:r>
        <w:t>Independientemente de estas normas de atribución de competencia, y sin entrar aquí en otras diferencias que no interesan al caso, el procedimiento ordinario y el de urgencia se diferenciaban, dentro de la denominada fase intermedia, en que mientras en el primero los trámites de instrucción de las partes y de petición de apertura del juicio oral eran distintas y separadas de la calificación de la causa, en el procedimiento de urgencia se evacuaban ambos en un sólo escrito (arts. 797 y 798 en relación con los arts. 627 y 649 de la L.E.Crim.)  y, en la fase de juicio oral, el art.  800 L.E.Crim. permitía a las partes aportar en el acto de la vista nuevas pruebas, al contrario de lo que ocurre en el procedimiento ordinario en que éstas deben ser propuestas en el escrito de calificación (art. 656 L.E.Crim.)  y no podrán practicarse otras que las contenidas en él (art. 728), con excepción de las diligencias a que se refiere el art. 729 de la L.E.Crim.</w:t>
      </w:r>
    </w:p>
    <w:p w:rsidR="00FE0907" w:rsidRDefault="00FE0907" w:rsidP="00FE0907">
      <w:pPr>
        <w:pStyle w:val="TextoNormal"/>
      </w:pPr>
      <w:r>
        <w:t xml:space="preserve">Hechas las anteriores precisiones, y con relación al caso que nos ocupa, en el folio 98 del sumario consta el Auto de incoación del mismo (de fecha 27 de noviembre de 1982).  En él se ordena que se le dé al proceso el trámite determinado para el procedimiento de urgencia, sin que exista posterior resolución del órgano instructor ni del de enjuiciamiento que deje sin efecto dicha resolución o transforme el procedimiento.  Por ello, cuando la Sala inadmitió la prueba propuesta por la defensa del acusado en el momento de la vista del juicio oral, infringió lo dispuesto en el art. 780 de la L.E.Crim, que ordena que "iniciado un proceso de acuerdo con las normas de este título (procedimiento de urgencia), en cuanto aparezca que el hecho no se halla comprendido en alguno de los supuestos del artículo anterior se continuará conforme a las disposiciones generales de la Ley, sin retroceder en el procedimiento más que en el caso de que resulte necesario practicar diligencias o realizar actuaciones con arreglo a dichos preceptos legales" y que "acordado el procedimiento que deba seguirse, se le hará saber inmediatamente al encartado".  Así, pues, si este </w:t>
      </w:r>
      <w:r>
        <w:lastRenderedPageBreak/>
        <w:t>cambio procesal no se había producido anteriormente, difícilmente se puede sostener el rechazo de una prueba previamente admitida, sobre la base de que se había transformado el procedimiento, porque, como ya dijimos en la STC 51/1985, "las limitaciones del derecho consagrado en el art.  24.2 a servirse de las pruebas pertinentes para la defensa como derecho constitucional, no justifica su sacrificio a intereses indudablemente dignos de tutela, pero de rango subordinado, como puede ser la economía del proceso, la celeridad de éste o la eficacia de la Administración de justicia".</w:t>
      </w:r>
    </w:p>
    <w:p w:rsidR="00FE0907" w:rsidRDefault="00FE0907" w:rsidP="00FE0907">
      <w:pPr>
        <w:pStyle w:val="TextoNormal"/>
      </w:pPr>
      <w:r>
        <w:t>Si, además, esta violación procesal se traduce en la privación a una de las partes de su derecho a practicar uno de los medios de prueba que se había propuesto, y cuya expectativa a ser practicado era legítima a la vista del cauce procesal que se estaba siguiendo, es lógico concluir que no sólo se ha infringido una norma procesal que debía haberse observado,sino también que se han mermado las posibilidades probatorias de la defensa mediante una resolución injustificada de inadmisión de un medio de prueba.</w:t>
      </w:r>
    </w:p>
    <w:p w:rsidR="00FE0907" w:rsidRDefault="00FE0907" w:rsidP="00FE0907">
      <w:pPr>
        <w:pStyle w:val="TextoNormal"/>
      </w:pPr>
    </w:p>
    <w:p w:rsidR="00FE0907" w:rsidRDefault="00FE0907" w:rsidP="00FE0907">
      <w:pPr>
        <w:pStyle w:val="TextoNormal"/>
      </w:pPr>
      <w:r w:rsidRPr="00FE0907">
        <w:rPr>
          <w:rStyle w:val="NumeroAFNegritaCaracter"/>
        </w:rPr>
        <w:t>6</w:t>
      </w:r>
      <w:r>
        <w:t>. Ahora bien, el recurrente en amparo lo mismo que hiciera en el recurso de casación, centra exclusivamente la violación que denuncia, y así lo hace constar de forma expresa en ambos recursos, en la pertinencia de la prueba por él propuesta que le fue arbitrariamente denegada.  No son otras consecuencias y otros posibles efectos del cambio de procedimiento lo que impugna, sino el hecho concreto de que sea ese cambio de procedimiento el causante de la negativa a la práctica de una prueba que califica de pertinente y necesaria o imprescindible dada la inexistencia de otras pruebas idóneas.  Es, pues, desde este ángulo de la pertinencia de la prueba desde el que, por decisión del propio recurrente, ha de examinarse la vulneración que plantea.</w:t>
      </w:r>
    </w:p>
    <w:p w:rsidR="00FE0907" w:rsidRDefault="00FE0907" w:rsidP="00FE0907">
      <w:pPr>
        <w:pStyle w:val="TextoNormal"/>
      </w:pPr>
      <w:r>
        <w:t>Es doctrina reiterada de este Tribunal (SSTC 116/1983, 51/1985, 30/1986, 149/1987 y 158/1989) que la constitucionalización del derecho fundamental a utilizar los medios de prueba pertinentes es inseparable del derecho mismo a la defensa y que para prestar consistencia a una queja motivada en el indebido rechazo de un medio de prueba será necesario que se argumente por el demandante la transcendencia que dicha inadmisión pudo tener en la Sentencia condenatoria ya que, comprobado que el fallo, acaso, pudo haber sido otro si la prueba se hubiese admitido, podrá apreciarse también el menoscabo efectivo del derecho de quien por este motivo acude en amparo.  Por esta causa, el demandante se esfuerza en argumentar que con la prueba pericial que propuso pretendía desvirtuar el informe realizado por el Gabinete de Identificación de la Policía ya que, siendo ésta la única prueba de cargo, su contradicción podría haber dado lugar a un fallo distinto o, en todo caso, podría haber demostrado que los disparos efectuados por el recurrente se realizaron por detrás del vehículo y no por delante y apuntando al pecho.</w:t>
      </w:r>
    </w:p>
    <w:p w:rsidR="00FE0907" w:rsidRDefault="00FE0907" w:rsidP="00FE0907">
      <w:pPr>
        <w:pStyle w:val="TextoNormal"/>
      </w:pPr>
      <w:r>
        <w:t>Tal pretensión, sin embargo, en cualquiera de los casos, hubiera sido inútil.  No sólo porque, como antes hemos puesto de manifiesto, el informe del Gabinete Central de Identificación no fue la única prueba de cargo que se practicó, sino porque no es totalmente exacto que el Tribunal de instancia dejara impracticada la prueba propuesta por el actor.</w:t>
      </w:r>
    </w:p>
    <w:p w:rsidR="00FE0907" w:rsidRDefault="00FE0907" w:rsidP="00FE0907">
      <w:pPr>
        <w:pStyle w:val="TextoNormal"/>
      </w:pPr>
      <w:r>
        <w:t xml:space="preserve">En efecto, en el acta del juicio oral consta que la Sala no admitió la prueba propuesta, pero, una vez practicada la que había sido admitida, "la Sala haciendo uso de las facultades que le concede el art. 729 L.E.Crim. accede a la práctica de la prueba pericial de la defensa" y a tal efecto informaron como peritos don José Pardon Aldea y don Benigno Zamorano Atienza, Comandantes de la Guardia Civil, que, a preguntas de las partes, informaron al Tribunal sobre las características de las armas y municiones empleadas, posibilidades de rebote y sobre el extremo relativo a que en el asiento del conductor no hay orificio de salida.  Es decir, si bien es cierto que la prueba pericial que propuso la defensa </w:t>
      </w:r>
      <w:r>
        <w:lastRenderedPageBreak/>
        <w:t>no se practicó en la forma propuesta por ésta (que consistía en un informe emitido por escrito por dos técnicos de balística diplomados en investigación criminal y una placa de metal con diversos impactos de diferentes armas), sí informaron oralmente al Tribunal dos peritos propuestos por la defensa sobre los extremos que a ésta interesaban.</w:t>
      </w:r>
    </w:p>
    <w:p w:rsidR="00FE0907" w:rsidRDefault="00FE0907" w:rsidP="00FE0907">
      <w:pPr>
        <w:pStyle w:val="TextoNormal"/>
      </w:pPr>
      <w:r>
        <w:t>En definitiva, es indiscutible la existencia de una relación entre denegación indebida de pruebas e indefensión, pero no son conceptos que hayan, sin más, de equipararse porque no existe indefensión de relevancia constitucional cuando, aun existiendo alguna irregularidad procesal, no se llega a producir efectivo y real menoscabo del derecho de defensa, bien porque no exista relación entre los hechos que se querían probar y las pruebas rechazadas o bien porque quede acreditado que el interesado, pese al rechazo, pudo en todo caso proceder a la defensa de sus derechos e intereses legítimos (SSTC 149/1987, 158/1989).  Esto es lo ocurrido en el caso ahora enjuiciado en el que ciertamente se ha producido una irregularidad procesal por no notificarse al demandante el cambio de procedimiento en la forma prevista en el art.  780 de la L.E.Crim. y, consecuencia de ello, por haberse rechazado la prueba pericial propuesta al comenzar las sesiones del juicio oral.  Pero no por este motivo el demandante se ha visto impedido de la defensa de sus derechos e intereses legítimos, pues el Tribunal de instancia, haciendo uso de la facultad conferida por el art. 729 de la L.E.Crim., oyó sobre los hechos objeto de la pericia el informe de dos peritos propuestos por el acusado y sobre los extremos que interesaban a éste en la línea de defensa que había seguido.  En todo caso, la respuesta dada en casación a la denegación de pruebas, aspecto sustancial, unido a la riqueza expositiva de la Sentencia de la Audiencia, que, en parte, hemos reproducido en el fundamento 4, hacen ver que hubo suficiencia de actividad probatoria, y que la prueba inadmitida en la forma propuesta por el recurrente, resultaba superflua, según juicio que corresponde realizar a los Tribunales ordinarios, y que lo han hecho de forma razonable y evitando cualquier atisbo de arbitrariedad.</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dieciocho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7" w:name="SENTENCIA_1992_34"/>
      <w:r>
        <w:lastRenderedPageBreak/>
        <w:t>SENTENCIA 34/1992, de 18 de marzo de 1992</w:t>
      </w:r>
    </w:p>
    <w:bookmarkEnd w:id="37"/>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ECLI:ES:TC:1992:34</w:t>
      </w:r>
    </w:p>
    <w:p w:rsidR="00FE0907" w:rsidRDefault="00FE0907" w:rsidP="00FE0907">
      <w:pPr>
        <w:pStyle w:val="SntesisDescriptiva"/>
      </w:pPr>
    </w:p>
    <w:p w:rsidR="00FE0907" w:rsidRDefault="00FE0907" w:rsidP="00FE0907">
      <w:pPr>
        <w:pStyle w:val="SntesisDescriptiva"/>
      </w:pPr>
      <w:r>
        <w:t>Recurso de amparo 970/1989. Contra Sentencia del Tribunal Central de Trabajo que estimó parcialmente el recurso interpuesto contra Sentencia de la Magistratura de Trabajo núm. 4 de Barcelona reconociendo la situación de incapacidad permanente interpuesta por el recurrente.</w:t>
      </w:r>
    </w:p>
    <w:p w:rsidR="00FE0907" w:rsidRDefault="00FE0907" w:rsidP="00FE0907">
      <w:pPr>
        <w:pStyle w:val="SntesisDescriptiva"/>
      </w:pPr>
    </w:p>
    <w:p w:rsidR="00FE0907" w:rsidRDefault="00FE0907" w:rsidP="00FE0907">
      <w:pPr>
        <w:pStyle w:val="SntesisAnaltica"/>
      </w:pPr>
      <w:r>
        <w:t>Vulneración del derecho a la tutela judicial efectiva: falta de motivación de la Sentencia recurrida</w:t>
      </w:r>
    </w:p>
    <w:p w:rsidR="00FE0907" w:rsidRDefault="00FE0907" w:rsidP="00FE0907">
      <w:pPr>
        <w:pStyle w:val="SntesisAnaltica"/>
      </w:pPr>
    </w:p>
    <w:p w:rsidR="00FE0907" w:rsidRDefault="00FE0907" w:rsidP="00FE0907">
      <w:pPr>
        <w:pStyle w:val="Extracto"/>
      </w:pPr>
      <w:r>
        <w:t>1.</w:t>
      </w:r>
      <w:r>
        <w:tab/>
        <w:t>Corresponde a los órganos jurisdiccionales laborales determinar el cómputo de la cantidad que corresponde al objeto de la litis, y si esta cantidad se adecua a la exigida por las disposiciones legales que regulan el recurso de suplicación [F.J. 2].</w:t>
      </w:r>
    </w:p>
    <w:p w:rsidR="00FE0907" w:rsidRDefault="00FE0907" w:rsidP="00FE0907">
      <w:pPr>
        <w:pStyle w:val="Extracto"/>
      </w:pPr>
    </w:p>
    <w:p w:rsidR="00FE0907" w:rsidRDefault="00FE0907" w:rsidP="00FE0907">
      <w:pPr>
        <w:pStyle w:val="Extracto"/>
      </w:pPr>
      <w:r>
        <w:t>2.</w:t>
      </w:r>
      <w:r>
        <w:tab/>
        <w:t>Como señalaba la STC 244/1988, citando jurisprudencia anterior, la falta de respuesta judicial a la pretensión de que se inadmita un recurso de suplicación, ha de ser corregida en el proceso de amparo constitucional, puesto que si los órganos judiciales tienen la obligación de pronunciarse sobre todas las cuestiones planteadas por las partes, es evidente que esta exigencia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y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970/89, promovido por don Carlos Sousa Cruz, representado por el Procurador de los Tribunales don Rodolfo González García y asistido del Letrado don Angel García Oliveros, contra Sentencia de 14 de marzo de 1989 de la Sala Tercera del Tribunal Central de Trabajo. En el proceso de amparo ha comparecido el Ministerio </w:t>
      </w:r>
      <w:r>
        <w:lastRenderedPageBreak/>
        <w:t>Fiscal y el Instituto Nacional de la Seguridad Social, representado por el Procurador don Carlos de Zulueta Cebrián y asistido del Letrado don Juan Manuel Sausi Manzano. Ha sido Ponente el Magistrado don Luis López Guerra,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Con fecha 24 de mayo de 1989 tiene entrada en el Registro de este Tribunal la demanda de amparo presentada por el Procurador de los Tribunales, don Rodolfo González García, en nombre y representación de don Carlos Sousa Cruz, contra la Sentencia de 14 de marzo de 1989 de la Sala Tercera del Tribunal Central de Trabajo.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síntesis, en los siguientes hechos y fundamentos: </w:t>
      </w:r>
    </w:p>
    <w:p w:rsidR="00FE0907" w:rsidRDefault="00FE0907" w:rsidP="00FE0907">
      <w:pPr>
        <w:pStyle w:val="TextoNormal"/>
      </w:pPr>
      <w:r>
        <w:t xml:space="preserve">a) El recurrente, declarado en situación de invalidez permanente y total, solicitó ante el Instituto Nacional de la Seguridad Social la revisión del grado de invalidez, para ser declarado en situación de incapacidad permanente absoluta para todo trabajo. Desestimada tal petición, interpuso recurso ante la Magistratura de Trabajo núm. 4 de Barcelona, que estimó íntegramente su pretensión. Frente a esta Sentencia, el INSS interpuso recurso de suplicación, recurso que fue impugnado por el hoy recurrente, alegando, entre otras causas, la imposibilidad de su admisión, por no alcanzar el mínimo indispensable de 200.000 pesetas anuales, ya que lo realmente discutido en la litis era la diferencia existente entre la pensión de invalidez permanente y absoluta, que se pedía, y la de invalidez permanente y total. La Sala Tercera del Tribunal Central de Trabajo dictó Sentencia por la que estimaba parcialmente el recurso interpuesto por el INSS, revocando la Sentencia de la Magistratura de Trabajo, sin resolver sobre la impugnación referente a la admisibilidad del recurso formulada por el Sr. Sousa Cruz. </w:t>
      </w:r>
    </w:p>
    <w:p w:rsidR="00FE0907" w:rsidRDefault="00FE0907" w:rsidP="00FE0907">
      <w:pPr>
        <w:pStyle w:val="TextoNormal"/>
      </w:pPr>
      <w:r>
        <w:t>b) Mantiene el demandante que la cuantía litigiosa a efectos de la suplicación debería contemplarse solamente en la diferencia existente entre la primitiva pensión concedida por incapacidad total y permanente, y la nueva concertada por incapacidad permanente absoluta, como se planteó en el escrito de oposición al recurso de suplicación ante el T.C.T., alegación impeditiva de tal recurso. Al no resolverse sobre esta impugnación se conculca lo dispuesto en el art. 24.1 C.E., respecto al derecho a la tutela judicial, al no pronunciarse el órgano judicial sobre todas las cuestiones planteadas. No cabe entender que la admisión del recurso supone tácitamente el rechazo de la alegación impugnatoria, pues tratándose de una cuestión procesal de Derecho público o ius cogens, resulta inexcusable la contestación del Tribunal, al ser decisiva para la admisión del recurso y la misma existencia del procedimiento. Invoca a este respecto, las Sentencias del Tribunal Constitucional de 8 de octubre de 1986 y 5 de marzo de 1987, que contienen pronunciamientos que confirman las tesis del demandante. En atención a lo expuesto, suplica de este Tribunal Constitucional que declare nulas todas las actuaciones del Tribunal Central de Trabajo desde el momento de citación para fallo, debiendo resolver el Tribunal Central la cuestión de la cuantía de aquel recurso, a efectos de la admisión o inadmisión del mismo.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Por providencia de 15 de septiembre de 1989, la Sección Segunda del Tribunal Constitucional acordó admitir a trámite la demanda de amparo, así como, de acuerdo con el art. 51 LOTC, requerir atentamente al Tribunal Superior de Justicia de Madrid y al Juzgado de lo Social núm. 4 de Barcelona para que remitieran las actuaciones correspondientes a los recursos 15.027/87 y 1.960/84, interesándose al mismo tiempo se emplazase a </w:t>
      </w:r>
      <w:r>
        <w:lastRenderedPageBreak/>
        <w:t>quienes fueron parte en el procedimiento para que, en el plazo de diez días, pudieran comparecer en el presente proceso constitucional. Por providencia de 29 de enero de 1990, la Sección acordó tener por recibidas las actuaciones solicitadas, así como tener como personado y parte al Procurador, don Carlos de Zulueta y Cebrián, en nombre y representación del Instituto Nacional de la Seguridad Social. Igualmente, de acuerdo con el art. 52 LOTC, acordó dar vista de las actuaciones por plazo común de veinte días al Ministerio Fiscal y a los Procuradores, Sres. González García y Zulueta Cebrián, para que presentasen las alegaciones que a su derecho conviniera.</w:t>
      </w:r>
    </w:p>
    <w:p w:rsidR="00FE0907" w:rsidRDefault="00FE0907" w:rsidP="00FE0907">
      <w:pPr>
        <w:pStyle w:val="TextoNormal"/>
      </w:pPr>
    </w:p>
    <w:p w:rsidR="00FE0907" w:rsidRDefault="00FE0907" w:rsidP="00FE0907">
      <w:pPr>
        <w:pStyle w:val="TextoNormal"/>
      </w:pPr>
      <w:r w:rsidRPr="00FE0907">
        <w:rPr>
          <w:rStyle w:val="NumeroAFNegritaCaracter"/>
        </w:rPr>
        <w:t>4</w:t>
      </w:r>
      <w:r>
        <w:t>. Presenta las suyas el Ministerio Fiscal con fecha 22 de febrero de 1990, en las que, tras resumir los hechos del caso, manifiesta que el Tribunal Constitucional, en supuestos similares al presente, ha dejado claro que la no contestación por el Tribunal Central de Trabajo a la causa de inadmisión del recurso de suplicación planteada por la parte recurrida en el escrito de impugnación, produce lesión del art. 24.1 C.E. por incongruencia omisiva y por falta de motivación, sin que pueda entenderse tácitamente contestada por el mero hecho de que el Tribunal entrara en el fondo (SSTC 116/1986, 244/1988, 169/1988). Al no pronunciarse sobre la causa de inadmisión alegada, el Tribunal Central de Trabajo ha dejado sin contestar una cuestión vital para poder entrar en la resolución del asunto: por lo que el amparo debe ser otorgado.</w:t>
      </w:r>
    </w:p>
    <w:p w:rsidR="00FE0907" w:rsidRDefault="00FE0907" w:rsidP="00FE0907">
      <w:pPr>
        <w:pStyle w:val="TextoNormal"/>
      </w:pPr>
    </w:p>
    <w:p w:rsidR="00FE0907" w:rsidRDefault="00FE0907" w:rsidP="00FE0907">
      <w:pPr>
        <w:pStyle w:val="TextoNormal"/>
      </w:pPr>
      <w:r w:rsidRPr="00FE0907">
        <w:rPr>
          <w:rStyle w:val="NumeroAFNegritaCaracter"/>
        </w:rPr>
        <w:t>5</w:t>
      </w:r>
      <w:r>
        <w:t>. El recurrente presenta escrito de alegaciones el día 22 de febrero de 1990, reiterando los argumentos expuestos en su escrito inicial de demanda, solicitando se declare la nulidad de la Sentencia impugnada, e incluso se declare la inadmisibilidad del recurso de suplicación como consecuencia del quantum litigioso.</w:t>
      </w:r>
    </w:p>
    <w:p w:rsidR="00FE0907" w:rsidRDefault="00FE0907" w:rsidP="00FE0907">
      <w:pPr>
        <w:pStyle w:val="TextoNormal"/>
      </w:pPr>
    </w:p>
    <w:p w:rsidR="00FE0907" w:rsidRDefault="00FE0907" w:rsidP="00FE0907">
      <w:pPr>
        <w:pStyle w:val="TextoNormal"/>
      </w:pPr>
      <w:r w:rsidRPr="00FE0907">
        <w:rPr>
          <w:rStyle w:val="NumeroAFNegritaCaracter"/>
        </w:rPr>
        <w:t>6</w:t>
      </w:r>
      <w:r>
        <w:t>. El representante procesal del INSS, por escrito de 17 de febrero de 1990, expone que el recurrente ha gozado de la tutela efectiva de jueces y Tribunales. No ha habido incongruencia omisiva, el reconocer tácitamente su competencia el T.C.T., al entrar a conocer de los motivos de fondo del recurso. En cuanto a la cuantía del mismo, justifica la posibilidad de la suplicación. Por otra parte el T.C.T. no podía pronunciarse sobre cuestiones nuevas planteadas en el escrito de impugnación, pues ello desembocaría en una indefensión del recurrente, ya que frente a cuestiones planteadas ex novo no podía contestar. Además, el demandante en amparo debería haber reaccionado, en su caso, frente a la Sentencia de Magistratura al señalar como posible la suplicación. No existe, pues, la incongruencia omisiva denunciada, por lo que solicita que el recurso sea desestimado en su integridad.</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fecha 16 de marzo de 1992, se acordó señalar el día 18 del mismo mes y año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La cuestión que se plantea en el presente recurso de amparo es la de si la Sentencia del Tribunal Central de Trabajo, de 14 de marzo de 1989, que resolvió el recurso de suplicación presentado por el INSS, vulneró el derecho a la tutela judicial efectiva, reconocido en el art. 24.1 C.E., del demandante de amparo, Sr. Sousa Cruz, por pronunciarse sobre los </w:t>
      </w:r>
      <w:r>
        <w:lastRenderedPageBreak/>
        <w:t>motivos del fondo del recurso de suplicación, sin pronunciarse sobre la inadmisibilidad del mismo, alegada por el Sr. Sousa en su escrito de impugnación del recurso. Pero antes de entrar a conocer del fondo de esa cuestión, es necesario contestar a la alegación formulada por el representante del INSS, en el sentido de que el Sr.  Sousa debió haber reaccionado, si consideraba que la suplicación era improcedente, contra la Sentencia de Magistratura de Trabajo que señalaba la posibilidad de recurso de suplicación, pues si se aceptara ese argumento, habría de concluirse que el recurrente no había agotado la vía jurisdiccional previa, como exige el art. 44.1 a) LOTC, al no emplear los recursos procedentes.  Sin embargo, no cabe estimar que ello sea así, ya que el escrito de impugnación del recurso de suplicación era cauce procesal adecuado para oponerse a la admisión del recurso, y el T.C.T.  podría, en efecto, si lo hubiera considerado oportuno, haber acordado la inadmisión, corrigiendo así el pronunciamiento al respecto de la Magistratura de Trabajo. La reacción procesal del hoy recurrente fue, por tanto, adecuada, sin que haya en consecuencia obstáculo para que este Tribunal entre a conocer del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El recurrente, en su escrito de demanda, y posterior de alegaciones, viene a señalar dos razones para estimar vulnerado el artículo 24.1 C.E. y el derecho a la tutela judicial efectiva allí reconocido. Por un lado, porque la cuantía del litigio no permitía la admisión del recurso de suplicación a pesar de lo cual, el T.C.T. se pronunció sobre el fondo del mismo; por otro, porque el T.C.T. debía haberse pronunciado expresamente, en todo caso, sobre si el recurso era o no admisible por razón de la cuantía. Pues bien, en cuanto al primer extremo -que se traduce en la petición del recurrente de que este Tribunal declare la inadmisibilidad del recurso del INSS por razón de la cuantía litigiosa- es evidente que no procede que este Tribunal se pronuncie, al tratarse de una cuestión de interpretación de la legalidad ordinaria, que corresponde a los órganos jurisdiccionales laborales, que son quienes deben determinar el cómputo de la cantidad que corresponde al objeto de la litis, y si esta cantidad se adecúa a la exigida por las disposiciones legales que regulan el recurso de suplicación.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lo que se refiere al segundo motivo por el que se estima vulnerado el derecho a la tutela judicial efectiva, reconocido en el art. 24.1 C.E., consiste en que, según el recurrente, el T.C.T. incurrió en incongruencia omisiva, vetada por el mencionado artículo constitucional, al no pronunciarse sobre la impugnación del recurrente, que estimaba que el recurso de suplicación era inadmisible. Pues bien, a este respecto, este Tribunal ha tenido ya amplia oportunidad de pronunciarse sobre casos similares (así, entre otras, SSTC 116/1986, 169/1988 y 244/1988), y a la doctrina sentada en esas ocasiones debemos remitirnos, doctrina que nos conduce a la concesión del amparo solicitado.  Como señalaba la STC 244/1988, citando jurisprudencia anterior, la falta de respuesta judicial a la pretensión de que se inadmita un recurso de suplicación, ha de ser corregida en el proceso de amparo constitucional, puesto que si los órganos judiciales tienen la obligación de pronunciarse sobre todas las cuestiones planteadas por las partes, es evidente que esta exigencia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 Del mismo modo que un órgano judicial no puede inadmitir un recurso previsto por la Ley, tampoco le estaría permitido pronunciarse en vía de recurso sobre una determinada materia si existiera una causa impeditiva para ello, puesto que si ignorara esta prohibición legal, estaría excediéndose de la competencia que el </w:t>
      </w:r>
      <w:r>
        <w:lastRenderedPageBreak/>
        <w:t>legislador le ha otorgado en el caso concreto, exceso que este Tribunal debe corregir en la medida en que el pronunciamiento judicial pudiera lesionar el derecho de otros justiciables a la tutela judicial efectiva.</w:t>
      </w:r>
    </w:p>
    <w:p w:rsidR="00FE0907" w:rsidRDefault="00FE0907" w:rsidP="00FE0907">
      <w:pPr>
        <w:pStyle w:val="TextoNormal"/>
      </w:pPr>
      <w:r>
        <w:t>De otra parte, y reproduciendo lo que en la Sentencia citada se afirmó, cabe decir en este caso que el hecho de que el T.C.T. entrara en el fondo del asunto no puede entenderse como una respuesta tácita y constitucionalmente adecuada a la cuestión de la admisibilidad del recurso de suplicación, pues no satisface las exigencias del art. 24, en relación con el art.  120.3 C.E.  una decisión que por lo mismo que es implícita es inmotivada.  En efecto, la obligación que el art. 24.1 C.E.  impone a Jueces y Tribunales de dictar una resolución fundada en Derecho no puede considerarse cumplida con la mera emisión de una declaración de conocimiento o de voluntad en el sentido de admitir o inadmitir el recurso. Cuando la Constitución (art.  120.3) y la Ley exigen que se motiven las Sentencias, impone que la decisión judicial esté precedida por una exposición de los argumentos que la fundamentan. Tal exigencia es sobre todo una garantía esencial del justiciable mediante la cual se puede comprobar que la solución dada al caso es consecuencia de una exégesis racional del ordenamiento y no el fruto de la arbitrariedad. No se ha cumplido, pues, en este caso, la obligación constitucional de dictar, tras el correspondiente debate procesal, una resolución fundada en Derecho sobre las pretensiones deducidas por el recurrente en amparo.</w:t>
      </w:r>
    </w:p>
    <w:p w:rsidR="00FE0907" w:rsidRDefault="00FE0907" w:rsidP="00FE0907">
      <w:pPr>
        <w:pStyle w:val="TextoNormal"/>
      </w:pPr>
    </w:p>
    <w:p w:rsidR="00FE0907" w:rsidRDefault="00FE0907" w:rsidP="00FE0907">
      <w:pPr>
        <w:pStyle w:val="TextoNormal"/>
      </w:pPr>
      <w:r w:rsidRPr="00FE0907">
        <w:rPr>
          <w:rStyle w:val="NumeroAFNegritaCaracter"/>
        </w:rPr>
        <w:t>4</w:t>
      </w:r>
      <w:r>
        <w:t>. Finalmente, no cabe aceptar el argumento del representante del INSS en el sentido de que la impugnación del recurso por razón de la cuantía constituyese una cuestión nueva, cuya resolución por el T.C.T.  hubiera causado indefensión al INSS. Pues versaba tal impugnación sobre un requisito de orden público procesal, la verificación de cuyo cumplimiento en forma alguna puede considerarse "cuestión nueva" en un procedimiento, sino, al contrario, presupuesto procesal para la propia iniciación del mismo, y, por tanto, cuestión abierta desde el primer momento del procedimiento.</w:t>
      </w:r>
    </w:p>
    <w:p w:rsidR="00FE0907" w:rsidRDefault="00FE0907" w:rsidP="00FE0907">
      <w:pPr>
        <w:pStyle w:val="TextoNormal"/>
      </w:pPr>
      <w:r>
        <w:t>En consecuencia, debemos otorgar el amparo, de acuerdo también con las alegaciones del Ministerio Fiscal, en lo que atañe a la falta de pronunciamiento expreso del T.C.T. sobre la admisibilidad del recurso de suplicación, para que el órgano judicial competente proceda a dictar Sentencia en la que, antes de entrar, en su caso, en el tema de fondo del recurso de suplicación, resuelva expresa y motivadamente la cuestión previa de la admisibilidad del recurso.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interpuesto por don Carlos Sousa Cruz, y, en consecuencia,</w:t>
      </w:r>
    </w:p>
    <w:p w:rsidR="00FE0907" w:rsidRDefault="00FE0907" w:rsidP="00FE0907">
      <w:pPr>
        <w:pStyle w:val="TextoNormal"/>
      </w:pPr>
      <w:r>
        <w:t>a) Reconocer el derecho del recurrente a la tutela judicial efectiva.</w:t>
      </w:r>
    </w:p>
    <w:p w:rsidR="00FE0907" w:rsidRDefault="00FE0907" w:rsidP="00FE0907">
      <w:pPr>
        <w:pStyle w:val="TextoNormal"/>
      </w:pPr>
      <w:r>
        <w:t xml:space="preserve">b) Anular la Sentencia del Tribunal Central de Trabajo, de 14 de marzo de 1989, y retrotraer las actuaciones al momento inmediatamente anterior, para que en nueva Sentencia, el órgano jurisdiccional competente se pronuncie sobre la admisibilidad del recurso de </w:t>
      </w:r>
      <w:r>
        <w:lastRenderedPageBreak/>
        <w:t>suplicación interpuesto en su día por el INSS contra la Sentencia de Magistratura de Trabajo núm. 4 de Barcelona, de 1 de julio de 1987.</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dieciocho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8" w:name="SENTENCIA_1992_35"/>
      <w:r>
        <w:lastRenderedPageBreak/>
        <w:t>SENTENCIA 35/1992, de 23 de marzo de 1992</w:t>
      </w:r>
    </w:p>
    <w:bookmarkEnd w:id="38"/>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ECLI:ES:TC:1992:35</w:t>
      </w:r>
    </w:p>
    <w:p w:rsidR="00FE0907" w:rsidRDefault="00FE0907" w:rsidP="00FE0907">
      <w:pPr>
        <w:pStyle w:val="SntesisDescriptiva"/>
      </w:pPr>
    </w:p>
    <w:p w:rsidR="00FE0907" w:rsidRDefault="00FE0907" w:rsidP="00FE0907">
      <w:pPr>
        <w:pStyle w:val="SntesisDescriptiva"/>
      </w:pPr>
      <w:r>
        <w:t>Conflicto positivo de competencia 1.154/1985. Promovido por el Consejo Ejecutivo, de la Generalidad de Cataluña en relación con el Real Decreto 1.348/1985, de 1 de agosto, por el que se aprueba el Reglamento de Ordenación del Seguro Privado. Voto particular</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Existiendo -como existe en el supuesto que se examina- una Ley que ordena la materia, y que ha procedido ya a la definición de lo que en ella sea básico, no puede el Reglamento innovar tal calificación más allá de lo previsto en esa Ley previa. La disciplina básica, según jurisprudencia constitucional constante, no puede alcanzar tal extensión que depare la abolición práctica de las competencias que corresponden a la Comunidad Autónoma [F.J. 3].</w:t>
      </w:r>
    </w:p>
    <w:p w:rsidR="00FE0907" w:rsidRDefault="00FE0907" w:rsidP="00FE0907">
      <w:pPr>
        <w:pStyle w:val="Extracto"/>
      </w:pPr>
    </w:p>
    <w:p w:rsidR="00FE0907" w:rsidRDefault="00FE0907" w:rsidP="00FE0907">
      <w:pPr>
        <w:pStyle w:val="Extracto"/>
      </w:pPr>
      <w:r>
        <w:t>2.</w:t>
      </w:r>
      <w:r>
        <w:tab/>
        <w:t>No puede aceptarse que sea el propio Gobierno quien decida declarar básica toda la regulación reglamentaria de una materia sin habilitación legal para ello y cuando ya el legislador ha definido, directamente o por remisión, que sea lo básico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José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1.154/85, promovido por el Consejo Ejecutivo de la Generalidad de Cataluña, representado por el Letrado de la Generalidad don Manuel María Vicens Matas, en relación con el Real Decreto 1.348/1985, de 1 de agosto, por el que se aprueba el Reglamento de Ordenación del Seguro Privado. Ha sido parte el Gobierno, representado por el Abogado del Estado. Fue Ponente el Magistrado don Luis López Guerra, quien expresa el parecer del Tribunal.</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13 de diciembre de 1985 tuvo entrada en el Tribunal Constitucional un escrito del Abogado de la Generalidad de Cataluña, promoviendo conflicto positivo de competencia frente al Gobierno del Estado en relación con el Real Decreto 1.348/1985, de 1 de agosto, por vulnerar la competencia de la Comunidad Autónoma en materia de seguros y mutualismo no integrado en el sistema de la seguridad social, en virtud de lo dispuesto en la Constitución (art. 149.1.11) y en el Estatuto de Autonomía de Cataluña (arts. 9.1 y 10.1.4).</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En sesión celebrada el 3 de octubre de 1985, el Consejo Ejecutivo de la Generalidad de Cataluña acordó requerir de incompetencia al Gobierno a fin de que derogara algunos preceptos del Real Decreto 1.348/1985, de 1 de agosto, publicado en el Boletín Oficial del Estado los días 3, 5 y 6 del mismo mes. El Consejo de Ministros acordó en su reunión del 6 de noviembre de 1985 no atender el citado requerimiento, tras lo cual el Consejo Ejecutivo de la Generalidad decidió interponer el presente conflicto de competencia, que se apoya en los argumentos que siguen: </w:t>
      </w:r>
    </w:p>
    <w:p w:rsidR="00FE0907" w:rsidRDefault="00FE0907" w:rsidP="00FE0907">
      <w:pPr>
        <w:pStyle w:val="TextoNormal"/>
      </w:pPr>
      <w:r>
        <w:t xml:space="preserve">A) Objeta la Generalidad que, al igual que se hizo mediante la Ley 33/1984, sobre Ordenación del Seguro Privado, el Reglamento impugnado refleja la pretensión del Gobierno del Estado de restringir al mínimo la intervención de las Comunidades Autónomas. Así, el Real Decreto 1.348/1985 nace con vocación de ser aplicado en todo el territorio del Estado, incluso en el de las Comunidades Autónomas que disponen de competencias de desarrollo legislativo y ejecución en materia de seguros y de competencias exclusivas respecto al mutualismo de previsión social y entidades cooperativas. Asimismo se emplean en su texto numerosas expresiones sin clara conexión competencial (alto control económico-financiero, control de solvencia, etc.), que responden a la referida orientación ampliadora de las competencias estatales. </w:t>
      </w:r>
    </w:p>
    <w:p w:rsidR="00FE0907" w:rsidRDefault="00FE0907" w:rsidP="00FE0907">
      <w:pPr>
        <w:pStyle w:val="TextoNormal"/>
      </w:pPr>
      <w:r>
        <w:t xml:space="preserve">B) El Consejo Ejecutivo de la Generalidad impugna en concreto los siguientes preceptos: </w:t>
      </w:r>
    </w:p>
    <w:p w:rsidR="00FE0907" w:rsidRDefault="00FE0907" w:rsidP="00FE0907">
      <w:pPr>
        <w:pStyle w:val="TextoNormal"/>
      </w:pPr>
      <w:r>
        <w:t xml:space="preserve">-El art. 2, apartados 1, 4 y 5, porque la utilización del término previsión posibilita la aplicación del Reglamento a las mutualidades de previsión social, entidades que caen bajo la competencia de la Generalidad. </w:t>
      </w:r>
    </w:p>
    <w:p w:rsidR="00FE0907" w:rsidRDefault="00FE0907" w:rsidP="00FE0907">
      <w:pPr>
        <w:pStyle w:val="TextoNormal"/>
      </w:pPr>
      <w:r>
        <w:t xml:space="preserve">-El art. 3, ap. d), por cuanto no excluye de la legislación específica de seguros privados a las operaciones en él contempladas cuando son llevadas a cabo por las entidades de previsión social. </w:t>
      </w:r>
    </w:p>
    <w:p w:rsidR="00FE0907" w:rsidRDefault="00FE0907" w:rsidP="00FE0907">
      <w:pPr>
        <w:pStyle w:val="TextoNormal"/>
      </w:pPr>
      <w:r>
        <w:t xml:space="preserve">-El art. 8, ap. 1, en cuanto que la concesión o denegación de la autorización para la actividad aseguradora es una función ejecutiva que corresponde a Cataluña, siendo una actuación reglada, que no tiene nada que ver con la coordinación de la actividad económica. El art. 12, apartado 1, por las mismas razones. </w:t>
      </w:r>
    </w:p>
    <w:p w:rsidR="00FE0907" w:rsidRDefault="00FE0907" w:rsidP="00FE0907">
      <w:pPr>
        <w:pStyle w:val="TextoNormal"/>
      </w:pPr>
      <w:r>
        <w:t xml:space="preserve">-El art. 14, aps. 2 y 3, al atribuir a las CC.AA. que posean competencias en esta materia, a través de la Disposición final primera, núms. 3 y 4, tan sólo la ejecutiva, cuando les corresponde también la de desarrollo legislativo. </w:t>
      </w:r>
    </w:p>
    <w:p w:rsidR="00FE0907" w:rsidRDefault="00FE0907" w:rsidP="00FE0907">
      <w:pPr>
        <w:pStyle w:val="TextoNormal"/>
      </w:pPr>
      <w:r>
        <w:t xml:space="preserve">-El art. 25, ap. 1, epígrafes a) b) c) d), f) hasta el primer punto, h) e i) hasta el primer punto; ap. 2 hasta el primer punto y ap. 3, último párrafo, por incidir en los aspectos organizativos de las sociedades mutuas y cooperativas a prima fija, sin conexión razonable y suficiente con los principios o bases de la ordenación de la actividad aseguradora, regulando además detallada y agotadoramente los requisitos de las mismas. </w:t>
      </w:r>
    </w:p>
    <w:p w:rsidR="00FE0907" w:rsidRDefault="00FE0907" w:rsidP="00FE0907">
      <w:pPr>
        <w:pStyle w:val="TextoNormal"/>
      </w:pPr>
      <w:r>
        <w:lastRenderedPageBreak/>
        <w:t xml:space="preserve">-El art. 38, ap. 1, epígrafes a) b) c) d) y e) hasta el primer punto y el ap. 2, primer punto: el ap. 1 a), por su remisión al art. 25, queda sujeto a las mismas objeciones que éste; los epígrafes b) c) d) y e), por invadir la competencia de la Generalidad sobre cooperativas en los mismos términos expresados en relación con el art. 25. Todos los preceptos citados, por superar el ámbito competencial estatal que resulta del art. 149.1.11 C.E. </w:t>
      </w:r>
    </w:p>
    <w:p w:rsidR="00FE0907" w:rsidRDefault="00FE0907" w:rsidP="00FE0907">
      <w:pPr>
        <w:pStyle w:val="TextoNormal"/>
      </w:pPr>
      <w:r>
        <w:t xml:space="preserve">-El art. 42, ap. 1, por someter al control del Estado, a través del Ministerio de Economía y Hacienda (M.E.H.), determinadas actividades de las entidades de seguros, lo que lesiona las competencias ejecutivas de la Generalidad en relación con las que están localizadas en su territorio, cuyo control nada tiene que ver con la competencia de coordinación de que goza el Estado. </w:t>
      </w:r>
    </w:p>
    <w:p w:rsidR="00FE0907" w:rsidRDefault="00FE0907" w:rsidP="00FE0907">
      <w:pPr>
        <w:pStyle w:val="TextoNormal"/>
      </w:pPr>
      <w:r>
        <w:t xml:space="preserve">-El art. 48, por cuanto la materia de que trata no puede ser considerada básica (de hecho, ni tan siquiera la Disposición final primera, ap. 3, la incluye en su relación), por lo que debe entenderse que corresponde a la competencia autonómica de desarrollo normativo. </w:t>
      </w:r>
    </w:p>
    <w:p w:rsidR="00FE0907" w:rsidRDefault="00FE0907" w:rsidP="00FE0907">
      <w:pPr>
        <w:pStyle w:val="TextoNormal"/>
      </w:pPr>
      <w:r>
        <w:t xml:space="preserve">-Los arts. 92.1, 93.1 y 3 y 106.1, en la medida en que atribuyen a la Administración central potestades ejecutivas que no le corresponden. </w:t>
      </w:r>
    </w:p>
    <w:p w:rsidR="00FE0907" w:rsidRDefault="00FE0907" w:rsidP="00FE0907">
      <w:pPr>
        <w:pStyle w:val="TextoNormal"/>
      </w:pPr>
      <w:r>
        <w:t xml:space="preserve">-El art. 113.2, en tanto que sólo confiere al M.E.H. la potestad de autorizar el acceso al mercado de las entidades españolas que tengan por objeto exclusivo el reaseguro, por las mismas razones expuestas en relación con los arts. 8 y 12. Además, dada la amplitud e intensidad de las bases, no parece que pueda considerarse básica la supresión de toda competencia autonómica sobre entidades de reaseguro. </w:t>
      </w:r>
    </w:p>
    <w:p w:rsidR="00FE0907" w:rsidRDefault="00FE0907" w:rsidP="00FE0907">
      <w:pPr>
        <w:pStyle w:val="TextoNormal"/>
      </w:pPr>
      <w:r>
        <w:t xml:space="preserve">-El art. 117, en su apartado 1, por asignar al M.E.H. la competencia administrativa en todo lo relacionado con el reaseguro. El ap. 2, por considerar como elemento necesario para determinar el objeto de la competencia autonómica el que la localización de los riesgos de las entidades se limite al territorio de la Comunidad Autónoma, ya que si bien el territorio constituye de forma indiscutible el límite del autogobierno, lo es solamente como delimitación del ámbito sobre el que pueden adoptarse válidamente las decisiones autonómicas, no como acotación de la eficacia de dichas decisiones. Sostiene la representación de la Generalidad que el criterio mantenido en la demanda sobre la localización del riesgo, ha sido ratificado por el propio Gobierno en el Real Decreto Legislativo 1.347/1985, de 1 de agosto, por el que se aprueba el texto refundido de la Ley reguladora de la Producción de Seguros Privados, que, en su Disposición final primera, 2, sólo se refiere al domicilio y al ámbito de operaciones para determinar la competencia de las Comunidades Autónomas. En cuanto al criterio relativo al ámbito de operaciones, sólo sería respetuoso con las competencias de la Generalidad si se entiende limitado al establecimiento de una organización empresarial permanente, no si se refiere también a la localización de los sujetos que se relacionen con la entidad. El apartado 3, además, por pretender sujetar la competencia exclusiva prevista en el art. 9.21 del EAC a las bases de ordenación del seguro que pueda dictar el Estado. Respecto al apartado 4 se impugnan las dos primeras proposiciones: la primera, por atribuir al Estado funciones ejecutivas; la segunda, por atribuir al Estado la competencia del "alto control económico financiero", no prevista por la Constitución, de la que se derivan determinadas consecuencias de comunicación y que supone un control jerárquico e indeterminado contrario al principio de autonomía. </w:t>
      </w:r>
    </w:p>
    <w:p w:rsidR="00FE0907" w:rsidRDefault="00FE0907" w:rsidP="00FE0907">
      <w:pPr>
        <w:pStyle w:val="TextoNormal"/>
      </w:pPr>
      <w:r>
        <w:t xml:space="preserve">-El art. 124.1, por considerar infracción muy grave el incumplimiento reiterado de los acuerdos emanados de la Dirección General de Seguros, omitiendo toda referencia a los procedentes de los órganos de gobierno de las Comunidades Autónomas. </w:t>
      </w:r>
    </w:p>
    <w:p w:rsidR="00FE0907" w:rsidRDefault="00FE0907" w:rsidP="00FE0907">
      <w:pPr>
        <w:pStyle w:val="TextoNormal"/>
      </w:pPr>
      <w:r>
        <w:t xml:space="preserve">-La Disposición final primera, ap. 1º, por pretender determinar los preceptos de la Ley 83/1984 que tienen carácter de básicos, lo que excede del contenido material que es propio </w:t>
      </w:r>
      <w:r>
        <w:lastRenderedPageBreak/>
        <w:t xml:space="preserve">al Real Decreto, además de declarar básicas actuaciones y decisiones que no lo son o regulaciones dotadas de un excesivo casuismo y detalle. El ap. 2, por idénticas razones y, además, por incluir preceptos que atribuyen al Estado funciones referidas a las cooperativas y al mutualismo. El ap. 4, por cuanto implica rebajar el techo competencial de las Comunidades Autónomas, que no solamente poseen la potestad ejecutiva sino también la de desarrollo legislativo. </w:t>
      </w:r>
    </w:p>
    <w:p w:rsidR="00FE0907" w:rsidRDefault="00FE0907" w:rsidP="00FE0907">
      <w:pPr>
        <w:pStyle w:val="TextoNormal"/>
      </w:pPr>
      <w:r>
        <w:t xml:space="preserve">-La Disposición transitoria segunda, por desconocer asimismo las potestades normativas de la Generalidad. </w:t>
      </w:r>
    </w:p>
    <w:p w:rsidR="00FE0907" w:rsidRDefault="00FE0907" w:rsidP="00FE0907">
      <w:pPr>
        <w:pStyle w:val="TextoNormal"/>
      </w:pPr>
      <w:r>
        <w:t xml:space="preserve">-La Disposición transitoria sexta, ap. 2, por desconocer las competencias ejecutivas de la Generalidad para la adopción de medidas oportunas en las materias que contempla. </w:t>
      </w:r>
    </w:p>
    <w:p w:rsidR="00FE0907" w:rsidRDefault="00FE0907" w:rsidP="00FE0907">
      <w:pPr>
        <w:pStyle w:val="TextoNormal"/>
      </w:pPr>
      <w:r>
        <w:t xml:space="preserve">C) Finalmente, impugna la Generalidad de Cataluña por su calificación como básicos los siguientes preceptos reglamentarios: los arts. 26 al 36, ambos inclusive; 39 al 41, ambos inclusive; 43 ap. 1, a partir de "y en particular", y ap. 2; 45 aps. 2, 3, 4, 6, 7 y 8; 46 ap. 1 y 4; 47 ap. 2; 49 y 50; 51 aps. 2, 3 desde "elaborados de acuerdo", y 4; 52; 53; 54, aps. 2 y 3; 55 aps. 2, 3, 4, 5, 6 y 7; 56 ap. 2; 57; 58; 59; 60; 61; 63; 64; 65; 66, ap. 1, epígrafes b), c), d) y e), aps. 2, 3, 4 a partir de "su extensión" y ap. 5; 67; 68; 69; 70; 71; 72; 73; 74; 75; 77; 78; 79; 85 aps. 2 y 3; Disposición final primera, aps. 2 y 3 y Disposición final primera, ap. 3. La impugnación se formula por declarar básica la materia sobre la que versan, como por ampliar todavía más, por vía reglamentaria, la normativa declarada básica por la Ley 33/1984. </w:t>
      </w:r>
    </w:p>
    <w:p w:rsidR="00FE0907" w:rsidRDefault="00FE0907" w:rsidP="00FE0907">
      <w:pPr>
        <w:pStyle w:val="TextoNormal"/>
      </w:pPr>
      <w:r>
        <w:t xml:space="preserve">En primer lugar, porque las bases no son un instrumento para lograr la coordinación entre la legislación estatal y la autonómica, sino tan sólo un medio de conseguir un mínimo común normativo, a partir del cual cada Comunidad Autónoma pueda satisfacer su propio interés general. Por ello, la normativa básica no ha de agotar la regulación de la materia ni impedir una diversidad de regulaciones, sino que ha de permitir la libre actividad legislativa de desarrollo por parte de las Comunidades que posean tal competencia normativa. Todo ello resulta conculcado por la normativa cuestionada, que alcanza una minuciosidad incompatible con las citadas características de la regulación básica. </w:t>
      </w:r>
    </w:p>
    <w:p w:rsidR="00FE0907" w:rsidRDefault="00FE0907" w:rsidP="00FE0907">
      <w:pPr>
        <w:pStyle w:val="TextoNormal"/>
      </w:pPr>
      <w:r>
        <w:t xml:space="preserve">Pero, además de extralimitarse en el contenido de la regulación básica, el Gobierno se ha excedido en el ejercicio de sus propias competencias, pues tras la Constitución es al legislador a quien corresponde determinar lo que ha de entenderse por bases en una determinada materia, a reserva de casos muy excepcionales. Por ello, si bien el Gobierno podría regular por vía reglamentaria algunos aspectos concretos de las materias básicas sobre ordenación del seguro, ello no significa que el poder central pueda complementar por dicha via todo lo declarado básico, lo que supondría vaciar por completo las potestades de desarrollo normativo que corresponden a las Comunidades Autónomas. </w:t>
      </w:r>
    </w:p>
    <w:p w:rsidR="00FE0907" w:rsidRDefault="00FE0907" w:rsidP="00FE0907">
      <w:pPr>
        <w:pStyle w:val="TextoNormal"/>
      </w:pPr>
      <w:r>
        <w:t>Concluye su demanda el representante de la Generalidad solicitando que se declare que corresponde a la citada institución la totalidad de las competencias controvertidas.</w:t>
      </w:r>
    </w:p>
    <w:p w:rsidR="00FE0907" w:rsidRDefault="00FE0907" w:rsidP="00FE0907">
      <w:pPr>
        <w:pStyle w:val="TextoNormal"/>
      </w:pPr>
    </w:p>
    <w:p w:rsidR="00FE0907" w:rsidRDefault="00FE0907" w:rsidP="00FE0907">
      <w:pPr>
        <w:pStyle w:val="TextoNormal"/>
      </w:pPr>
      <w:r w:rsidRPr="00FE0907">
        <w:rPr>
          <w:rStyle w:val="NumeroAFNegritaCaracter"/>
        </w:rPr>
        <w:t>3</w:t>
      </w:r>
      <w:r>
        <w:t>. La Sección Segunda del Tribunal Constitucional acordó, por providencia de 18 de diciembre de 1985, admitir a trámite el conflicto de competencia planteado por la Generalidad de Cataluña, dar traslado de la demanda y de los documentos que la acompañan al Gobierno por conducto de su Presidente y dirigir oficio al Presidente del Tribunal Supremo a los efectos prevenidos en el art. 61.2 de la LOTC. Ordenó asimismo publicar la incoación del conflicto en el Boletín Oficial del Estado y en el Diario Oficial de la Generalidad de Cataluña.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xml:space="preserve">. Tras haber solicitado y obtenido una prórroga de diez días del plazo otorgado al efecto, el Abogado del Estado presentó escrito de alegaciones, que se pueden sintetizar de la siguiente manera: </w:t>
      </w:r>
    </w:p>
    <w:p w:rsidR="00FE0907" w:rsidRDefault="00FE0907" w:rsidP="00FE0907">
      <w:pPr>
        <w:pStyle w:val="TextoNormal"/>
      </w:pPr>
      <w:r>
        <w:t xml:space="preserve">A) En relación con las consideraciones generales formuladas por el Consejo Ejecutivo de la Generalidad de Cataluña, el Abogado del Estado se remite en parte a las alegaciones formuladas en los recursos acumulados 765 y 767/84 en lo que respecta a la significación general de la Ley 33/1984 y su fundamentación en las competencias reservadas al Estado por los núms. 6, 11 y 13 del art. 149.1 C.E. Añade el representante del Gobierno que en el recurso no se cuestiona la cobertura legal del Real Decreto impugnado, por lo que atendida la ausencia de vulneraciones competenciales autónomamente imputadas a éste, la estimación del recurso contra la Ley 33/1984 extendería sus efectos a la norma reglamentaria, mientras que el rechazo del mismo haría innecesario pronunciarse sobre ella. En definitiva, sostiene el Abogado del Estado la falta de sustantividad propia del presente conflicto competencial. </w:t>
      </w:r>
    </w:p>
    <w:p w:rsidR="00FE0907" w:rsidRDefault="00FE0907" w:rsidP="00FE0907">
      <w:pPr>
        <w:pStyle w:val="TextoNormal"/>
      </w:pPr>
      <w:r>
        <w:t xml:space="preserve">Se remite también el Abogado del Estado, en lo que respecta a lo sostenido por el Consejo recurrente sobre las mutualidades de previsión social y las cooperativas de seguros, a las alegaciones formuladas en los citados recursos acumulados. Finalmente, también sostiene el representante del Gobierno en relación con la supuesta extralimitación del Gobierno al asumir determinadas competencias ejecutivas, que este Tribunal ha señalado que la consecución del interés general en materia de ordenación de sectores económicos como el crédito, requiere que el Gobierno adopte medidas concretas de ejecución, debido a la dificultad de disociar en ciertos casos competencias de normación y de ejecución y a la necesidad de que dichas medidas tengan un carácter unitario como consecuencia de la necesaria preservación de un espacio económico unitario. </w:t>
      </w:r>
    </w:p>
    <w:p w:rsidR="00FE0907" w:rsidRDefault="00FE0907" w:rsidP="00FE0907">
      <w:pPr>
        <w:pStyle w:val="TextoNormal"/>
      </w:pPr>
      <w:r>
        <w:t xml:space="preserve">B) En cuanto a la impugnación de artículos concretos, sostiene el Abogado del Estado que, respecto a los arts. 2, aps. 1, 4 y 5 y 3 d), la controversia reproduce la suscitada en relación con la aplicabilidad de la Ley 33/1984 a las mutualidades de previsión social. A lo alegado entonces añade el Abogado del Estado lo siguiente: que el Reglamento aprobado por el Real Decreto impugnado no vulnera lo previsto en la Disposición final sexta, 2 de la Ley 33/1984 en relación con el desarrollo reglamentario de los preceptos legales relativos a las citadas mutualidades, por cuanto tanto la exposición de motivos como el propio Reglamento objeto del conflicto deja fuera de su ámbito a dichas entidades (art. 1.2); que la competencia contemplada en el art. 2.5 del Reglamento no aparece discutida en sí misma y se justifica en que esta calificación es parte indiscutible del contenido de las bases de ordenación del seguro privado; y que el contenido del art. 3 d) reitera la letra a) del art. 2 de la Ley 33/1984, tratándose de operaciones sometidas a la legislación sobre seguros privados, con independencia de que las realicen mutualidades de previsión social. </w:t>
      </w:r>
    </w:p>
    <w:p w:rsidR="00FE0907" w:rsidRDefault="00FE0907" w:rsidP="00FE0907">
      <w:pPr>
        <w:pStyle w:val="TextoNormal"/>
      </w:pPr>
      <w:r>
        <w:t>También los arts. 8.1 y 12.1 del Reglamento reproducen la letra de los números 1 y 2 del art. 6 de la ley. Los apartados 2 y 3 del art. 14 del Reglamento, y por remisión el núm. 2 del art. 48, desarrollando el art. 23 de la Ley, no añaden nuevas competencias en favor del Estado. Los arts. 25 y 38 del Reglamento en sus epígrafes impugnados desarrollan los arts. 13 y 14 de la Ley. El art. 42.1 del Reglamento incorpora el art. 22.1 de la ley, y no hay, pues, lugar a su examen autónomo, como tampoco tienen sustantividad los arts. 92. 1 (art. 37.1 de la ley), 93.1 y 3 [letras c) y d) del art. 37.1 de la Ley] y 106.1 (art. 31.8 de la ley). Son igualmente objeto de conflicto los arts. 92.1, 93.1 y 3 y 106.1, que reproducen respectivamente los núms. 1, 7 letras c) y d) y 8 del art. 31 de la Ley 34/1984, justificandose estas titularidades estatales por el sistema de responsabilidad frente a asegurados y beneficiarios que regula el Real Decreto-ley 10/1984. El art. 113.2 da desarrollo reglamen</w:t>
      </w:r>
      <w:r>
        <w:lastRenderedPageBreak/>
        <w:t xml:space="preserve">tario al art. 27.2 de la Ley y la especificación de los requisitos precisos no puede disociarse de la competencia estatal. En cuanto a los distintos apartados del art. 117, sus números 1 a 4 reproducen los correlativos 1, 2, 3 y 4 del art. 39 de la Ley. Añade el Abogado del Estado a lo dicho con ocasión de la impugnación de la Ley que la actividad de los mediadores de seguros justifica que para la misma no se incluya la exigencia de localización de riesgos entendida como localización del interés asegurado, bastando atender al lugar donde se realice la actividad típica de mediación, lo que significa que cuando esa actividad trasciende al ámbito territorial de una determinada Comunidad Autónoma no pueda quedar sometida a la competencia de ésta. En el art. 124.j la reprodución es el del art. 43. 6 j) de la Ley. </w:t>
      </w:r>
    </w:p>
    <w:p w:rsidR="00FE0907" w:rsidRDefault="00FE0907" w:rsidP="00FE0907">
      <w:pPr>
        <w:pStyle w:val="TextoNormal"/>
      </w:pPr>
      <w:r>
        <w:t xml:space="preserve">La impugnación de los apartados 1, 2, 3 y 4 de la Disposición final primera tiene un carácter genérico, no se discuten contenidos concretos de las facultades normativas, y ejecutivas que por su carácter básico se reservan al Estado sino la viabilidad de la reserva como tal. La Disposición final primera no tiene carácter exhaustivo y reconoce las competencias autonómicas de desarrollo y de ejecución. La jurisprudencia constitucional ha admitido la posibilidad de que para la definición de las bases, establecidas primordialmente por el legislador, se opere por vía del complemento reglamentario y la ordenación efectuada por la Ley 33/1984 no es la regulación íntegra de la materia. También el Tribunal Constitucional ha admitido, sobre todo en materias financieras, facultades de ejecución que por su naturaleza resultan indisociables de las bases, para preservar en este sector el significado de ordenación básica uniforme requerido por el carácter unitario del espacio económico, sin que ello suponga eliminar un contenido real para las competencias autonómicas. Ni desde el punto de vista material ni desde el punto de vista procedimental cabe apreciar vicio de extralimitación competencial alguna. </w:t>
      </w:r>
    </w:p>
    <w:p w:rsidR="00FE0907" w:rsidRDefault="00FE0907" w:rsidP="00FE0907">
      <w:pPr>
        <w:pStyle w:val="TextoNormal"/>
      </w:pPr>
      <w:r>
        <w:t>La Disposición transitoria segunda del Reglamento reproduce el contenido de la transitoria segunda de la Ley, mientras que la transitoria sexta, apartado segundo, es igualmente reprodución de la Disposición transitoria sexta, apartado 2, de la Ley 33/1984, sin otro complemento que el comunicar a la entidad interesada las circunstancias contempladas en la norma. Por todo ello se remite a las alegaciones formuladas en los recursos 765 y 767/84.</w:t>
      </w:r>
    </w:p>
    <w:p w:rsidR="00FE0907" w:rsidRDefault="00FE0907" w:rsidP="00FE0907">
      <w:pPr>
        <w:pStyle w:val="TextoNormal"/>
      </w:pPr>
    </w:p>
    <w:p w:rsidR="00FE0907" w:rsidRDefault="00FE0907" w:rsidP="00FE0907">
      <w:pPr>
        <w:pStyle w:val="TextoNormal"/>
      </w:pPr>
      <w:r w:rsidRPr="00FE0907">
        <w:rPr>
          <w:rStyle w:val="NumeroAFNegritaCaracter"/>
        </w:rPr>
        <w:t>5</w:t>
      </w:r>
      <w:r>
        <w:t>. Solicitado por el Abogado del Estado la acumulación del presente conflicto a los recursos de inconstitucionalidad núms. 765 y 767/84, frente a la Ley 33/1984, el Pleno, por Auto de 10 de abril de 1986, denegó la acumulación por estimar que aun cuando el Real Decreto 1.348/1985, de 1 de agosto, tiene relación con la Ley recurrida, la distinta naturaleza de los recursos de inconstitucionalidad respecto al conflicto de competencias desaconsejan dicha acumulación "sin perjuicio de la relación causa a efecto que la decisión del recurso de inconstitucionalidad pueda producir en el conflicto"</w:t>
      </w:r>
    </w:p>
    <w:p w:rsidR="00FE0907" w:rsidRDefault="00FE0907" w:rsidP="00FE0907">
      <w:pPr>
        <w:pStyle w:val="TextoNormal"/>
      </w:pPr>
    </w:p>
    <w:p w:rsidR="00FE0907" w:rsidRDefault="00FE0907" w:rsidP="00FE0907">
      <w:pPr>
        <w:pStyle w:val="TextoNormal"/>
      </w:pPr>
      <w:r w:rsidRPr="00FE0907">
        <w:rPr>
          <w:rStyle w:val="NumeroAFNegritaCaracter"/>
        </w:rPr>
        <w:t>6</w:t>
      </w:r>
      <w:r>
        <w:t>. La Sección Cuarta, por providencia de 16 de abril de 1986, acordó requerir al Abogado del Estado para que, dado que en sus alegaciones se remitía a las presentadas en los recursos de inconstitucionalidad 765 y 767/84, las ampliase o completase en su caso. Mediante escrito presentado el 6 de mayo de 1986, el representante del Estado señaló, en relación con el planteamiento general que encabezaba las alegaciones de la representación catalana, que sólo resulta procedente el análisis de las impugnaciones que suscitan una controversia competencial autónoma a la ínsita en la Ley 33/1984. Que, asimismo, tampoco resulta materia propia de este conflicto aquéllas impugnaciones cuya consecuencia fuese la inconstitucionalidad de la determinación de bases efectuada por la Ley 33/1984. Fi</w:t>
      </w:r>
      <w:r>
        <w:lastRenderedPageBreak/>
        <w:t>nalmente, que la jurisprudencia constitucional ha recogido la posibilidad de reserva para el Estado de competencias ejecutivas en tanto constituyan contenido indisociable de las titularidades básicas. El Abogado del Estado enumera a continuación los preceptos impugnados reiterando argumentos formulados en su primer escrito e insistiendo en la falta de sustantividad de gran parte de las impugnaciones, que van en realidad dirigidas contra la Ley 33/1984.</w:t>
      </w:r>
    </w:p>
    <w:p w:rsidR="00FE0907" w:rsidRDefault="00FE0907" w:rsidP="00FE0907">
      <w:pPr>
        <w:pStyle w:val="TextoNormal"/>
      </w:pPr>
    </w:p>
    <w:p w:rsidR="00FE0907" w:rsidRDefault="00FE0907" w:rsidP="00FE0907">
      <w:pPr>
        <w:pStyle w:val="TextoNormal"/>
      </w:pPr>
      <w:r w:rsidRPr="00FE0907">
        <w:rPr>
          <w:rStyle w:val="NumeroAFNegritaCaracter"/>
        </w:rPr>
        <w:t>7</w:t>
      </w:r>
      <w:r>
        <w:t>. Mediante providencia de 12 de noviembre de 1990, la Sección Primera del Tribunal Constitucional acordó, de conformidad con lo dispuesto en el art. 84 de la LOTC, conceder a las partes un plazo de diez días para alegar sobre los efectos que pudiera tener sobre el mantenimiento y resolución del conflicto planteado la doctrina constitucional contenida en la STC 86/1989.</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Abogado del Estado, en escrito presentado el 23 de noviembre de 1990, señala que los preceptos objeto del conflicto podrían clasificarse en tres grupos. El primer grupo es el de aquellos artículos que son reproducción de los correspondientes preceptos de la Ley. En la mayor parte de los casos, la STC 86/1989 no ha hallado inconstitucionalidad en tales preceptos, ni cabe por tanto encontrarla en los preceptos reglamentarios que los reproducen. En aquellos otros supuestos que la STC 86/1989 denegó carácter básico a preceptos de la Ley, lo mismo habrá que predicar de los correspondientes preceptos reglamentarios. Finalmente, es obvio que, cuando se trata de preceptos incluidos en el punto 2 del fallo, el correspondiente precepto reglamentario deberá ser entendido a la luz del fundamento pertinente. </w:t>
      </w:r>
    </w:p>
    <w:p w:rsidR="00FE0907" w:rsidRDefault="00FE0907" w:rsidP="00FE0907">
      <w:pPr>
        <w:pStyle w:val="TextoNormal"/>
      </w:pPr>
      <w:r>
        <w:t xml:space="preserve">Un segundo grupo de preceptos son impugnados en bloque sin razonamiento especial, y de los mismos se discute únicamente la declaración formal de su carácter de básicos que efectua la Disposición final primera, 3, del Reglamento, con la restricción que introduce el núm. 4 de la propia Disposición. Rechaza la acusación de detallismo por ser ésta una pura apreciación subjetiva y porque el carácter básico no excluye, en ciertos casos, la necesidad de concreción. En cuanto a la inhabilidad del reglamento para declarar básicos algunos de sus preceptos, por haber sido establecidas las bases agotadoramente en la Ley, señala que no hay razón alguna para aceptar dicha premisa, pues no es ilícito que un texto reglamentario pueda fijar bases donde sea preciso para complementar la regulación legal (SSTC 227/1988, 132/1989 y la propia 86/1989, fundamento jurídico 23) </w:t>
      </w:r>
    </w:p>
    <w:p w:rsidR="00FE0907" w:rsidRDefault="00FE0907" w:rsidP="00FE0907">
      <w:pPr>
        <w:pStyle w:val="TextoNormal"/>
      </w:pPr>
      <w:r>
        <w:t xml:space="preserve">Excluidos los preceptos incluidos en los dos grupos anteriores, el conflicto se reduce a los arts. 2.1, 4 y 5, 3 d), 14.2 y 3, 25.1 y 2, 38.1 y 2, 43.1 y 2, 48, 113.2 y Disposición final primera. Y las cuestiones formuladas en relación con ellos están ya aclaradas en la STC 86/1989, enumerando a continuación los fundamentos jurídicos de la citada Sentencia en que se resuelven las cuestiones planteadas por la parte demandante. </w:t>
      </w:r>
    </w:p>
    <w:p w:rsidR="00FE0907" w:rsidRDefault="00FE0907" w:rsidP="00FE0907">
      <w:pPr>
        <w:pStyle w:val="TextoNormal"/>
      </w:pPr>
      <w:r>
        <w:t xml:space="preserve">Como conclusión, el Abogado del Estado señala que cabe considerar objetivamente desaparecida la controversia, pues las cuestiones planteadas en el conflicto han quedado aclaradas por la STC 86/1989, y sin controversia no puede subsistir el conflicto. Interesa, en suma, que se declare terminado el conflicto. </w:t>
      </w:r>
    </w:p>
    <w:p w:rsidR="00FE0907" w:rsidRDefault="00FE0907" w:rsidP="00FE0907">
      <w:pPr>
        <w:pStyle w:val="TextoNormal"/>
      </w:pPr>
      <w:r>
        <w:t>Añade finalmente que, en obediencia a instrucciones superiores, pone en conocimiento del Tribunal que "en cualquier caso, es voluntad del Gobierno proceder a la modificación del Real Decreto 1.348/1985 para conformarlo a los criterios en la sentencia de referencia".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9</w:t>
      </w:r>
      <w:r>
        <w:t>. En escrito presentado el 28 de noviembre, el Abogado de la Generalidad de Cataluña señala que si bien es cierto que la STC 86/1989 recayó sobre el marco competencial en el que se inserta este conflicto, no permite dar solución a muchas cuestiones planteadas en el mismo. Circunstancia que coadyuvó a que el propio Tribunal Constitucional no acumulase este conflicto a los recursos planteados contra la Ley. Pero, además, la Generalidad difiere de la referida Sentencia, en especial respecto de los criterios sobre la naturaleza básica de numerosas funciones de autorización, control e inspección de la actividad aseguradora, que en realidad se trata de funciones que pertenecen a la ejecución administrativa, competencia de la Generalidad. La resolución mediante Sentencia permitiría al Tribunal completar y quizás matizar esa primera resolución. Por todo ello, entiende que subsiste plenamente la controversia competencial.</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El Pleno, en fecha 17 de septiembre de 1991, acordó oir a las partes sobre la incidencia que pudiera tener en el objeto del conflicto el Real Decreto 1.128/1991, de 28 de junio, de modificación de los Reglamentos de Ordenación del Seguro Privado y de Entidades de Previsión Social. </w:t>
      </w:r>
    </w:p>
    <w:p w:rsidR="00FE0907" w:rsidRDefault="00FE0907" w:rsidP="00FE0907">
      <w:pPr>
        <w:pStyle w:val="TextoNormal"/>
      </w:pPr>
      <w:r>
        <w:t>El Abogado del Estado, en su informe, se refiere a las diversas modificaciones introducidas por la nueva normativa, estimando que la doctrina de la STC 86/1989 disipa toda duda que pudiera suscitarse sobre la lesión del orden competencial; por su parte, la Generalidad de Cataluña manifiesta que las concretas modificaciones introducidas en el Reglamento de Ordenación del Seguro Privado no comportan en absoluto la pérdida de objeto del conflicto planteado en su día.</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17 de marzo de 1992, se señaló para deliberación y fallo el día 23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Como este Tribunal reconoció en su Auto de 10 de abril de 1986, que denegó la acumulación del presente conflicto de competencias a los recursos de inconstitucionalidad acumulados 765/84 y 767/84 promovidos respectivamente por el Consejo Ejecutivo de la Generalidad de Cataluña y el Gobierno Vasco contra determinados preceptos de la Ley 33/1984, de 2 de agosto, de Ordenación del Seguro Privado (a la que nos referimos en adelante simplemente como la Ley), la inconveniencia de acumular dichos procesos por falta de la oportuna homogeneidad entre los mismos se admitía "sin perjuicio de la relación causa a efecto que la decisión del recurso de inconstitucionalidad pueda producir" en el presente conflicto. Finalizados por la STC 86/1989, aquellos recursos de inconstitucionalidad, han quedado resueltos gran parte de los motivos del presente conflicto, en la medida en que, por tratarse de preceptos que reproducen o desarrollan sin cambios otros sobre los que este Tribunal ya se ha pronunciado, ha de estimarse que carece de sustantividad propia la controversia competencial suscitada respecto a los mismos.  De haberse estimado la impugnación, porque la declaración de nulidad del precepto legalhabría de llevar en este proceso, a idéntica declaración sobre los preceptos reglamentarios que reiterasen o desarrollasen aquella regla legal, mientras que la desestimación de aquel recurso por ausencia de la vulneración competencial denunciada haría innecesario un nuevo pronunciamiento o, cuanto menos, un nuevo examen de dichos preceptos.</w:t>
      </w:r>
    </w:p>
    <w:p w:rsidR="00FE0907" w:rsidRDefault="00FE0907" w:rsidP="00FE0907">
      <w:pPr>
        <w:pStyle w:val="TextoNormal"/>
      </w:pPr>
      <w:r>
        <w:lastRenderedPageBreak/>
        <w:t>Se ha de partir, en consecuencia de la STC 86/1989 y limitar nuestro examen del Reglamento de Ordenación del Seguro Privado (Real Decreto 1.348/1985, de 1 de agosto; en adelante, el Reglamento) a aquellos aspectos que puedan estimarse que tengan una entidad propia o carácter autónomo, ello sin perjuicio de las referencias o remisiones a la STC 86/1989 que sean precisas.  Este carácter limitado del examen que ahora procede resulta además especialmente pertinente por la técnica empleada en el Reglamento.  Siendo el mismo un reglamento general de desarrollo de una ley, en gran cantidad de supuestos se reproduce la integridad de los preceptos legales a desarrollar, añadiendo a continuación aquéllo que es propiamente desarrollo reglamentario de los mismos.  De esta forma, gran parte de los preceptos reglamentarios reproducen primero un precepto legal (indicando incluso entre paréntesis el número de éste) y, a renglón seguido, se añade el desarrollo reglamentario.</w:t>
      </w:r>
    </w:p>
    <w:p w:rsidR="00FE0907" w:rsidRDefault="00FE0907" w:rsidP="00FE0907">
      <w:pPr>
        <w:pStyle w:val="TextoNormal"/>
      </w:pPr>
    </w:p>
    <w:p w:rsidR="00FE0907" w:rsidRDefault="00FE0907" w:rsidP="00FE0907">
      <w:pPr>
        <w:pStyle w:val="TextoNormal"/>
      </w:pPr>
      <w:r w:rsidRPr="00FE0907">
        <w:rPr>
          <w:rStyle w:val="NumeroAFNegritaCaracter"/>
        </w:rPr>
        <w:t>2</w:t>
      </w:r>
      <w:r>
        <w:t>. Cabe prescindir, por tanto, de un análisis detenido de las competencias estatales (que no se reducen, como parece entender la representación de la Generalidad, a la prevista en el art.  149.1.11 C.E., sino que incluye también otras competencias reguladas en los arts. 149.1.6 y 149.1.13), así como de las competencias que corresponden a Cataluña, de desarrollo y ejecución en materia de seguros (art. 10.1.4 EAC), y exclusiva en materia de cooperativas, pósitos y mutualismo no integrado en el sistema de Seguridad Social (art. 9.21 EAC).  Sólo estos dos sectores concretos de las cooperativas de seguros y de las mutualidades de previsión social no integradas en la Seguridad Social escapan a las reglas generales en materia de seguros, quedando sujetas las sociedades mutuas de seguros, comprendidas en el régimen del art. 149.1.11 C.E., a la competencia básica del Estado en materia de seguros (STC 86/1989, fundamento jurídico 5).  En cuanto a la extensión de la competencia catalana sobre mutualidades no integradas en la Seguridad Social, la misma no excluye la competencia estatal sobre las bases de la ordenación del seguro en cuanto las mutualidades realicen o lleven a cabo actividades aseguradoras sobre las que el Estado dispone de competencia normativa básica.  De este modo, el titulo competencial específico de Cataluña no impide la competencia estatal de ordenación básica de esa actividad siempre que se respeten las peculiaridades de esas mutualidades, reservadas a la competencia autonómica, por lo que las normas básicas de la actividad aseguradora aplicables habrán de respetar la especificidad del mutualismo de previsión social y no podrá afectar al régimen jurídico estructural y funcional de tales mutualidades, competencia exclusiva de la Comunidad Autónoma. Lo mismo ha de afirmarse en relación con las cooperativas de seguros, en lo que se refiere a la actividad aseguradora de dichas entidades (STC 86/1989, fundamento jurídico 7).</w:t>
      </w:r>
    </w:p>
    <w:p w:rsidR="00FE0907" w:rsidRDefault="00FE0907" w:rsidP="00FE0907">
      <w:pPr>
        <w:pStyle w:val="TextoNormal"/>
      </w:pPr>
      <w:r>
        <w:t>Así pues, las impugnaciones competenciales dirigidas contra los preceptos reglamentarios aplicables a las diversas entidades dedicadas a la actividad aseguradora han de analizarse a la luz de la doctrina anteriormente resumida.</w:t>
      </w:r>
    </w:p>
    <w:p w:rsidR="00FE0907" w:rsidRDefault="00FE0907" w:rsidP="00FE0907">
      <w:pPr>
        <w:pStyle w:val="TextoNormal"/>
      </w:pPr>
    </w:p>
    <w:p w:rsidR="00FE0907" w:rsidRDefault="00FE0907" w:rsidP="00FE0907">
      <w:pPr>
        <w:pStyle w:val="TextoNormal"/>
      </w:pPr>
      <w:r w:rsidRPr="00FE0907">
        <w:rPr>
          <w:rStyle w:val="NumeroAFNegritaCaracter"/>
        </w:rPr>
        <w:t>3</w:t>
      </w:r>
      <w:r>
        <w:t>. Un bloque de impugnaciones que merece alguna consideración previa es el dirigido contra el amplio sector del Reglamento declarado básico. Estas impugnaciones se dirigen bien contra la propia calificación como básicos de determinados preceptos, bien contra el carácter excesivamente agotador y detallista de la regulación declarada básica.</w:t>
      </w:r>
    </w:p>
    <w:p w:rsidR="00FE0907" w:rsidRDefault="00FE0907" w:rsidP="00FE0907">
      <w:pPr>
        <w:pStyle w:val="TextoNormal"/>
      </w:pPr>
      <w:r>
        <w:t xml:space="preserve">La consideración como básica de parte de la regulación reglamentaria aquí controvertida no puede derivar sino de lo prevenido, directa o indirectamente, en la propia Ley 33/1984, pues es del todo claro que existiendo -como aquí existe- una ley que ordena la materia, y que ha procedido ya a la definición de lo que en ella sea básico, no puede el </w:t>
      </w:r>
      <w:r>
        <w:lastRenderedPageBreak/>
        <w:t>reglamento innovar tal calificación más allá de lo previsto en esa ley previa. Ello no descarta, ciertamente, la posibilidad de que el Real Decreto 1.348/1985 contenga, a su vez, normas que merezcan ser calificadas de básicas, pues por tales habrá que tener no sólo, como es obvio, aquellas que en su texto se limitan a reproducir reglas legislativas de tal carácter (Disposición final primera, 1 y 2), sino también los preceptos reglamentarios que deban verse como ejecución o cumplimiento de una remisión hecha por la Ley 33/1984 para culminar o completar la regulación de la disciplina básica por ella misma definida. Cuestión distinta es si ésto es lo que ocurre en todos y cada uno de los casos en que así se califica un precepto de este Real Decreto por su Disposición final primera, 3. Esto es, precisamente, lo que aquí se ha de ver y junto a ello, en fin, si el contenido de la ordenación básica introducida, en desarrollo de la Ley, por este Real Decreto resulta respetuoso con las competencias que corresponden a la Generalidad de Cataluña, pues la disciplina básica, según jurisprudencia constitucional constante, no puede alcanzar tal extensión que depare la abolición práctica de aquellas competencias.  Si así no fuera, si el Real Decreto contrariase estos criterios en la ordenación de lo básico, es claro que tal vicio afectaría no a los preceptos materiales así calificados (que pasarían, en tal hipótesis, a ostentar la condición de Derecho supletorio del autonómico), sino a las propias reglas sobre la aplicación territorial (a la Disposición final primera, 3, en este caso).</w:t>
      </w:r>
    </w:p>
    <w:p w:rsidR="00FE0907" w:rsidRDefault="00FE0907" w:rsidP="00FE0907">
      <w:pPr>
        <w:pStyle w:val="TextoNormal"/>
      </w:pPr>
    </w:p>
    <w:p w:rsidR="00FE0907" w:rsidRDefault="00FE0907" w:rsidP="00FE0907">
      <w:pPr>
        <w:pStyle w:val="TextoNormal"/>
      </w:pPr>
      <w:r w:rsidRPr="00FE0907">
        <w:rPr>
          <w:rStyle w:val="NumeroAFNegritaCaracter"/>
        </w:rPr>
        <w:t>4</w:t>
      </w:r>
      <w:r>
        <w:t>. Tras las anteriores consideraciones generales, procede que examinemos las impugnaciones que formula la Generalidad de Cataluña respecto a los preceptos del Reglamento de Ordenación del Seguro Privado.</w:t>
      </w:r>
    </w:p>
    <w:p w:rsidR="00FE0907" w:rsidRDefault="00FE0907" w:rsidP="00FE0907">
      <w:pPr>
        <w:pStyle w:val="TextoNormal"/>
      </w:pPr>
      <w:r>
        <w:t>-Del Capítulo I (Disposiciones generales), se impugnan el art.  2, apartados 1, 4 y 5 y el art. 3 d) -precepto que reproduce el art. 2 d) de la Ley-, con base en que el ámbito de aplicación del Reglamento no debería comprender la actividad aseguradora de las mutualidades de previsión y de las cooperativas de seguros, por caer estas entidades bajo competencia de la Generalidad.  Deben ser rechazadas en aplicación de la doctrina sentada en la STC 86/1989 que se ha resumido en el fundamento jurídico 2º.</w:t>
      </w:r>
    </w:p>
    <w:p w:rsidR="00FE0907" w:rsidRDefault="00FE0907" w:rsidP="00FE0907">
      <w:pPr>
        <w:pStyle w:val="TextoNormal"/>
      </w:pPr>
      <w:r>
        <w:t>Del Capítulo II (Condiciones de acceso a la actividad aseguradora), se impugnan determinados incisos de los arts. 8, 12 y 14.</w:t>
      </w:r>
    </w:p>
    <w:p w:rsidR="00FE0907" w:rsidRDefault="00FE0907" w:rsidP="00FE0907">
      <w:pPr>
        <w:pStyle w:val="TextoNormal"/>
      </w:pPr>
      <w:r>
        <w:t>-La impugnación del art. 8, ap. 1, y del art. 12, ap.1 -que reproducen el 6.1 y 2 de la Ley-, relativos a la facultad de autorización por parte del Ministerio de Economía y Hacienda (M.E.H.)  de las entidades que se propongan realizar actividades de aseguramiento y conexas, ha de ser rechazada por las razones vistas en el fundamento jurídico 13 a) y b) de la STC 86/1989.</w:t>
      </w:r>
    </w:p>
    <w:p w:rsidR="00FE0907" w:rsidRDefault="00FE0907" w:rsidP="00FE0907">
      <w:pPr>
        <w:pStyle w:val="TextoNormal"/>
      </w:pPr>
      <w:r>
        <w:t xml:space="preserve">-La impugnación del art. 14.2 y 3 se produce por entender la Generalidad de Cataluña que, por mediación de la Disposición final primera, se le atribuye tan sólo la competencia ejecutiva, cuando le corresponde asimismo la legislativa de desarrollo.  En realidad, lo que resulta de la citada Disposición final no es tanto la atribución a las Comunidades Autónomas con competencias en la materia de sólo las de tipo ejecutivo, sino la declaración de que dichos apartados del art. 14 son básicos (Disposición final primera, 3), exceptuando de tal carácter las facultades que se atribuyen al M.E.H. por los incisos 2 a) y b) y 3 del citado precepto, puesto que se admite su ejecución por tales Comunidades Autónomas (Disposición final primera, 4).  Quiere ello decir que la Comunidad recurrente tiene, en contra de lo que afirma, capacidad de desarrollo normativo de los citados preceptos, aunque siempre, ciertamente, respetando el desarrollo reglamentario estatal declarado básico. Así las cosas, basta con lo dicho para rechazar la queja, ya que no se excluye que las CC.AA.  posean competencias normativas de desarrollo en relación con el art. 14.2 y 3 del </w:t>
      </w:r>
      <w:r>
        <w:lastRenderedPageBreak/>
        <w:t>Reglamento, el cual, por otra parte, no se encuentra entre los impugnados por haber sido declarados básicos por la Disposición final primera, 3 (pág.  20 de la demanda).  Puede añadirse, con todo, a mayor abundamiento, que habiendo sido declarada básica la aprobación de Estatutos, plan de actuación y documentación de las entidades dedicadas a la actividad aseguradora [art. 6.4 de la Ley y fundamento jurídico 13 c) de la STC 86/1989], no puede objetarse que también se atribuya tal carácter a la regulación del procedimiento de modificación de los mismos, del que, sin embargo, el Reglamento priva de carácter básico a las facultades otorgadas al M.E.H. en el art. 14 ap. 2 a) y b), y ap. 3.</w:t>
      </w:r>
    </w:p>
    <w:p w:rsidR="00FE0907" w:rsidRDefault="00FE0907" w:rsidP="00FE0907">
      <w:pPr>
        <w:pStyle w:val="TextoNormal"/>
      </w:pPr>
    </w:p>
    <w:p w:rsidR="00FE0907" w:rsidRDefault="00FE0907" w:rsidP="00FE0907">
      <w:pPr>
        <w:pStyle w:val="TextoNormal"/>
      </w:pPr>
      <w:r w:rsidRPr="00FE0907">
        <w:rPr>
          <w:rStyle w:val="NumeroAFNegritaCaracter"/>
        </w:rPr>
        <w:t>5</w:t>
      </w:r>
      <w:r>
        <w:t>. El Capítulo III del Reglamento, versa, al igual que el del mismo número de la Ley, sobre las sociedades mutuas y las cooperativas de seguros. Y, como sucedía en los recursos contra la Ley, se impugnan preceptos del mismo por dos tipos de consideraciones.  En unos casos, por entender que se trata de disposiciones que no se refieren a la actividad aseguradora, sino que inciden en aspectos organizativos de tales entidades.  En otros, no tanto por su contenido como por estimar, bien que la declaración de básicos de tales preceptos es improcedente al haberse efectuado por via reglamentaria, bien que la regulación básica se ha efectuado de una manera excesivamente detallada y agotadora, impidiendo así a la Comunidad Autónoma desplegar sus potestades normativas.</w:t>
      </w:r>
    </w:p>
    <w:p w:rsidR="00FE0907" w:rsidRDefault="00FE0907" w:rsidP="00FE0907">
      <w:pPr>
        <w:pStyle w:val="TextoNormal"/>
      </w:pPr>
      <w:r>
        <w:t>Pese a su distinto fundamento, es evidente, en relación con todas estas objeciones, que, como dijimos en la STC 86/1989 "si alguno de los preceptos que se examinan no pudiera ser calificado de básico respecto a la ordenación del seguro, decaería su carácter preferencial o directamente aplicable de la regulación estatal, y tales preceptos serían exclusivamente de aplicación supletoria respecto de la legislación de las Comunidades Autónomas recurrentes sobre la materia" (fundamento jurídico 14).  Y la imposibilidad de ser calificado como básico puede derivar tanto de que ciertos preceptos no se refieran propiamente a la actividad aseguradora, como de la inidoneidad del instrumento reglamentario para declarar básica una normativa o, en fin, del carácter detallista de la regulación, que excedería el ámbito de lo básico.</w:t>
      </w:r>
    </w:p>
    <w:p w:rsidR="00FE0907" w:rsidRDefault="00FE0907" w:rsidP="00FE0907">
      <w:pPr>
        <w:pStyle w:val="TextoNormal"/>
      </w:pPr>
      <w:r>
        <w:t>De este Capítulo se impugnan en concreto los siguientes artículos:</w:t>
      </w:r>
    </w:p>
    <w:p w:rsidR="00FE0907" w:rsidRDefault="00FE0907" w:rsidP="00FE0907">
      <w:pPr>
        <w:pStyle w:val="TextoNormal"/>
      </w:pPr>
      <w:r>
        <w:t>-El art. 25 del Reglamento reproduce y desarrolla el art. 13 de la Ley, dedicado a las sociedades mutuas y cooperativas a prima fija. Del mismo se impugnan el ap.1, epígrafes a), b), c), d), f) hasta el primer punto, h) e i) hasta el primer punto; el apartado 2 hasta el primer punto y el apartado 3, último párrafo.  Parte de los epígrafes se impugnan por incidir directamente en los aspectos organizativos de las sociedades mutuas y cooperativas a prima fija, sin conexión razonable o suficiente con los principios o bases de la ordenación de la actividad aseguradora y, todos ellos, por constituir una regulación detallada y agotadora de la materia.</w:t>
      </w:r>
    </w:p>
    <w:p w:rsidR="00FE0907" w:rsidRDefault="00FE0907" w:rsidP="00FE0907">
      <w:pPr>
        <w:pStyle w:val="TextoNormal"/>
      </w:pPr>
      <w:r>
        <w:t>Pues bien, si el citado art. 13 de la Ley fue declarado básico por la Disposición final primera de la misma, y tal carácter fue confirmado por la STC 86/1989 (fundamento jurídico 15), la Disposición final primera, 3 del Reglamento no incluye el art.  25 del mismo entre los preceptos declarados básicos.  Por consiguiente, sólo tienen ese carácter los incisos del art.  25 que son mera reproducción del art. 13 de la Ley, poseyendo los restantes incisos, sin necesidad de ninguna declaración adicional nuestra, una eficacia meramente supletoria en aquellas Comunidades Autónomas que posean competencias normativas sobre la materia, como la recurrente. No es fundada, por tanto, la queja formulada por la Generalidad.</w:t>
      </w:r>
    </w:p>
    <w:p w:rsidR="00FE0907" w:rsidRDefault="00FE0907" w:rsidP="00FE0907">
      <w:pPr>
        <w:pStyle w:val="TextoNormal"/>
      </w:pPr>
      <w:r>
        <w:t xml:space="preserve">-Impugna la Generalidad de Cataluña los arts. 26 a 36, ambos inclusive, de forma genérica, por entender que su calificación como básicos por la Disposición final primera, 3, del </w:t>
      </w:r>
      <w:r>
        <w:lastRenderedPageBreak/>
        <w:t>Reglamento, es improcedente, tanto por efectuarse por via reglamentaria como por el carácter en exceso detallista de los citados preceptos, que exceden el ámbito de lo básico. Tanto el art. 13 de la Ley, como los arts. 24 a 36 del Reglamento contienen la regulación de una modalidad de sociedades mutuas y cooperativas de seguros, de aquéllas que funcionan con un sistema de prima fija. El citado art.  13 de la ley es el que contiene los aspectos básicos de tal regulación decididos por el legislador, que han sido desarrollados, como se ha visto antes, en el art.  25 del Reglamento.  Ahora bien, muy distinta conceptuación deben recibir los arts. 26 a 36 del Reglamento, ya que éstos suponen completar de un modo acabado la regulación de dichas entidades, como lo demuestra el último de dichos preceptos, el art. 36, en el que se indica la supletoriedad, en todo lo no previsto en la Ley, el propio Reglamento y los Estatutos de las referidas entidades, respecto a los órganos de gobierno de dichas entidades y a las relaciones de los socios con las mismas -que es a lo que se dedica la regulación legal y reglamentaria-, de la Ley de Régimen Jurídico de las Sociedades Anónimas en tanto no contradiga el régimen legal específico de esta clase de sociedades. Pues bien, sin que sea preciso entrar en este caso en un examen detenido precepto por precepto, no puede aceptarse, por las razones vistas en el fundamento jurídico 3, que sea el propio Gobierno quien decida declarar básica toda la regulación reglamentaria de una materia sin habilitación legal para ello y cuando ya el legislador ha definido, directamente o por remisión, qué sea lo básico.  Puede que en algún caso sea razonable que toda la regulación, inclusive la reglamentaria, en los supuestos excepcionales a que se refería la STC 69/1988, (fundamento jurídico 5º) deba ser declarada básica; pero no puede aceptarse (cuando no se justifica, como en el presente caso, la concurrencia de tales supuestos) que habiéndose limitado el legislador a declarar básicos algunos aspectos de esa regulación, decida el titular de la potestad reglamentaria declarar a su vez básico, no ya el directo desarrollo de tales aspectos (lo que en cambio, no hace el art. 25 del Reglamento), sino el conjunto del desarrollo reglamentario, como efectua en relación con los arts.  26 a 36 del Reglamento la Disposición final primera, 3, cuyo apartado 4 exceptúa tan sólo la facultad contemplada en el art.  31.1.  Ha de acogerse, por tanto, la impugnación de la Generalidad de Cataluña y rechazar el carácter básico de los arts. 26 a 36 del Reglamento, lo que se traduce en la parte dispositiva de esta Sentencia en la pertinente declaración relativa a la mencionada Disposición final primera, 3.</w:t>
      </w:r>
    </w:p>
    <w:p w:rsidR="00FE0907" w:rsidRDefault="00FE0907" w:rsidP="00FE0907">
      <w:pPr>
        <w:pStyle w:val="TextoNormal"/>
      </w:pPr>
      <w:r>
        <w:t>-El art. 38 del Reglamento reproduce y desarrolla el art. 14 de la Ley, relativo a las mutuas y cooperativas a prima variable, en forma análoga a lo que hace el 25 con el 13 de la Ley.  Es impugnado bien por su remisión al art.  25, bien por las mismas razones esgrimidas por la Generalidad de Cataluña contra dicho art. 25. Al igual que ocurre con las impugnaciones dirigidas contra el citado precepto, deben decaer las formuladas contra el art.  38, el cual no ha sido declarado básico por la Disposición final primera, 3 del Reglamento, y sólo ostentan ese carácter, por consiguiente, los incisos del mismo que sean reproducción de la Ley.  El resto de los incisos posee eficacia meramente supletoria para las Comunidades Autónomas con competencias normativas en la materia. Por lo demás, es preciso tener en cuenta que el art.  14.2 a) de la Ley fue declarado por la STC 86/1989 conforme al orden competencial, interpretado en los términos del fundamento jurídico 17 de la misma, declaración que afecta, como es obvio, al desarrollo del citado precepto legal.</w:t>
      </w:r>
    </w:p>
    <w:p w:rsidR="00FE0907" w:rsidRDefault="00FE0907" w:rsidP="00FE0907">
      <w:pPr>
        <w:pStyle w:val="TextoNormal"/>
      </w:pPr>
      <w:r>
        <w:t xml:space="preserve">-El art. 39 pertenece al bloque de artículos impugnado por haber sido declarado básico por la Disposición final primera, 3 del Reglamento. Su contenido es equivalente, para las sociedades mutuas y cooperativas a prima variable, al de los arts. 26 a 36 del Reglamento en relación con las mutuas y cooperativas a prima fija, ya que se remite a los citados arts 26 a 36, así como al 47.2 (al que también se remitía el art. 26 y que será examinado más </w:t>
      </w:r>
      <w:r>
        <w:lastRenderedPageBreak/>
        <w:t>adelante). Pues bien, es aplicable a este precepto lo que se dijo en relación con los arts. 26 a 36 del Reglamento, ya que el legislador declaró básico en relación con las mutuas y cooperativas a prima variable lo que consideró oportuno en el art.  14 de la Ley, sin que pueda el titular de la potestad reglamentaria declarar a su vez básico, por su propia voluntad, el conjunto del desarrollo reglamentario del mismo.</w:t>
      </w:r>
    </w:p>
    <w:p w:rsidR="00FE0907" w:rsidRDefault="00FE0907" w:rsidP="00FE0907">
      <w:pPr>
        <w:pStyle w:val="TextoNormal"/>
      </w:pPr>
      <w:r>
        <w:t>-Los arts. 40 y 41, que desarrollan el art. 15 de la Ley, son impugnados por su carácter básico. Sin embargo, en ningún precepto del Reglamento se les atribuye tal cualidad, por lo que tan sólo la poseerán aquellos incisos que reproduzcan incisos de la Ley que ostenten el carácter de básicos. Debe recordarse aquí también que el citado art. 15 de la Ley fue declarado por la STC 86/1989 conforme al orden competencial, interpretado en los términos del fundamento jurídico 17 de la misma.</w:t>
      </w:r>
    </w:p>
    <w:p w:rsidR="00FE0907" w:rsidRDefault="00FE0907" w:rsidP="00FE0907">
      <w:pPr>
        <w:pStyle w:val="TextoNormal"/>
      </w:pPr>
    </w:p>
    <w:p w:rsidR="00FE0907" w:rsidRDefault="00FE0907" w:rsidP="00FE0907">
      <w:pPr>
        <w:pStyle w:val="TextoNormal"/>
      </w:pPr>
      <w:r w:rsidRPr="00FE0907">
        <w:rPr>
          <w:rStyle w:val="NumeroAFNegritaCaracter"/>
        </w:rPr>
        <w:t>6</w:t>
      </w:r>
      <w:r>
        <w:t>. El Capítulo IV del Reglamento se refiere a las condiciones para el ejercicicio de la actividad aseguradora y desarrolla el Capítulo V de la Ley.  Del mismo se impugnan los siguientes artículos:</w:t>
      </w:r>
    </w:p>
    <w:p w:rsidR="00FE0907" w:rsidRDefault="00FE0907" w:rsidP="00FE0907">
      <w:pPr>
        <w:pStyle w:val="TextoNormal"/>
      </w:pPr>
      <w:r>
        <w:t>-El art. 42.1, relativo al control de la Administración del Estado, que es reproducción del art.  22.1 de la Ley y respecto al que hay que estar a lo decidido en el fundamento jurídico, 22 de la STC 86/1989.</w:t>
      </w:r>
    </w:p>
    <w:p w:rsidR="00FE0907" w:rsidRDefault="00FE0907" w:rsidP="00FE0907">
      <w:pPr>
        <w:pStyle w:val="TextoNormal"/>
      </w:pPr>
      <w:r>
        <w:t>-Los arts.  43 a 46 del Reglamento, ambos inclusive, se refieren a la contabilidad y publicidad de la actividad aseguradora.  De ellos son declarados básicos por la Disposición final primera, 3, del Reglamento el 43, el 45 y el 46, y son impugnados por tal razón el art. 43, ap. 1 a partir de la locución "y, en particular..." y ap. 2; el 45, apartados 2, 3, 4, 6, 7 y 8 y el 46, apartados 1 y 4.</w:t>
      </w:r>
    </w:p>
    <w:p w:rsidR="00FE0907" w:rsidRDefault="00FE0907" w:rsidP="00FE0907">
      <w:pPr>
        <w:pStyle w:val="TextoNormal"/>
      </w:pPr>
      <w:r>
        <w:t>La Ley declara básico que el control de la actividad, publicidad, situación financiera y estado de solvencia de las entidades de seguros se atribuya a la Administración del Estado (art.  22) y establece que "las entidades llevarán los libros de contabilidad y facilitarán la documentación e información que sean necesarias para el ejercicio de dicho control en la forma que reglamentariamente se determine" (art.  22 ap.  1, cuyo carácter básico fue impugnado, rechazándose tal impugnación por la STC 86/1989, fundamento jurídico 22).  Siendo básica la atribución del citado control al Ministerio de Economía y Hacienda y teniendo en cuenta la citada remisión a la potestad reglamentaria, no puede objetarse que el Reglamento haya declarado básicos los artículos citados, en tanto que los mismos se refieren precísamente a reglas de contabilidad y publicidad que deben hacer posible dicho control. En este caso hay que entender que las normas calificadas como básicas por el Reglamento se encuentran en una relación de directo desarrollo de la materia básica declarada por la ley. Debe rechazarse, por tanto, la impugnación formulada por la Generalidad de Cataluña.</w:t>
      </w:r>
    </w:p>
    <w:p w:rsidR="00FE0907" w:rsidRDefault="00FE0907" w:rsidP="00FE0907">
      <w:pPr>
        <w:pStyle w:val="TextoNormal"/>
      </w:pPr>
      <w:r>
        <w:t>-El art. 47 del Reglamento relativo a los Estatutos de las entidades aseguradoras, es declarado básico por la Disposición final primera, 3, y se impugna dicha cualidad respecto al apartado 2, que enuncia el contenido mínimo de tales Estatutos.  Sin embargo, el art. 23. 1 de la Ley, precepto que ostenta el carácter de básico, establece que los Estatutos de dichas entidades se ajustarán a lo establecido en la propia ley, en sus disposiciones complementarias y en la legislación que les sea aplicable con carácter subsidiario. Dicha remisión efectuada por el legislador a la legislación complementaria es suficiente para entender que la calificación como básico del art.  47 del Reglamento está amparada por el legislador como complemento necesario de la normativa legal básica. Ha de rechazarse por ello la impugnación de la Generalidad.</w:t>
      </w:r>
    </w:p>
    <w:p w:rsidR="00FE0907" w:rsidRDefault="00FE0907" w:rsidP="00FE0907">
      <w:pPr>
        <w:pStyle w:val="TextoNormal"/>
      </w:pPr>
      <w:r>
        <w:lastRenderedPageBreak/>
        <w:t>-El art. 48 del Reglamento, relativo a la aprobación de pólizas, bases técnicas y tarifas, en desarrollo del art. 23 de la Ley, no ha sido declarado básico por la Disposición final primera, 3, por lo que la impugnación formulada en relación con el mismo debe rechazarse por iguales razones a las vistas en el fundamento jurídico 5º en relación con el art. 25 del Reglamento.  En consecuencia, el art. 48 del Reglamento posee valor supletorio en el territorio de la Comunidad Autónoma promotora del conflicto, puesto que los incisos que reproduce del referido art.  23 de la propia Ley no tienen la cualidad de básicos. A ello no obsta el que el ap. 4 de la citada Disposición final incluya entre los artículos que menciona el 48, pues el reconocimiento de que las Comunidades Autónomas con competencia en la materia puedan ejercer la facultades contenidas en el precepto impugnado no supone privación de las competencias normativas de desarrollo que estatutariamente correspondan a esas mismas Comunidades Autónomas.</w:t>
      </w:r>
    </w:p>
    <w:p w:rsidR="00FE0907" w:rsidRDefault="00FE0907" w:rsidP="00FE0907">
      <w:pPr>
        <w:pStyle w:val="TextoNormal"/>
      </w:pPr>
      <w:r>
        <w:t>-Se impugna el carácter básico de los arts. 49 y 50 del Reglamento, relativos el primero al contenido de las pólizas en general y sus duplicados y el segundo a las peculiaridades de las pólizas en seguros de vida. Pues bien, la Ley, en su art.  23.2, declarado básico, declara que "el contenido de las pólizas deberá ajustarse a la Ley de Contrato de Seguro y a la presente".  No existe por tanto, ninguna remisión al reglamento en relación con este punto, a diferencia de lo que ocurría en relación con los Estatutos, según hemos visto al examinar la impugnación del art.  47 del Reglamento. No puede, por tanto, aceptarse que considerando básico el legislador que el contenido de las pólizas deba ajustarse a la propia ley y a otra sobre la materia, el Gobierno declare básico por su propia iniciativa el desarrollo reglamentario relativo a ese punto. Debe estimarse por ello la impugnación de la Generalidad y decaer el carácter básico de los citados arts. 49 y 50 del Reglamento, que tendrán valor supletorio en las Comunidades Autónomas con competencias de desarrollo normativo sobre la materia.</w:t>
      </w:r>
    </w:p>
    <w:p w:rsidR="00FE0907" w:rsidRDefault="00FE0907" w:rsidP="00FE0907">
      <w:pPr>
        <w:pStyle w:val="TextoNormal"/>
      </w:pPr>
      <w:r>
        <w:t>-Del art. 51 del Reglamento, que trata sobre las tarifas de prima, se impugna el carácter básico del ap. 2, del ap.  3 en parte y del ap. 4. El precepto impugnado desarrolla el art. 23.3 de la Ley, que es reproducido en el apartado 1 del mismo.  Pues bien, el citado apartado 3 del art. 23 de la Ley, que posee la cualidad de básico y que contiene las previsiones que el legislador ha considerado necesario declarar básicos, tampoco efectúa ninguna referencia a su desarrollo reglamentario, de tal forma que pudiera entenderse que el titular de la potestad reglamentaria quedaba autorizado a declarar básicos aquellos incisos del Reglamento que lo desarrollan, y tampoco se observa una relación directa entre los incisos mencionados del Reglamento y lo declarado básico por el legislador. Ha de aceptarse también, por consiguiente, la impugnación de la Generalidad, y declarar que carecen de carácter básico los apartados 2, 3 desde "elaboradas de acuerdo..." y 4 del art. 51 del Reglamento.</w:t>
      </w:r>
    </w:p>
    <w:p w:rsidR="00FE0907" w:rsidRDefault="00FE0907" w:rsidP="00FE0907">
      <w:pPr>
        <w:pStyle w:val="TextoNormal"/>
      </w:pPr>
      <w:r>
        <w:t>-También objeta la Generalidad de Cataluña que se declaren básicos los arts.  52 y 53, que recogen determinadas normas sobre bases técnicas, y el art. 54, que versa sobre la información estadística empleada para la elaboración de tarifas. Al no poder ampararse el carácter básico declarado por la Disposición final primera, 3, del Reglamento en ninguna previsión legal ni resultar tampoco dicho carácter básico consecuencia directa de la regulación legal básica, procede acoger la impugnación y declarar que no son básicos los citados preceptos.</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Capítulo V del Reglamento se dedica a las garantías financieras durante el funcionamiento y se subdivide en dos Secciones.  La primera de ellas, que trata de las provisiones técni cas y constituye un amplio desarrollo del art.  24 de la Ley, comprende los </w:t>
      </w:r>
      <w:r>
        <w:lastRenderedPageBreak/>
        <w:t>arts. 55 a 75 del Reglamento, ambos inclusive, todos los cuales son declarados básicos por la Disposición final primera, 3.  La Generalidad de Cataluña impugna el carácter básico de todos esos preceptos, con excepción de los arts.  55 ap.  1 (cuyo carácter básico deriva de ser reproducción del art.  24.1 de la Ley), 56 ap. 1, 62 y 66 apartados 1 a) y 4, hasta la primera coma.</w:t>
      </w:r>
    </w:p>
    <w:p w:rsidR="00FE0907" w:rsidRDefault="00FE0907" w:rsidP="00FE0907">
      <w:pPr>
        <w:pStyle w:val="TextoNormal"/>
      </w:pPr>
      <w:r>
        <w:t>Pues bien, el citado art. 24.1 de la Ley, que posee carácter básico, efectúa una expresa remisión al Reglamento para la forma de cumplimentar determinadas provisiones técnicas por las entidades aseguradoras. Por otra parte, el art.  24.2 de la Ley, cuyo carácter básico fue ratificado por la STC 86/1989 (fundamento jurídico 23), efectúa asimismo una remisión al Reglamento en lo que respecta a los activos en que deberán invertirse las provisiones técnicas, así como respecto a la distribución, límites y condiciones que deben reunir las inversiones y los criterios de valoración de éstas a efectos de la cobertura de provisiones técnicas. Por ello no puede objetarse que el Reglamento haya declarado básicos los arts. 55 a 75 del mismo, ya que del 55 al 61 son directo desarrollo del primer apartado del art. 24 LOSP, y los arts.  62 a 75 desarrollan las reglas sobre el cómputo de las provisiones técnicas y dan cumplimiento a la remisión efectuada por el apartado 2 de dicho art. 24 de la Ley.</w:t>
      </w:r>
    </w:p>
    <w:p w:rsidR="00FE0907" w:rsidRDefault="00FE0907" w:rsidP="00FE0907">
      <w:pPr>
        <w:pStyle w:val="TextoNormal"/>
      </w:pPr>
      <w:r>
        <w:t>Todo ello sin perjuicio de que las facultades de ejecución comprendidas en los citados artículos y que son enumeradas en el apartado 4 de la Disposición final primera del Reglamento -entre las que se comprende la incluida en el art. 24.3 de la Ley- correspondan a las Comunidades Autónomas con competencias en la materia, lo que supone en definitiva, según se indicó en el fundamento jurídico 8º de la STC 86/1989, privar del carácter básico a dichas facultades ejecutivas.</w:t>
      </w:r>
    </w:p>
    <w:p w:rsidR="00FE0907" w:rsidRDefault="00FE0907" w:rsidP="00FE0907">
      <w:pPr>
        <w:pStyle w:val="TextoNormal"/>
      </w:pPr>
    </w:p>
    <w:p w:rsidR="00FE0907" w:rsidRDefault="00FE0907" w:rsidP="00FE0907">
      <w:pPr>
        <w:pStyle w:val="TextoNormal"/>
      </w:pPr>
      <w:r w:rsidRPr="00FE0907">
        <w:rPr>
          <w:rStyle w:val="NumeroAFNegritaCaracter"/>
        </w:rPr>
        <w:t>8</w:t>
      </w:r>
      <w:r>
        <w:t>. La Sección Segunda del Capítulo V del Reglamento trata, en desarrollo de los arts. 25 y 26 de la Ley, del margen de solvencia, fondo de garantía y limitación de actividades, y comprende los arts.  76 a 81, ambos inclusive.  De ellos son declarados básicos por la Disposición final primera, 3, ROSP los arts.  76 a 80, ambos inclusive, y tal carácter es impugnado por la Generalidad respecto a los arts. 77, 78 y 79.</w:t>
      </w:r>
    </w:p>
    <w:p w:rsidR="00FE0907" w:rsidRDefault="00FE0907" w:rsidP="00FE0907">
      <w:pPr>
        <w:pStyle w:val="TextoNormal"/>
      </w:pPr>
      <w:r>
        <w:t>El art.  25.1 de la Ley establece que las entidades aseguradoras deberán disponer en cada ejercicio económico, como margen de solvencia, de un patrimonio propio no comprometido, deducidos los elementos inmateriales, en la cuantía que determine el Reglamento de esta Ley. Al tener carácter básico este precepto y efectuar la mencionada remisión expresa al Reglamento, resulta admisible que éste haya declarado básicos los citados arts.  77, 78 y 79, puesto que el primero versa sobre las partidas integrantes del patrimonio propio no comprometido computable a los efectos del margen de solvencia y los arts. 78 y 79 la cuantía mínima de dicho margen en los diversos tipos de seguros.  Ha de rechazarse, por consiguiente, la impugnación de la Generalidad.</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Del Capítulo VI del Reglamento se impugna el carácter básico de los apartados 2 y 3 del art. 85, precepto que desarrolla el art. 28.5 de la Ley, que regula la agrupación transitoria de entidades aseguradoras. Dicho precepto, al que la Disposición final primera de la Ley atribuía carácter básico, resultó privado de dicha cualidad por decisión de nuestra STC 86/1989 (fundamento jurídico 24 y punto 1 del fallo), que consideró injustificado que el Estado se reservase como básica la autorización para una agrupación transitoria cuando no lo hacía con la relativa a la agrupación definitiva respecto a las entidades sujetas a la competencia de las Comunidades Autónomas.  Desprovisto de carácter básico el citado apartado 5 del art. 28 de la Ley, igual suerte deben correr los apartados 2 y 3 del art. 85 del </w:t>
      </w:r>
      <w:r>
        <w:lastRenderedPageBreak/>
        <w:t>Reglamento que lo desarrollan, procediendo acoger por tanto la impugnación efectuada por la Comunidad recurrente.</w:t>
      </w:r>
    </w:p>
    <w:p w:rsidR="00FE0907" w:rsidRDefault="00FE0907" w:rsidP="00FE0907">
      <w:pPr>
        <w:pStyle w:val="TextoNormal"/>
      </w:pPr>
    </w:p>
    <w:p w:rsidR="00FE0907" w:rsidRDefault="00FE0907" w:rsidP="00FE0907">
      <w:pPr>
        <w:pStyle w:val="TextoNormal"/>
      </w:pPr>
      <w:r w:rsidRPr="00FE0907">
        <w:rPr>
          <w:rStyle w:val="NumeroAFNegritaCaracter"/>
        </w:rPr>
        <w:t>10</w:t>
      </w:r>
      <w:r>
        <w:t>. Del Capítulo VII del Reglamento, que trata sobre la revocación de la autorización administrativa para el ejercicio de la actividad de las entidades aseguradoras y de la disolución, liquidación e intervención de éstas, se impugnan los arts.  92, ap.  1, 93, aps. 1 y 3, y 106, ap. 1. La razón común es que en ellos se atribuyen a la Administración central determinadas potestades ejecutivas que la Comunidad recurrente estima que le corresponden a ella.</w:t>
      </w:r>
    </w:p>
    <w:p w:rsidR="00FE0907" w:rsidRDefault="00FE0907" w:rsidP="00FE0907">
      <w:pPr>
        <w:pStyle w:val="TextoNormal"/>
      </w:pPr>
      <w:r>
        <w:t>-El apartado 1 del art. 92 del Reglamento no contempla expresamente ninguna potestad de tipo ejecutivo, puesto que se limita a reiterar lo establecido en el art. 31.7 de la Ley respecto a que el nombramiento, revocación, responsabilidad, competencia y funciones de los liquidadores se regirán por la normativa propia de la Entidad de que se trate, de la que será supletoria la Ley de Sociedades Anónimas, con las particularidades previstas en el propio apartado 7 del art. 31 de la Ley. Ha de rechazarse por ello la impugnación de tal precepto del Reglamento.</w:t>
      </w:r>
    </w:p>
    <w:p w:rsidR="00FE0907" w:rsidRDefault="00FE0907" w:rsidP="00FE0907">
      <w:pPr>
        <w:pStyle w:val="TextoNormal"/>
      </w:pPr>
      <w:r>
        <w:t>-Es obvio, en cambio que en cuanto a las citadas particularidades previstas en el referido art.  31.7 de la Ley, hay que estar a lo dispuesto en la STC 86/1989, fundamento jurídico 27 y punto 1 del fallo.</w:t>
      </w:r>
    </w:p>
    <w:p w:rsidR="00FE0907" w:rsidRDefault="00FE0907" w:rsidP="00FE0907">
      <w:pPr>
        <w:pStyle w:val="TextoNormal"/>
      </w:pPr>
      <w:r>
        <w:t>Así, los apartados 1 y 3 del art.  93 se limitan precísamente a reproducir dos de tales particularidades, las contempladas en las letras c) y d) del art.  31.7 de la Ley. La Sentencia citada declaró contrario al orden competencial considerarlas básicas y, por ello, que resultaba improcedente reservar a la Administración del Estado tales atribuciones. Debe pues acogerse la impugnación efectuada contra el Reglamento y declarar no básicos ambos apartados.</w:t>
      </w:r>
    </w:p>
    <w:p w:rsidR="00FE0907" w:rsidRDefault="00FE0907" w:rsidP="00FE0907">
      <w:pPr>
        <w:pStyle w:val="TextoNormal"/>
      </w:pPr>
      <w:r>
        <w:t>Igualmente, cabe considerar que vulnera el orden competencial el apartado 1 del art. 106 del Reglamento, que se limita a reproducir el art. 31.8 de la Ley, cuyo carácter básico en cuanto a las funciones encomendadas al Ministerio de Economía y Hacienda fue rechazado en la referida Sentencia (fundamento jurídico 27 y punto 1º, apartado segundo del fallo).</w:t>
      </w:r>
    </w:p>
    <w:p w:rsidR="00FE0907" w:rsidRDefault="00FE0907" w:rsidP="00FE0907">
      <w:pPr>
        <w:pStyle w:val="TextoNormal"/>
      </w:pPr>
    </w:p>
    <w:p w:rsidR="00FE0907" w:rsidRDefault="00FE0907" w:rsidP="00FE0907">
      <w:pPr>
        <w:pStyle w:val="TextoNormal"/>
      </w:pPr>
      <w:r w:rsidRPr="00FE0907">
        <w:rPr>
          <w:rStyle w:val="NumeroAFNegritaCaracter"/>
        </w:rPr>
        <w:t>11</w:t>
      </w:r>
      <w:r>
        <w:t>. Del Capítulo IX del Reglamento, que trata sobre la actividad de reaseguro, se impugna el apartado 2 del art. 113, en tanto confiere sólo al Ministerio de Economía y Hacienda la potestad de autorizar el acceso al mercado de las entidades españolas que tengan por objeto exclusivo el reaseguro.  Ha de rechazarse la impugnación, ya que dicha atribución estaba prevista en el art. 37.2 de la Ley, cuyo carácter básico fue confirmado por la STC 86/1989 (fundamento jurídico 29), precepto que contiene además una expresa remisión al Reglamento, que es desarrollada en el referido art. 113.2 del mismo.</w:t>
      </w:r>
    </w:p>
    <w:p w:rsidR="00FE0907" w:rsidRDefault="00FE0907" w:rsidP="00FE0907">
      <w:pPr>
        <w:pStyle w:val="TextoNormal"/>
      </w:pPr>
    </w:p>
    <w:p w:rsidR="00FE0907" w:rsidRDefault="00FE0907" w:rsidP="00FE0907">
      <w:pPr>
        <w:pStyle w:val="TextoNormal"/>
      </w:pPr>
      <w:r w:rsidRPr="00FE0907">
        <w:rPr>
          <w:rStyle w:val="NumeroAFNegritaCaracter"/>
        </w:rPr>
        <w:t>12</w:t>
      </w:r>
      <w:r>
        <w:t>. Del Capítulo X del Reglamento, que trata de la competencia y acción administrativa, se impugna el art. 117, con excepción del último inciso del apartado 4 y del apartado 5.</w:t>
      </w:r>
    </w:p>
    <w:p w:rsidR="00FE0907" w:rsidRDefault="00FE0907" w:rsidP="00FE0907">
      <w:pPr>
        <w:pStyle w:val="TextoNormal"/>
      </w:pPr>
      <w:r>
        <w:t xml:space="preserve">-Es claramente infundada la impugnación del primer apartado, que se limita a reproducir el apartado 1 del art.  39 de la Ley. Ambos preceptos, legal y reglamentario, no efectúuan declaración competencial alguna, sino que simplemente especifican qué Ministerio de la Administración del Estado es el competente para ejercer las competencias que sobre seguro y reaseguro privado correspondan a dicha Administración, añadiendo el precepto </w:t>
      </w:r>
      <w:r>
        <w:lastRenderedPageBreak/>
        <w:t>reglamentario el órgano a través del cual dicho Ministerio ejercerá tales competencias. Debe pues rechazarse la impugnación de este precepto.</w:t>
      </w:r>
    </w:p>
    <w:p w:rsidR="00FE0907" w:rsidRDefault="00FE0907" w:rsidP="00FE0907">
      <w:pPr>
        <w:pStyle w:val="TextoNormal"/>
      </w:pPr>
      <w:r>
        <w:t>-Los apartados 2 y 3 reproducen literalmente los correlativos del mismo art.  39 de la Ley - con la excepción de que en el art. 117.3 ROSP se omite la referencia a los montepíos y mutualidades de previsión social no integrados en la Seguridad Social-, que fueron examinados en la STC 86/1989. Hay que estar, por consiguiente, a lo declarado en dicha Sentencia, en sus fundamentos jurídicos 9 a 11 y 30, así como, en relación con el apartado 2 del art. 39 de la Ley, en el punto 2º del fallo, -declaración interpretativa ésta que afecta al ap. 2 del art.  117 del Reglamento ahora impugnado-.</w:t>
      </w:r>
    </w:p>
    <w:p w:rsidR="00FE0907" w:rsidRDefault="00FE0907" w:rsidP="00FE0907">
      <w:pPr>
        <w:pStyle w:val="TextoNormal"/>
      </w:pPr>
      <w:r>
        <w:t>Así, según se dijo en el referido fundamento jurídico 30 de la STC 86/1989 en relación con el art. 39.2 de la Ley, "ha de considerarse que sería contraria al reparto constitucional de competencias la restricción al seguro directo de la posibilidad de desarrollo y ejecución autonómica, posibilidad que debe entenderse también referida al reaseguro, en cuanto modalidad del seguro privado. Así interpretado, no resulta inconstitucional el art.  39.2", afirmación que hay que reiterar en relación con el art.  117.2 del Reglamento impugnado.  En relación con la impugnación del art. 117.3 del Reglamento, que se funda en la aplicabilidad de las bases de ordenación del seguro dictadas por el Estado a la materia comprendida en el art. 9.21 del Estatuto de Autonomía, de competencia exclusiva de la Comunidad recurrente, son aplicables también los razonamientos expresados en los fundamentos jurídicos 6º y 7º de la STC 86/1989.</w:t>
      </w:r>
    </w:p>
    <w:p w:rsidR="00FE0907" w:rsidRDefault="00FE0907" w:rsidP="00FE0907">
      <w:pPr>
        <w:pStyle w:val="TextoNormal"/>
      </w:pPr>
      <w:r>
        <w:t>-En cuanto al apartado 4, que reproduce literalmente el correlativo del art.  39 de la Ley, la Generalidad de Cataluña impugna tan sólo las dos primeras proposiciones, relativas la primera a la competencia estatal sobre autorizaciones y revocaciones para el ejercicio de la actividad aseguradora, y la segunda a la atribución al Estado del alto control económico financiero de las entidades aseguradoras comprendidas en el apartado 3 de dicho artículo, respecto de las que las Comunidades Autónomas poseen competencias exclusivas.  Pues bien, la impugnación del primero de dicho inciso fue ya rechazada en la STC 86/1989 (fundamentos jurídicos 13 y 30). Y la que hace referencia al segundo inciso, fue también rechazada en el fundamento Jjrídico 31. Igual rechazo deben pues seguir ahora las formuladas contra el apartado 4 del art.  117 del Reglamento, siendo de aplicación, como es evidente, las razones expresadas en los mencionados fundamentos jurídicos de la STC 86/1989.</w:t>
      </w:r>
    </w:p>
    <w:p w:rsidR="00FE0907" w:rsidRDefault="00FE0907" w:rsidP="00FE0907">
      <w:pPr>
        <w:pStyle w:val="TextoNormal"/>
      </w:pPr>
      <w:r>
        <w:t>-De este Capítulo se impugna también el epígrafe j, del art.  124 del Reglamento, que sanciona como infracción muy grave el reiterado incumplimiento de los acuerdos o resoluciones emanados de la Dirección General de Seguros, por no otorgar igual consideración al incumplimiento de aquéllos emanados de los correspondientes órganos de las Comunidades Autónomas.  Este inciso es reproducción literal del art. 43.6 j) de la Ley, cuya constitucionalidad fue avalada en la STC 86/1989, en su fundamento jurídico 33, a cuyas razones basta ahora remitirse para desestimar la impugnación formulada.</w:t>
      </w:r>
    </w:p>
    <w:p w:rsidR="00FE0907" w:rsidRDefault="00FE0907" w:rsidP="00FE0907">
      <w:pPr>
        <w:pStyle w:val="TextoNormal"/>
      </w:pPr>
    </w:p>
    <w:p w:rsidR="00FE0907" w:rsidRDefault="00FE0907" w:rsidP="00FE0907">
      <w:pPr>
        <w:pStyle w:val="TextoNormal"/>
      </w:pPr>
      <w:r w:rsidRPr="00FE0907">
        <w:rPr>
          <w:rStyle w:val="NumeroAFNegritaCaracter"/>
        </w:rPr>
        <w:t>13</w:t>
      </w:r>
      <w:r>
        <w:t>. De la Disposición final primera del Reglamento se impugnan sus cuatro apartados. Nada hay que añadir en relación con la impugnación de los dos primeros a lo que ya se dijo en la STC 86/1989, puesto que son reproducción literal de los dos primeros apartados de la Disposición final primera de la Ley, que establecen los preceptos de la propia Ley que reciben la consideración de básicos, cuestión que, como se indicó en el fundamento jurídico 30 de la citada Sentencia, se examinó a lo largo de la misma en relación con los diversos artículos de la Ley incluidos en los citados apartados de la referida Disposición final primera.</w:t>
      </w:r>
    </w:p>
    <w:p w:rsidR="00FE0907" w:rsidRDefault="00FE0907" w:rsidP="00FE0907">
      <w:pPr>
        <w:pStyle w:val="TextoNormal"/>
      </w:pPr>
      <w:r>
        <w:lastRenderedPageBreak/>
        <w:t>Igual sucede con el apartado 3, que enumera los preceptos del Reglamento que tienen la consideración de básicos, además de los preceptos de la Ley con ese carácter y reproducidos en el Reglamento. Pues bien, como se dijo en la STC 86/1989 respecto a la correspondiente disposición de la ley (fundamento jurídico 35), hay que tener en cuenta las consideraciones hechas en relación con los diversos artículos del Reglamento declarados básicos por esta Disposición final primera, 3, e impugnados por tal razón, considerándose por tanto inconstitucional tal declaración de básicos respecto de aquellos preceptos que, según se ha ido enumerando en esta Sentencia, no lo son.</w:t>
      </w:r>
    </w:p>
    <w:p w:rsidR="00FE0907" w:rsidRDefault="00FE0907" w:rsidP="00FE0907">
      <w:pPr>
        <w:pStyle w:val="TextoNormal"/>
      </w:pPr>
      <w:r>
        <w:t>En cuanto a la impugnación dirigida contra el apartado 4, se funda en que en el mismo se atribuye a las Comunidades Autónomas con competencia en materia de seguros la potestad de ejercer determinadas competencias ejecutivas allí enumeradas, lo que supondría rebajar el techo competencial de aquellas Comunidades que tienen no sólo la potestad ejecutiva sino también la de desarrollo legislativo. Sin embargo, en modo alguno puede entenderse que la citada disposición tiene semejante consecuencia.  Por el contrario, como se dijo en la STC 86/1989 en relación con análoga disposición de la Ley y se ha recordado en esta Sentencia en relación con algún precepto del Reglamento impugnado, el efecto del citado apartado es privar de carácter básico a tales facultades ejecutivas, sin que suponga ello en modo alguno limitar las competencias normativas de desarrollo que puedan corresponder a las Comunidades Autónomas con competencias sobre el seguro privado.</w:t>
      </w:r>
    </w:p>
    <w:p w:rsidR="00FE0907" w:rsidRDefault="00FE0907" w:rsidP="00FE0907">
      <w:pPr>
        <w:pStyle w:val="TextoNormal"/>
      </w:pPr>
    </w:p>
    <w:p w:rsidR="00FE0907" w:rsidRDefault="00FE0907" w:rsidP="00FE0907">
      <w:pPr>
        <w:pStyle w:val="TextoNormal"/>
      </w:pPr>
      <w:r w:rsidRPr="00FE0907">
        <w:rPr>
          <w:rStyle w:val="NumeroAFNegritaCaracter"/>
        </w:rPr>
        <w:t>14</w:t>
      </w:r>
      <w:r>
        <w:t>. Se impugnan, finalmente, la Disposición transitoria segunda y el apartado 2 de la sexta.  La Disposición transitoria segunda es reproducción literal de la correlativa Disposición de la Ley, y debe decaer su impugnación por las razones vistas en el fundamento jurídico 39 de la STC 86/1989. En cuanto al 2 de la Disposición transitoria sexta, es reproducción del apartado 2 de la Disposición transitoria séptima de la Ley y su impugnación debe igualmente decaer por las razones vistas en el fundamento jurídico 40 de la referida STC 86/1989.</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en parte el conflicto de competencia planteado por la Generalidad de Cataluña contra el Decreto 1.348/1985, de 1 de agosto, sobre el Reglamento de Ordenación del Seguro Privado y, en consecuencia:</w:t>
      </w:r>
    </w:p>
    <w:p w:rsidR="00FE0907" w:rsidRDefault="00FE0907" w:rsidP="00FE0907">
      <w:pPr>
        <w:pStyle w:val="TextoNormal"/>
      </w:pPr>
      <w:r>
        <w:t>1º.  Declarar contraria al orden constitucional y estatutario de competencias y, por consiguiente, nula, la Disposición final primera, apartado 3, en tanto declara básicos los siguientes preceptos:</w:t>
      </w:r>
    </w:p>
    <w:p w:rsidR="00FE0907" w:rsidRDefault="00FE0907" w:rsidP="00FE0907">
      <w:pPr>
        <w:pStyle w:val="TextoNormal"/>
      </w:pPr>
      <w:r>
        <w:t>-arts.  26 a 36, ambos inclusive; art. 39; arts. 49 y 50; art.  51, apartados 2, 3 y 4; arts. 52, 53 y 54; art. 85.2 y 3; art.  93, apartados 1 y 3; y art.  106, apartado 1.</w:t>
      </w:r>
    </w:p>
    <w:p w:rsidR="00FE0907" w:rsidRDefault="00FE0907" w:rsidP="00FE0907">
      <w:pPr>
        <w:pStyle w:val="TextoNormal"/>
      </w:pPr>
      <w:r>
        <w:t>2º.  Desestimar el conflicto en todo lo demás.</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veintitrés de marzo de mil novecientos noventa y dos.</w:t>
      </w:r>
    </w:p>
    <w:p w:rsidR="00FE0907" w:rsidRDefault="00FE0907" w:rsidP="00FE0907">
      <w:pPr>
        <w:pStyle w:val="ParrafoNormal"/>
      </w:pPr>
    </w:p>
    <w:p w:rsidR="00FE0907" w:rsidRDefault="00FE0907" w:rsidP="00FE0907">
      <w:pPr>
        <w:pStyle w:val="TextoNormalNegritaCentrado"/>
        <w:keepNext/>
      </w:pPr>
      <w:r>
        <w:t>Voto particular que formula el Magistrado don Francisco Rubio Llorente a la Sentencia que resuelve el conflicto de competencia núm. 1.154/1985</w:t>
      </w:r>
    </w:p>
    <w:p w:rsidR="00FE0907" w:rsidRDefault="00FE0907" w:rsidP="00FE0907">
      <w:pPr>
        <w:pStyle w:val="TextoNormalNegritaCentrado"/>
        <w:keepNext/>
      </w:pPr>
    </w:p>
    <w:p w:rsidR="00FE0907" w:rsidRDefault="00FE0907" w:rsidP="00FE0907">
      <w:pPr>
        <w:pStyle w:val="TextoNormal"/>
      </w:pPr>
      <w:r>
        <w:t>He disentido de la opinión de mis colegas en cuanto que declara contraria al orden constitucional de competencias la Disposición final primera, apartado 3, en relación con los arts.  26 a 36, 39, 49, 50, 51, apdos. 2.3 y 4, 52, 53 y 54 del Reglamento.</w:t>
      </w:r>
    </w:p>
    <w:p w:rsidR="00FE0907" w:rsidRDefault="00FE0907" w:rsidP="00FE0907">
      <w:pPr>
        <w:pStyle w:val="TextoNormal"/>
      </w:pPr>
      <w:r>
        <w:t>La razón de mi disentimiento es doble: De una parte, no comparto el argumento central, según el cual el Reglamento dictado en desarrollo de una Ley que, en todo o en parte, ha sido clasificada como básica, no puede declarar a su vez que determinados preceptos del propio Reglamento tienen carácter básico, a menos que la norma legal que esos preceptos desarrollan o complementan haga una referencia concreta al Reglamento. A mi juicio basta con que la Ley total o parcialmente básica contenga una habilitación o autorización a la potestad reglamentaria, para que, en uso de ésta, pueda atribuirse carácter básico a las normas que desarrollan preceptos legales de esa naturaleza.  Como es obvio esa declaración podría ser impugnada y eventualmente invalidada cuando los preceptos reglamentarios pretendidamente básicos no sean determinaciones accesorias y complementos indispensables de la regulación legal, pero este defecto nada tiene que ver con la falta de habilitación legal, que ya existe.  La multiplicación partenogenética de esta autorización única, incluyéndola en cada uno de los artículos de la Ley no pasaría de ser una complicación.</w:t>
      </w:r>
    </w:p>
    <w:p w:rsidR="00FE0907" w:rsidRDefault="00FE0907" w:rsidP="00FE0907">
      <w:pPr>
        <w:pStyle w:val="TextoNormal"/>
      </w:pPr>
      <w:r>
        <w:t>En segundo lugar, este argumento central que no comparto no ha sido tampoco aplicado de modo sistemático a todos los preceptos impugnados.  En mi opinión, las remisiones al Reglamento contenidas en los arts. 13.5, 14.2, 22.1 y 23.2 de la Ley deberían haber llevado, respecto de los arts. 26 a 36, 39 y 49 a 54 del Reglamento exactamente a la misma conclusión a la que, en relación con los arts. 43 a 47 del Reglamento se llega en virtud de las menciones que se hacen en los arts. 22 y 23.1 de la Ley.</w:t>
      </w:r>
    </w:p>
    <w:p w:rsidR="00FE0907" w:rsidRDefault="00FE0907" w:rsidP="00FE0907">
      <w:pPr>
        <w:pStyle w:val="TextoNormal"/>
      </w:pPr>
      <w:r>
        <w:t>Madrid, veintitrés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39" w:name="SENTENCIA_1992_36"/>
      <w:r>
        <w:lastRenderedPageBreak/>
        <w:t>SENTENCIA 36/1992, de 23 de marzo de 1992</w:t>
      </w:r>
    </w:p>
    <w:bookmarkEnd w:id="39"/>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ECLI:ES:TC:1992:36</w:t>
      </w:r>
    </w:p>
    <w:p w:rsidR="00FE0907" w:rsidRDefault="00FE0907" w:rsidP="00FE0907">
      <w:pPr>
        <w:pStyle w:val="SntesisDescriptiva"/>
      </w:pPr>
    </w:p>
    <w:p w:rsidR="00FE0907" w:rsidRDefault="00FE0907" w:rsidP="00FE0907">
      <w:pPr>
        <w:pStyle w:val="SntesisDescriptiva"/>
      </w:pPr>
      <w:r>
        <w:t>Conflicto positivo de competencia 17/1986. Promovido por el Gobierno de la Nación en relación con la Orden de 17 de julio de 1965, del Consejero del Departamento de Economía y Hacienda del País Vasco, sobre valores aptos para la cobertura técnica de Entidades de Seguro</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Se reitera doctrina de la STC 86/1989 en relación con la ordenación de las Entidades aseguradoras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Luis López Guerra, don José Luis de los Mozos y de los Mozos, don Alvaro Rodríguez Bereijo, don José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17/86, promovido por el Gobierno de la Nación, representado por el Abogado del Estado, en relación con la Orden de 17 de julio de 1985 del Consejero del Departamento de Economía y Hacienda del País Vasco sobre valores aptos para la cobertura de reservas técnicas de entidades de seguros, de capitalización y ahorro y entidades de previsión social voluntaria con sede en la Comunidad Autónoma del País Vasco. Ha sido parte el Gobierno Vasco, representado por el Abogado don Javier Madariaga Zamalloa. Ha sido Ponente el Magistrado don Luis López Guerra,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Por escrito registrado el 4 de enero de 1986, el Abogado del Estado, en representación del Gobierno de la Nación y previo requerimiento de incompetencia acordado por el Consejo de Ministros en sesión de 23 de octubre de 1985 y desatendido por el Gobierno </w:t>
      </w:r>
      <w:r>
        <w:lastRenderedPageBreak/>
        <w:t xml:space="preserve">Vasco, formaliza, con expresa invocación del art. 161.2 de la Constitución, conflicto positivo de competencia en relación con la Orden de 17 de julio de 1985 del Consejero del Departamento de Economía y Hacienda del País Vasco, sobre valores aptos para la cobertura de reservas técnicas de entidades de seguros, de capitalización y ahorro y entidades de previsión social voluntaria con sede en la Comunidad Autónoma del País Vasco. </w:t>
      </w:r>
    </w:p>
    <w:p w:rsidR="00FE0907" w:rsidRDefault="00FE0907" w:rsidP="00FE0907">
      <w:pPr>
        <w:pStyle w:val="TextoNormal"/>
      </w:pPr>
      <w:r>
        <w:t xml:space="preserve">Alega el Abogado del Estado que la Orden impugnada invade la competencia que reserva al Estado el art. 149.1.11 de la Constitución y vulnera la vigente normativa estatal reguladora de las bases en materia de ordenación del seguro privado. Y ello tanto al delimitar su ámbito de aplicación como al regular, por remisión a su anexo, los valores mobiliarios aptos para la inversión de las reservas técnicas de las entidades referidas en la meritada Orden. </w:t>
      </w:r>
    </w:p>
    <w:p w:rsidR="00FE0907" w:rsidRDefault="00FE0907" w:rsidP="00FE0907">
      <w:pPr>
        <w:pStyle w:val="TextoNormal"/>
      </w:pPr>
      <w:r>
        <w:t xml:space="preserve">Por lo que se refiere al primer aspecto, aduce el Abogado del Estado que lo mismo para las entidades de seguro directo (art. 39.2 de la Ley 33/1984, de 2 de agosto) que para las cooperativas de seguros y montepíos de previsión social (núm. 3 del propio precepto por remisión al núm. anterior), la delimitación subjetiva del ámbito competencial autonómico incluye, junto al domicilio en la Comunidad, dos exigencias desconocidas en la disposición objeto del conflicto: ámbito de aplicaciones y localización de riesgos. En este sentido, se remite el Abogado del Estado a lo argumentado en los autos acumulados de los recursos de inconstitucionalidad núms. 765 y 767/84 para fundamentar la titularidad estatal de la fijación del punto de conexión que delimita el alcance de las competencias autonómicas y de los concretos requisitos señalados en los núms. 2 y 3 del art. 39 de la Ley 33/1984. </w:t>
      </w:r>
    </w:p>
    <w:p w:rsidR="00FE0907" w:rsidRDefault="00FE0907" w:rsidP="00FE0907">
      <w:pPr>
        <w:pStyle w:val="TextoNormal"/>
      </w:pPr>
      <w:r>
        <w:t xml:space="preserve">En lo que hace a la regulación de los valores aptos para la inversión de provisiones técnicas, el Abogado del Estado considera que la Orden controvertida incurre también en vicio de incompetencia, ya que se trata de una materia correspondiente, como parte de las bases, a la titularidad estatal: art. 24 de la Ley 33/1984 y arts. 64 a 71 y 73 y 74 del Reglamento aprobado por Real Decreto 1.348/1985, de 1 de agosto, a cuya naturaleza básica, y por tanto vinculante para las competencias normativas de desarollo resultantes del art. 11.2 a) del Estatuto de Autonomía del País Vasco, se refieren, respectivamente, la Disposición final primera, 1, de la Ley y la Disposición final primera,3, del Reglamento. Con arreglo a esa regulación básica, sostiene el Abogado del Estado, se concluye la aptitud para inversión de las provisiones técnicas de todos los valores mobiliarios que tengan cotización oficial en Bolsa, en tanto que la Orden objeto de conflicto restringe tal aptitud a los valores incluídos en su anexo, pretendiendo modificar el contenido de las bases estatales. </w:t>
      </w:r>
    </w:p>
    <w:p w:rsidR="00FE0907" w:rsidRDefault="00FE0907" w:rsidP="00FE0907">
      <w:pPr>
        <w:pStyle w:val="TextoNormal"/>
      </w:pPr>
      <w:r>
        <w:t xml:space="preserve">A lo anterior añade el Abogado del Estado que el Real Decreto 1341/1978, de 2 de junio, invocado en el preámbulo de la disposición impugnada, ha quedado expresamente derogado por el Reglamento de 2 de agosto de 1985 (núm. 20 de la Disposición derogatoria del Real Decreto 1.345/1985) y que, en cuanto a la Ley Vasca 25/1983, de 27 de octubre y a los arts. 68 y 69 del Decreto autonómico 87/1984, de 20 de febrero, también aludidos en la disposición atacada y relativos a las Entidades de Previsión Social Voluntaria, debe tenerse en cuenta que la competencia del País Vasco, ex art. 10.23 de su Estatuto de Autonomía, ha de entenderse delimitada por la que tiene el Estado sobre las bases de la ordenación del seguro privado (art. 21, en relación con art. 19.2, de la Ley 33/1984), remitiéndose, nuevamente, el Abogado del Estado a lo aducido en los recursos de inconstitucionalidad acumulados núms. 765 y 767/84. </w:t>
      </w:r>
    </w:p>
    <w:p w:rsidR="00FE0907" w:rsidRDefault="00FE0907" w:rsidP="00FE0907">
      <w:pPr>
        <w:pStyle w:val="TextoNormal"/>
      </w:pPr>
      <w:r>
        <w:t xml:space="preserve">Destaca asimismo el Abogado del Estado que la circunstancia de que el Reglamento de Ordenación del Seguro Privado sea posterior a la Orden objeto de conflicto no obsta a la prevalencia de las bases contenidas en aquella norma estatal. La declaración de la titularidad de la competencia controvertida ha de atender, como señala la STC 87/1985 para el </w:t>
      </w:r>
      <w:r>
        <w:lastRenderedPageBreak/>
        <w:t xml:space="preserve">recurso directo, al momento del examen jurisdiccional, siquiera sea por el efecto de "inconstitucionalidad indirecta sobrevenida" que supone la modificación válidamente producida de la legislación estatal. </w:t>
      </w:r>
    </w:p>
    <w:p w:rsidR="00FE0907" w:rsidRDefault="00FE0907" w:rsidP="00FE0907">
      <w:pPr>
        <w:pStyle w:val="TextoNormal"/>
      </w:pPr>
      <w:r>
        <w:t xml:space="preserve">Finalmente, el Abogado del Estado advierte que la Orden discutida se separa al hablar de "reservas técnicas" de la terminología empleada en la legislación básica, que las denomina "provisiones técnicas", y pone de manifiesto que las entidades de capitalización y las de ahorro particular han sido suprimidas, las primeras en virtud de la disposición final tercera de la Ley 33/1984 y las segundas de acuerdo con el Real Decreto-ley 11/1981, de 20 de agosto. </w:t>
      </w:r>
    </w:p>
    <w:p w:rsidR="00FE0907" w:rsidRDefault="00FE0907" w:rsidP="00FE0907">
      <w:pPr>
        <w:pStyle w:val="TextoNormal"/>
      </w:pPr>
      <w:r>
        <w:t>Por todo ello, el Abogado del Estado interesa de este Tribunal que dicte Sentencia declarando que la titularidad estatal de la competencia ejercitada por la Comunidad Autónoma del País Vasco mediante la Orden objeto de conflicto con la consiguiente anulación de esta última.</w:t>
      </w:r>
    </w:p>
    <w:p w:rsidR="00FE0907" w:rsidRDefault="00FE0907" w:rsidP="00FE0907">
      <w:pPr>
        <w:pStyle w:val="TextoNormal"/>
      </w:pPr>
    </w:p>
    <w:p w:rsidR="00FE0907" w:rsidRDefault="00FE0907" w:rsidP="00FE0907">
      <w:pPr>
        <w:pStyle w:val="TextoNormal"/>
      </w:pPr>
      <w:r w:rsidRPr="00FE0907">
        <w:rPr>
          <w:rStyle w:val="NumeroAFNegritaCaracter"/>
        </w:rPr>
        <w:t>2</w:t>
      </w:r>
      <w:r>
        <w:t>. Por providencia de 22 de enero de 1986, la Sección acuerda: 1. admitir a trámite el conflicto positivo de competencia; 2. dar traslado de la demanda y documentos presentados al Gobierno Vasco, por conducto de su Presidente, a fin de que en el plazo de veinte días, aporte cuantos documentos y alegaciones considere convenientes; 3. dirigir oficio al Presidente de la entonces Audiencia Territorial de Bilbao para conocimiento de la Sala de lo Contencioso-Administrativo a los efectos de lo previsto en el art. 61.2 de la Ley Orgánica del Tribunal Constitucional; 4. tener por invocado por el Gobierno de la Nación el art. 161.2 de la Constitución, con suspensión, a comunicar al Presidente del Gobierno Vasco, de la Orden impugnada; y 5. publicar la incoación del conflicto y la suspensión acordada en los Boletines Oficiales del Estado y del País Vasco para general conocimiento.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Por escrito registrado el 14 de febrero de 1986, el Gobierno Vasco, representado por el Abogado don Javier Madariaga Zamalloa, se persona en el conflicto y, previa prórroga de diez días concedida, a solicitud del interesado, por providencia de la Sección de 19 de febrero de 1986, formula sus alegaciones en escrito que tiene entrada en este Tribunal el 6 de marzo de 1986. </w:t>
      </w:r>
    </w:p>
    <w:p w:rsidR="00FE0907" w:rsidRDefault="00FE0907" w:rsidP="00FE0907">
      <w:pPr>
        <w:pStyle w:val="TextoNormal"/>
      </w:pPr>
      <w:r>
        <w:t>En lo que toca a la delimitación del ámbito de aplicación de la Orden impugnada, el Abogado del Gobierno Vasco alega que el único criterio válido ha de ser el del domicilio social y no el triple punto de conexión que emplea el art. 39.2 y 3 de la Ley 33/1984. El Tribunal Constitucional (se citan las SSTC 37/1981, 72/1983 y 44/1984) ya ha señalado que la limitación territorial de las competencias de las Comunidades Autónomas no significa que les esté vedado a éstas adoptar decisiones que puedan producir consecuencias de hecho fuera del territorio nacional, pues lo contrario equivaldría a privarlas, pura y simplemente, de toda capacidad de actuación, y tal es lo que ocurriría, en el presente caso, de aceptar según el planteamiento del Abogado del Estado, los requisitos del art. 39 de la Ley 33/1984. En particular, el criterio de localización del riesgo tiene una naturaleza esencialmente variable en las contingencias que se refieran a personas, y en las contingencias referidas a bienes inmuebles resultaría contrario a la delimitación competencial Constitución/Estatuto de Autonomía. Por su parte, el criterio del ámbito operacional impide hacer la distinción recogida en la STC 72/1983 entre aquellos contenidos que suponen la relación asociativa típica y otras actividades de carácter instrumental que pueden tener lugar fuera del territorio de la Comunidad. A estas consideraciones ha de añadirse, señala el Abogado del Gobierno Vasco, que el Real Decreto 3.228/1982, de 15 de octubre, de tras</w:t>
      </w:r>
      <w:r>
        <w:lastRenderedPageBreak/>
        <w:t xml:space="preserve">paso de funciones, al País Vasco en materia de Mutualidades no integradas en la Seguridad Social utiliza el punto de conexión del domicilio social (apartado B.1). </w:t>
      </w:r>
    </w:p>
    <w:p w:rsidR="00FE0907" w:rsidRDefault="00FE0907" w:rsidP="00FE0907">
      <w:pPr>
        <w:pStyle w:val="TextoNormal"/>
      </w:pPr>
      <w:r>
        <w:t xml:space="preserve">En relación con la regulación de los valores aptos para inversión de las provisiones técnicas, examina en primer término el Abogado del Gobierno Vasco la distribución de competencias entre el Estado y la Comunidad Autónoma en materia de entidades de previsión social voluntaria. A este respecto aduce que, en tanto las mutualidades de previsión social no aparecen contempladas en las reservas estatales del art. 149.1 de la Constitución, que únicamente se refieren a las entidades aseguradoras (art. 149.1.11), sí son objeto de atribución competencial específica, distinta de la de desarrollo legislativo y ejecución de las bases de la ordenación del seguro y con carácter de exclusividad, en el Estatuto de Autonomía del País Vasco (art. 10.23), que, en consecuencia, otorga título a la Comunidad Autónoma para llevar a cabo la ordenación in toto de tales mutualidades sin sometimiento a bases estatales, aunque con sujeción a los principios constitucionales. </w:t>
      </w:r>
    </w:p>
    <w:p w:rsidR="00FE0907" w:rsidRDefault="00FE0907" w:rsidP="00FE0907">
      <w:pPr>
        <w:pStyle w:val="TextoNormal"/>
      </w:pPr>
      <w:r>
        <w:t xml:space="preserve">Seguidamente analiza el Abogado del Gobierno Vasco la compatibilidad entre el Real Decreto 1.348/1985, por el que se aprueba el Reglamento de la Ley 33/1984, y la Orden impugnada, y como cuestión preliminar advierte que el establecimiento de las bases que el Estado pueda hacer en el ejercicio de la competencia que le reserva el art. 149.1.11 de la Constitución no puede llegar a tal grado de desarrollo que deje vacía de contenido la competencia que en materia de seguro privado atribuye a la Comunidad Autónoma, para el desarrollo legislativo y la ejecución, el art. 11.2 a) del Estatuto de Autonomía, según es doctrina constitucional reiterada (se citan las SSTC 1/1982 y 96/1984). Hecha esta precisión, el Abogado del Gobierno Vasco señala que no existe contradicción alguna entre el art. 64.2 del Reglamento del Seguro Privado y la Orden impugnada. Aquél señala únicamente unos límites consistentes en que los activos aptos para la inversión de las provisiones técnicas se destinen a valores mobiliarios de renta fija o variable con cotización en Bolsa, aspecto este último que ha sido cumplido escrupulosamente por la Orden objeto de conflicto, que al especificar los valores susceptibles de inversión nada ha innovado, sino que se ha limitado a explicitar el alcance y contenido del citado precepto reglamentario, a tenor del cual lo básico es que las provisiones técnicas se inviertan en valores de renta fija o variable con cotización oficial en Bolsa, pero no la explicitación de tales valores, como lo demuestra el que dicha explicitación venga haciéndose a nivel estatal mediante Resoluciones de la Direccion General de Seguros. </w:t>
      </w:r>
    </w:p>
    <w:p w:rsidR="00FE0907" w:rsidRDefault="00FE0907" w:rsidP="00FE0907">
      <w:pPr>
        <w:pStyle w:val="TextoNormal"/>
      </w:pPr>
      <w:r>
        <w:t xml:space="preserve">Por otro lado, añade el Abogado del Gobierno Vasco, la argumentación expuesta por la Abogacía del Estado en el sentido de que las entidades aseguradoras podrán invertir en aquellos valores mobiliarios de renta fija o variable que tengan por conveniente carece de basamento jurídico para fundamentar un conflicto de competencia, pues en última instancia lo que se plantea no es la continuación del sistema normativo uniforme que puede considerarse como básico, sino que lo que se pretende es defender la posibilidad de que las entidades aseguradoras puedan libremente y bajo su decisión adquirir los valores de renta fija o variable que tengan por conveniente. </w:t>
      </w:r>
    </w:p>
    <w:p w:rsidR="00FE0907" w:rsidRDefault="00FE0907" w:rsidP="00FE0907">
      <w:pPr>
        <w:pStyle w:val="TextoNormal"/>
      </w:pPr>
      <w:r>
        <w:t>A propósito de la alegación del Abogado del Estado acerca de la derogación del Real Decreto 1.341/1978 referido en la Orden impugnada, el Abogado del Gobierno Vasco manifiesta que tal referencia lo es a efectos de distribución de inversiones, con lo que no hay contradicción alguna con el Reglamento de Ordenación del Seguro Privado, aparte de que el hecho de que aquel Real Decreto haya sido derogado no impide que los criterios utilizados y recogidos en el mismo puedan ser tenidos en cuenta por la Comunidad Autónoma cuando actúe en uso de su competencia. No se ha producido tampoco inconstitucionalidad indirecta sobrevenida por el hecho de ser el Reglamento estatal posterior a la Orden auto</w:t>
      </w:r>
      <w:r>
        <w:lastRenderedPageBreak/>
        <w:t xml:space="preserve">nómica, pues ésta no ha vulnerado el contenido de aquél, debiendo resaltarse que, en lo relativo a las Entidades de Previsión Social Voluntaria, la Orden impugnada ha respetado escrupulosamente la legislación vigente en la materia, mediante remisión expresa al art. 68 del Decreto del Gobierno Vasco 87/1984, de 20 de febrero. </w:t>
      </w:r>
    </w:p>
    <w:p w:rsidR="00FE0907" w:rsidRDefault="00FE0907" w:rsidP="00FE0907">
      <w:pPr>
        <w:pStyle w:val="TextoNormal"/>
      </w:pPr>
      <w:r>
        <w:t xml:space="preserve">Por último, en relación con la divergencia terminológica entre la Orden objeto de conflicto, que se refiere a "reservas técnicas" y la legislación estatal, que habla de "provisiones técnicas", considera el Abogado del Gobierno Vasco que, no dando la dicción autonómica lugar a la confusión, no puede tomarse como motivo de impugnación, y otro tanto cabe decir, agrega, en relación con la supresión de las entidades de capitalización y ahorro, y sustitución en la Ley 33/1984 por las entidades de seguro de vida. </w:t>
      </w:r>
    </w:p>
    <w:p w:rsidR="00FE0907" w:rsidRDefault="00FE0907" w:rsidP="00FE0907">
      <w:pPr>
        <w:pStyle w:val="TextoNormal"/>
      </w:pPr>
      <w:r>
        <w:t>Por todo ello, el Abogado del Gobierno Vasco interesa de este Tribunal que declare que corresponde a la Comunidad Autónoma la titularidad de la competencia controvertida y establezca, en consecuencia, la plena constitucionalidad de la Orden impugnada.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7 de mayo de 1986, la Sección, próximo a finalizar el plazo de cinco meses señalado en el art. 65.2 de la Ley Orgánica del Tribunal Constitucional, acuerda oír a las partes acerca del mantenimiento o levantamiento de la suspensión de la Orden impugnada. Evacuado el trámite, el Pleno acuerda en Auto de 19 de junio de 1986, mantener la suspensión.</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11 de marzo de 1991, corregida por otra de 20 del mismo mes y año, la Sección acuerda conceder a las partes un plazo de diez días para que aleguen sobre los efectos que pueda tener, sobre el mantenimiento y resolución del conflicto planteado, la doctrina constitucional contenida en la STC 86/1989, a propósito, en particular, de los arts. 24 y 39 de la Ley 33/1984, de 2 de agosto, de Ordenación del Seguro Privado. Evacuado el trámite, ambas partes, el Gobierno Vasco, por escrito de su Letrada doña Pilar Martínez Díez, registrado el 3 de abril de 1991, y el Gobierno de la Nación, por escrito registrado el 5 siguiente y al que se acompaña acuerdo del Consejo de Ministros de 27 de marzo de 1991, interesan la continuación del conflicto y su resolución por Sentencia.</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17 de marzo de 1992, se señala para votación y fallo de la presente Sentencia el día 23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Es objeto de conflicto la Orden de 17 de julio de 1985 del Consejero del Departamento de Economía y Hacienda del País Vasco sobre valores aptos para la cobertura de reservas técnicas de entidades de seguros, de capitalización y ahorro y entidades de previsión social voluntaria con sede en la Comunidad Autónoma del País Vasco.  El Abogado del Estado le reprocha, en primer término, que, para delimitar su ámbito de aplicación, la Orden utilice únicamente el criterio del domicilio social en el País Vasco de las entidades a que se refiere, en lugar del triple punto de conexión -domicilio social, ámbito de operaciones y localización de riesgos en la Comunidad Autónoma- que emplea el art. 39.2 y 3 de la Ley 33/1984, de 2 de agosto, de Ordenación del Seguro Privado (LOSP), para circunscribir las competencias autonómicas respecto de las entidades de seguro directo y de las mutualidades de previsión social no integradas en la Seguridad Social. En segundo </w:t>
      </w:r>
      <w:r>
        <w:lastRenderedPageBreak/>
        <w:t>lugar, impugna el Abogado del Estado la orden citada en cuanto que limita a los que incluye en su anexo los valores mobiliarios aptos para la inversión de las provisiones técnicas de las entidades aseguradoras y de previsión social voluntaria, cuando, con arreglo a la regulación estatal básica [art.  64.2 b) y Disposición final tercera del Reglamento de Ordenación del Seguro Privado -ROSP-, aprobado por Real Decreto 1348/1985, de 1 de agosto], son aptos, a estos efectos todos los valores mobiliarios de renta fija o variable que tengan cotización oficial en Bolsa.</w:t>
      </w:r>
    </w:p>
    <w:p w:rsidR="00FE0907" w:rsidRDefault="00FE0907" w:rsidP="00FE0907">
      <w:pPr>
        <w:pStyle w:val="TextoNormal"/>
      </w:pPr>
    </w:p>
    <w:p w:rsidR="00FE0907" w:rsidRDefault="00FE0907" w:rsidP="00FE0907">
      <w:pPr>
        <w:pStyle w:val="TextoNormal"/>
      </w:pPr>
      <w:r w:rsidRPr="00FE0907">
        <w:rPr>
          <w:rStyle w:val="NumeroAFNegritaCaracter"/>
        </w:rPr>
        <w:t>2</w:t>
      </w:r>
      <w:r>
        <w:t>. Conviene precisar con carácter previo que, como el Abogado del Estado advierte, aunque la Orden objeto de conflicto haga referencia a entidades aseguradoras, de capitalización y ahorro y de previsión social voluntaria, el Real Decreto-ley 11/1981, de 20 de agosto, declaró a extinguir, en el plazo de dos años a partir de su publicación, el régimen de las entidades de ahorro particular, bien por disolución de las mismas, bien por conversión en entidades de capitalización (art.2), las cuales, a su vez, en cuanto practicasen, a la entrada en vigor de la LOSP, operaciones comprendidas en ella, pasaron a denominarse entidades de seguro de vida (Disposición final tercera de la LOSP), de modo que, propiamente, la Orden impugnada afecta a entidades aseguradoras y de previsión social voluntaria con sede en la Comunidad Autónoma del País Vasco.</w:t>
      </w:r>
    </w:p>
    <w:p w:rsidR="00FE0907" w:rsidRDefault="00FE0907" w:rsidP="00FE0907">
      <w:pPr>
        <w:pStyle w:val="TextoNormal"/>
      </w:pPr>
      <w:r>
        <w:t>Hecha esta aclaración, la solución del conflicto queda virtualmente predeterminada por la doctrina contenida en la STC 86/1989, que resolvió los recursos de inconstitucionalidad acumulados núm. 765 y 767/84, promovidos, respectivamente, por el Consejo Ejecutivo de la Generalidad de Cataluña y el Gobierno Vasco, contra determinados preceptos de la LOSP.</w:t>
      </w:r>
    </w:p>
    <w:p w:rsidR="00FE0907" w:rsidRDefault="00FE0907" w:rsidP="00FE0907">
      <w:pPr>
        <w:pStyle w:val="TextoNormal"/>
      </w:pPr>
    </w:p>
    <w:p w:rsidR="00FE0907" w:rsidRDefault="00FE0907" w:rsidP="00FE0907">
      <w:pPr>
        <w:pStyle w:val="TextoNormal"/>
      </w:pPr>
      <w:r w:rsidRPr="00FE0907">
        <w:rPr>
          <w:rStyle w:val="NumeroAFNegritaCaracter"/>
        </w:rPr>
        <w:t>3</w:t>
      </w:r>
      <w:r>
        <w:t>. En lo que atañe a la forma en que la Orden delimita su ámbito de aplicación, separándose de lo que resulta del art.  39.2 y 3 de la LOSP, basta recordar aquí, de una parte, que, según se expuso en la referida STC 86/1989 (fundamento jurídico 9), con el art. 39.2 y 3 de la LOSP el Estado ha ejercitado la competencia que le reserva el art. 149.1.8º de la C.E.  en materia de "normas para resolver conflictos de leyes" y, de otra parte, que el triple punto de conexión que ese precepto legal establece no es acreedor de ninguna tacha de inconstitucionalidad por las razones y en los términos desarrollados en la citada STC 86/1984, (fundamentos jurídicos 10 y 11), a los que ahora procede remitirse.  Es claro, por consiguiente, que en la medida en que la Orden que ha dado lugar al presente conflicto delimita su ámbito de aplicación mediante un punto de conexión distinto del que, en uso de su competencia, ha fijado el legislador estatal, se invade la esfera competencial del Estado.</w:t>
      </w:r>
    </w:p>
    <w:p w:rsidR="00FE0907" w:rsidRDefault="00FE0907" w:rsidP="00FE0907">
      <w:pPr>
        <w:pStyle w:val="TextoNormal"/>
      </w:pPr>
      <w:r>
        <w:t>A ello no es óbice que, respecto de las entidades de previsión social voluntaria, la Orden impugnada reproduzca, como la representación del Gobierno Vasco argumenta, el criterio delimitador del Real Decreto 3.228/1982, de 15 de octubre, de traspaso de funciones y servicios al País Vasco en materia de mutualidades no integradas en la Seguridad Social (Anexo B 1), pues, como ya se dijera en la STC 86/1989, fundamento jurídico 9º, a propósito de una objeción similar, "si bien no podría el legislador estatal modificar unilateralmente el contenido del alegado De creto de transferencias, nada impide que una Ley que incorpora las bases de la regulación de una materia aplique de manera distinta a un Decreto de transferencias anterior el criterio delimitador del ámbito de aplicación de las competencias autonómicas", al que, cabe agregar ahora, haya de ajustarse el ejercicio de estas últimas.</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En lo que hace a la determinación de los valores aptos para la inversión de provisiones técnicas de las entidades aseguradoras y de previsión social voluntaria, determinación que el art. 24.2 de la LOSP -básico, según la Disposición final primera de la misma- remite al Reglamento, este Tribunal, en la repetida STC 86/1989, fundamento jurídico 23 -a la que es preciso remitirse de nuevo- consideró que se trata de una materia de la competencia del Estado y entendió que su regulación por vía reglamentaria está plenamente justificada.  Partiendo de una óptica liberalizadora, el art.  64.2 b) del ROSP, que según la Disposición final tercera del mismo es básico -carácter que no se discute en este proceso- enuncia como activos aptos los valores mobiliarios de renta fija o variable cuando tengan cotización oficial en Bolsa, con lo que cabe entender que la regulación estatal básica reconoce aptitud para la inversión a cualesquiera valores mobiliarios de renta fija o variable con tal que coticen oficialmente en Bolsa.</w:t>
      </w:r>
    </w:p>
    <w:p w:rsidR="00FE0907" w:rsidRDefault="00FE0907" w:rsidP="00FE0907">
      <w:pPr>
        <w:pStyle w:val="TextoNormal"/>
      </w:pPr>
      <w:r>
        <w:t>De modo diferente, la Orden impugnada incluye en su anexo una relación limitada de valores aptos para la inversión, en los que, de acuerdo con el art. 1, deberán invertirse las provisiones técnicas de las entidades referidas en la Orden.  No es preciso ni procedente verificar aquí si los valores listados cotizan todos ellos en Bolsa o si otros valores que cotizan en Bolsa no aparecen en la lista.  Estas cuestiones, sobre las que las alegaciones de las partes no pasan de ser meras afirmaciones, podrían ventilarse y acreditarse en otro tipo de proceso, pero, así enunciadas, son impropias del proceso constitucional, en el que ha de comprobarse únicamente si se respeta el orden constitucional de competencias.  Y en este sentido, basta con reparar en que al reconducir a ciertos valores -los listados en el Anexo de la Orden- la inversión de provisiones técnicas, coticen o no aquéllos oficialmente en Bolsa y recoja o no el Anexo todos los valores que coticen oficialmente en Bolsa, se están determinando, con una técnica de reglamentación restrictiva, y por lo mismo, contraria a la cláusula abierta que emplea el art. 64.2 d) del ROSP, los activos aptos para la cobertura de dichas provisiones, y, con ello, se está invadiendo una competencia que, reservada al Estado, ha sido ejercitada por éste al establecer la regla del citado art. 64.2 b) del ROSP.</w:t>
      </w:r>
    </w:p>
    <w:p w:rsidR="00FE0907" w:rsidRDefault="00FE0907" w:rsidP="00FE0907">
      <w:pPr>
        <w:pStyle w:val="TextoNormal"/>
      </w:pPr>
      <w:r>
        <w:t>En consecuencia, también por este motivo la Orden objeto de conflicto excede de las competencias que corresponden a la Comunidad Autónoma del País Vasco tanto en relación con las entidades aseguradoras, respecto de las cuales la competencia autonómica es de desarrollo legislativo y ejecución de las bases estatales [art. 11.2 a) del EPV], cuanto en relación con las entidades de previsión social voluntaria, pues aun cuando, sobre estas últimas, el título competencial sea distinto y de más amplio alcance -el art.  10.23 del EPV atribuye la competencia con carácter exclusivo- la tantas veces aludida STC 86/1989, fundamento jurídico 7º, hubo de precisar, por los motivos entonces expuestos y que ahora no es necesario reproducir, que también esa competencia autonómica ha de respetar, en todo cuanto afecta a la actividad aseguradora que tales entidades puedan desplegar, las bases estatales de la ordenación del seguro (art. 149.1.11 de la C.E.).</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1º.  Declarar que la titularidad de la competencia controvertida corresponde al Estado.</w:t>
      </w:r>
    </w:p>
    <w:p w:rsidR="00FE0907" w:rsidRDefault="00FE0907" w:rsidP="00FE0907">
      <w:pPr>
        <w:pStyle w:val="TextoNormal"/>
      </w:pPr>
      <w:r>
        <w:lastRenderedPageBreak/>
        <w:t>2º.  Anular la Orden de 17 de julio de 1985 del Consejero del Departamento de Economía y Hacienda sobre valores aptos para la cobertura de reservas técnicas de entidades de seguros, de capitalización y ahorro y entidades de previsión social voluntaria con sede en la Comunidad Autónoma del País Vasco.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veintitres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0" w:name="SENTENCIA_1992_37"/>
      <w:r>
        <w:lastRenderedPageBreak/>
        <w:t>SENTENCIA 37/1992, de 23 de marzo de 1992</w:t>
      </w:r>
    </w:p>
    <w:bookmarkEnd w:id="40"/>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ECLI:ES:TC:1992:37</w:t>
      </w:r>
    </w:p>
    <w:p w:rsidR="00FE0907" w:rsidRDefault="00FE0907" w:rsidP="00FE0907">
      <w:pPr>
        <w:pStyle w:val="SntesisDescriptiva"/>
      </w:pPr>
    </w:p>
    <w:p w:rsidR="00FE0907" w:rsidRDefault="00FE0907" w:rsidP="00FE0907">
      <w:pPr>
        <w:pStyle w:val="SntesisDescriptiva"/>
      </w:pPr>
      <w:r>
        <w:t>Conflicto negativo de competencia 699/1986. Promovido por particulares en relación con las medidas no adoptadas por el Ministerio del Interior y el Consejo de Gobierno del Principado de Asturias, en relación con una solicitud de indemnización de daños derivados del suministro de energía eléctrica.</w:t>
      </w:r>
    </w:p>
    <w:p w:rsidR="00FE0907" w:rsidRDefault="00FE0907" w:rsidP="00FE0907">
      <w:pPr>
        <w:pStyle w:val="SntesisDescriptiva"/>
      </w:pPr>
    </w:p>
    <w:p w:rsidR="00FE0907" w:rsidRDefault="00FE0907" w:rsidP="00FE0907">
      <w:pPr>
        <w:pStyle w:val="SntesisAnaltica"/>
      </w:pPr>
      <w:r>
        <w:t>Inexistencia de objeto de conflicto competencial</w:t>
      </w:r>
    </w:p>
    <w:p w:rsidR="00FE0907" w:rsidRDefault="00FE0907" w:rsidP="00FE0907">
      <w:pPr>
        <w:pStyle w:val="SntesisAnaltica"/>
      </w:pPr>
    </w:p>
    <w:p w:rsidR="00FE0907" w:rsidRDefault="00FE0907" w:rsidP="00FE0907">
      <w:pPr>
        <w:pStyle w:val="Extracto"/>
      </w:pPr>
      <w:r>
        <w:t>1.</w:t>
      </w:r>
      <w:r>
        <w:tab/>
        <w:t>De acuerdo con una doctrina constitucional consolidada, se reitera que el objeto del conflicto negativo no puede ser otro, en definitiva, que interpretar y delimitar los ámbitos de competencias propios del Estado y de las Comunidades Autónomas, tal y como afirma, con carácter general para todos los conflictos constitucionales, el art. 59, párrafo primero, de la LOTC [F.J. 2].</w:t>
      </w:r>
    </w:p>
    <w:p w:rsidR="00FE0907" w:rsidRDefault="00FE0907" w:rsidP="00FE0907">
      <w:pPr>
        <w:pStyle w:val="Extracto"/>
      </w:pPr>
    </w:p>
    <w:p w:rsidR="00FE0907" w:rsidRDefault="00FE0907" w:rsidP="00FE0907">
      <w:pPr>
        <w:pStyle w:val="Extracto"/>
      </w:pPr>
      <w:r>
        <w:t>2.</w:t>
      </w:r>
      <w:r>
        <w:tab/>
        <w:t>El juicio sobre la responsabilidad patrimonial del Estado excede con mucho los límites de la jurisdicción constitucional y debe ser realizado, exclusivamente, por los Tribunales del orden contencioso-administrativo [F.J. 3].</w:t>
      </w:r>
    </w:p>
    <w:p w:rsidR="00FE0907" w:rsidRDefault="00FE0907" w:rsidP="00FE0907">
      <w:pPr>
        <w:pStyle w:val="Extracto"/>
      </w:pPr>
    </w:p>
    <w:p w:rsidR="00FE0907" w:rsidRDefault="00FE0907" w:rsidP="00FE0907">
      <w:pPr>
        <w:pStyle w:val="Extracto"/>
      </w:pPr>
      <w:r>
        <w:t>3.</w:t>
      </w:r>
      <w:r>
        <w:tab/>
        <w:t>A fin de evitar hipotéticas situaciones de indefensión contrarias al art. 24 de la Constitución, ha de entenderse que la presentación de la solicitud de planteamiento de conflicto negativo de competencias por la entidad actora interrumpió, en este caso, el plazo de ejercicio de las acciones para reclamar indemnización de daños y perjuicios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negativo de competencia núm. 699/86, promovido por el Procurador de los Tribunales don Ignacio Corujo Pita, en nombre y representación de "Minero-</w:t>
      </w:r>
      <w:r>
        <w:lastRenderedPageBreak/>
        <w:t>Siderúrgica de Ponferrada, S.A.", asistido del Letrado don José Hidalgo Rodríguez, y planteado entre el Ministerio del Interior y el Consejo de Gobierno del Principado de Asturias, en relación con una solicitud de indemnización de daños derivada del suministro temporal de energía eléctrica. Han sido partes el Abogado del Estado, en la representación que legalmente ostenta, y el Consejo de Gobierno del Principado de Asturias, representado por el Letrado don Samuel Fernández-Miranda Alonso; y Magistrado Ponente don Eugenio Díaz Eimil,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25 de junio de 1986, se registró en este Tribunal un escrito mediante el cual don Ignacio Corujo Pita, Procurador de los Tribunales, en nombre y representación de "Minero-Siderúrgica de Ponferrada, S.A.", solicitó el planteamiento de un conflicto negativo de competencias entre el Ministerio del Interior y el Consejo de Gobierno del Principado de Asturias, en relación con una solicitud de indemnización por daños, derivada del suministro temporal de energía eléctrica, ordenado por Acuerdo del Delegado del Gobierno en dicha Comunidad Autónoma de fecha 21 de agosto de 1985.</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que dan lugar a la solicitud de planteamiento de conflicto, según se desprenden de la demanda y de la documentación que se adjunta, son los siguientes: </w:t>
      </w:r>
    </w:p>
    <w:p w:rsidR="00FE0907" w:rsidRDefault="00FE0907" w:rsidP="00FE0907">
      <w:pPr>
        <w:pStyle w:val="TextoNormal"/>
      </w:pPr>
      <w:r>
        <w:t xml:space="preserve">a) El 20 de agosto de 1985, la sociedad anónima actora procedió al corte del suministro de energía eléctrica, por falta de pago, a la empresa distribuidora "Hidroeléctrica de Luiña, S.A."; se afirma que esto se hizo previa autorización del Servicio de Industria del Principado de Asturias concedida por silencio administrativo positivo, según el art. 84 del Reglamento de Verificaciones Eléctricas. </w:t>
      </w:r>
    </w:p>
    <w:p w:rsidR="00FE0907" w:rsidRDefault="00FE0907" w:rsidP="00FE0907">
      <w:pPr>
        <w:pStyle w:val="TextoNormal"/>
      </w:pPr>
      <w:r>
        <w:t xml:space="preserve">b) El día 21 siguiente, el Delegado del Gobierno, a instancias de la Consejería de Industría de la Comunidad Autónoma, dispuso que la entidad promovente continuase suministrando temporalmente energía eléctrica entre los cerca de los dos mil abonados a otra empresa en los municipios de Ibias y Degaña, "por tratarse de un problema de orden público" y al amparo de lo dispuesto en el art. 120 de la Ley de Expropiación Forzosa. En virtud de este Acuerdo, comunicado por telex a la compañía eléctrica, el mismo día 21 se reanudó el suministro. </w:t>
      </w:r>
    </w:p>
    <w:p w:rsidR="00FE0907" w:rsidRDefault="00FE0907" w:rsidP="00FE0907">
      <w:pPr>
        <w:pStyle w:val="TextoNormal"/>
      </w:pPr>
      <w:r>
        <w:t xml:space="preserve">c) Por escrito del día 23 del mismo mes, presentado en la Delegación del Gobierno en Asturias, la sociedad actora solicitó del Ministro del Interior que se tramitara un expediente de indemnización de los daños causados por el precitado Acuerdo; todo ello con apoyo en lo previsto en los arts. 133 y 134 del Reglamento de la Ley de Expropiación Forzosa en relación con el citado art. 120 de la Ley. </w:t>
      </w:r>
    </w:p>
    <w:p w:rsidR="00FE0907" w:rsidRDefault="00FE0907" w:rsidP="00FE0907">
      <w:pPr>
        <w:pStyle w:val="TextoNormal"/>
      </w:pPr>
      <w:r>
        <w:t xml:space="preserve">d) Mediante Resolución del 9 de octubre de 1985, el Ministro del Interior se abstuvo de conocer de la reclamación indemnizatoria formulada, al entender que su reconocimiento correspondía a la Consejería de Industria y Comercio del Principado de Asturias. Interpuesto recurso de reposición, fue desestimado por Resolución de 20 de marzo de 1986. </w:t>
      </w:r>
    </w:p>
    <w:p w:rsidR="00FE0907" w:rsidRDefault="00FE0907" w:rsidP="00FE0907">
      <w:pPr>
        <w:pStyle w:val="TextoNormal"/>
      </w:pPr>
      <w:r>
        <w:t xml:space="preserve">e) Una vez agotada la vía ante la Administración del Estado, la sociedad promovente reprodujo su solicitud ante el Consejo de Gobierno de la Comunidad Autónoma mediante escrito presentado el 12 de mayo de 1986 en la Delegación del Gobierno en Asturias. </w:t>
      </w:r>
    </w:p>
    <w:p w:rsidR="00FE0907" w:rsidRDefault="00FE0907" w:rsidP="00FE0907">
      <w:pPr>
        <w:pStyle w:val="TextoNormal"/>
      </w:pPr>
      <w:r>
        <w:t>f) Transcurrido un mes desde esa presentación, sin que el órgano ejecutivo colegiado de la Comunidad Autónoma se hubiera pronunciado sobre la cuestión, la entidad actora for</w:t>
      </w:r>
      <w:r>
        <w:lastRenderedPageBreak/>
        <w:t>muló su solicitud de planteamiento de conflicto negativo ante este Tribunal dentro del mes siguiente.</w:t>
      </w:r>
    </w:p>
    <w:p w:rsidR="00FE0907" w:rsidRDefault="00FE0907" w:rsidP="00FE0907">
      <w:pPr>
        <w:pStyle w:val="TextoNormal"/>
      </w:pPr>
    </w:p>
    <w:p w:rsidR="00FE0907" w:rsidRDefault="00FE0907" w:rsidP="00FE0907">
      <w:pPr>
        <w:pStyle w:val="TextoNormal"/>
      </w:pPr>
      <w:r w:rsidRPr="00FE0907">
        <w:rPr>
          <w:rStyle w:val="NumeroAFNegritaCaracter"/>
        </w:rPr>
        <w:t>3</w:t>
      </w:r>
      <w:r>
        <w:t>. La persona jurídica que promueve la presente controversia constitucional pide a este Tribunal que declare por Sentencia cuál es la Administración competente en el caso que nos ocupa.</w:t>
      </w:r>
    </w:p>
    <w:p w:rsidR="00FE0907" w:rsidRDefault="00FE0907" w:rsidP="00FE0907">
      <w:pPr>
        <w:pStyle w:val="TextoNormal"/>
      </w:pPr>
    </w:p>
    <w:p w:rsidR="00FE0907" w:rsidRDefault="00FE0907" w:rsidP="00FE0907">
      <w:pPr>
        <w:pStyle w:val="TextoNormal"/>
      </w:pPr>
      <w:r w:rsidRPr="00FE0907">
        <w:rPr>
          <w:rStyle w:val="NumeroAFNegritaCaracter"/>
        </w:rPr>
        <w:t>4</w:t>
      </w:r>
      <w:r>
        <w:t>. Mediante Auto del Pleno de este Tribunal de 15 de julio de 1986, se declaró planteado el conflicto negativo de competencia y se acordó dar traslado de esta resolución así como de la solicitud y de los documentos que la acompañan a ambas Administraciones implicadas, con el fin de que alegasen lo que estimasen pertinente para la resolución del conflicto en el plazo común de un mes.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Abogado del Estado, en la representación que legalmente ostenta, solicita de este Tribunal que inadmita el presente conflicto por afectar a una cuestión de responsabilidad patrimonial y, subsidiariamente, que se reconozca que el Estado no es responsable de los daños que se le imputan. </w:t>
      </w:r>
    </w:p>
    <w:p w:rsidR="00FE0907" w:rsidRDefault="00FE0907" w:rsidP="00FE0907">
      <w:pPr>
        <w:pStyle w:val="TextoNormal"/>
      </w:pPr>
      <w:r>
        <w:t xml:space="preserve">La existencia de uno de estos conflictos negativos requiere que la discrepancia entre las Administraciones afectadas verse sobre las reglas de distribución de competencias. Pero, en el presente caso, no se cuestiona realmente la titularidad de competencia alguna: ni la Comunidad Autónoma ha puesto en duda el alcance de la competencia estatal sobre orden público, ni el Estado discute las competencias autonómicas en materia de industria y energía. La discrepancia se centra en quién debe asumir la compensación económica debida al reclamante: "lo cual sólo de una manera forzada y artificial puede reconducirse a un problema de competencia", pues no puede hablarse en rigor de una competencia sobre responsabilidad patrimonial. Esta puede surgir con motivo de una actuación conectada a una competencia propia o, incluso, sin que exista tal forma de conexión. Y es patente que el art. 134 del Reglamento de la Ley de Expropiación Forzosa no es una norma delimitadora de competencias. </w:t>
      </w:r>
    </w:p>
    <w:p w:rsidR="00FE0907" w:rsidRDefault="00FE0907" w:rsidP="00FE0907">
      <w:pPr>
        <w:pStyle w:val="TextoNormal"/>
      </w:pPr>
      <w:r>
        <w:t xml:space="preserve">No se excluye la posibilidad de que determinados pronunciamientos de imputación de responsabilidad patrimonial hayan de merecer un previo enjuiciamiento acerca del órgano competente. Mas esta cuestión prejudicial no puede configurar un proceso constitucional, sino una cuestión que debe ser resuelta por los órganos de la jurisdicción contencioso-administrativa, según manda el art. 3b) de la Ley Reguladora, los cuales extienden su competencia a las cuestiones incidentales o prejudiciales directamente relacionadas con el recurso y "no pertenecientes al orden administrativo" (art. 4 de la precitada Ley), salvo las de carácter penal. </w:t>
      </w:r>
    </w:p>
    <w:p w:rsidR="00FE0907" w:rsidRDefault="00FE0907" w:rsidP="00FE0907">
      <w:pPr>
        <w:pStyle w:val="TextoNormal"/>
      </w:pPr>
      <w:r>
        <w:t xml:space="preserve">Y, cuando en el suplico del escrito de solicitud de planteamiento se emplea la expresión "competencia", se usa de manera muy forzada, puesto que lo que la entidad actora pretende es que se diga quién debe pagar la indemnización, y ni tan siquiera se intenta en ese escrito una justificación de la relación existente entre ámbito competencial y obligación de pago. </w:t>
      </w:r>
    </w:p>
    <w:p w:rsidR="00FE0907" w:rsidRDefault="00FE0907" w:rsidP="00FE0907">
      <w:pPr>
        <w:pStyle w:val="TextoNormal"/>
      </w:pPr>
      <w:r>
        <w:t xml:space="preserve">La cuestión litigiosa resulta ser, en definitiva, si es más justo que indemnice la Comunidad Autónoma competente en materia de industria y energía o que lo haga el Estado quien, por circunstancias excepcionales, hubo de desplegar sus competencias de orden público. La intervención estatal se fundó en el art. 120 de la Ley de Expropiación Forzosa, precepto que regula una forma excepcional de expropiación de bienes de los particulares, </w:t>
      </w:r>
      <w:r>
        <w:lastRenderedPageBreak/>
        <w:t>sin las formalidades normalmente exigibles, como consecuencia de graves razones de orden público que requieran la adopción de medidas por las autoridades civiles. Se trata, pues, de una acción que sustituye a la acción ordinaria por motivos de urgencia. Por eso, hay que pensar que fue la Comunidad Autónoma la que debió dar en su día una solución a un problema de suministro de energía, antes de que el litigio se presentase ya como una cuestión de orden público en la comunicación dirigida el 19 de agosto de 1985 por la Consejería de Industria al Delegado del Gobierno. En consecuencia, un juicio de responsabilidad no puede basarse en un análisis mecánico de quién fue el autor de la decisión expropiatoria, al contrario, que es preciso atender a qué órgano ordena normalmente el servicio y responde de su prestación. Estamos ante un supuesto, por tanto, de responsabilidad objetiva por el funcionamiento normal o anormal de los servicios públicos, sin que una razón de emergencia -que apreció la propia Comunidad Autónoma en su comunicación al Delegado del Gobierno- pueda hacer surgir la responsabilidad a cargo del Estado, cuando el costo de la intervención ordinaria -de haberse producido- debió corresponder a la Comunidad Autónoma. "Sin pretender asimilar el caso a la hipótesis contemplada en el art. 155 de la Constitución", podríamos preguntarnos si de la actuación de los órganos del Estado en este supuesto constitucionalmente previsto habría que inferir la responsabilidad del Estado, cuando actúa por vía sustitutoria de las competencias que debieron ejercer la Comunidades Autónomas. El Estado opera aquí como "una especie de gestor de negocios ajenos".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Letrado al servicio de la Administración del Principado de Asturias solicita de este Tribunal que declare competente para resolver la cuestión planteada al Ministerio del Interior. </w:t>
      </w:r>
    </w:p>
    <w:p w:rsidR="00FE0907" w:rsidRDefault="00FE0907" w:rsidP="00FE0907">
      <w:pPr>
        <w:pStyle w:val="TextoNormal"/>
      </w:pPr>
      <w:r>
        <w:t xml:space="preserve">En las alegaciones se admiten como ciertos los hechos que se narran en la demanda, con la excepción de que se hubiera autorizado por silencio positivo el corte del suministro de energía eléctrica, entre otras razones, porque el art. 84.a) del Reglamento de Verificaciones y Regularidad en el suministro de energía eléctrica sólo autoriza a suspender tal suministro, por falta de pago del servicio, a los abonados, pero no a las empresas distribuidoras, como ocurría en este caso con la relación existente entre "Minerosiderúrgica de Ponferrada, S.A." e "Hidroeléctrica del Luiña, S.A.". </w:t>
      </w:r>
    </w:p>
    <w:p w:rsidR="00FE0907" w:rsidRDefault="00FE0907" w:rsidP="00FE0907">
      <w:pPr>
        <w:pStyle w:val="TextoNormal"/>
      </w:pPr>
      <w:r>
        <w:t>La Resolución que ha dado lugar a la reclamación de daños no es otra que la dictada por el Delegado del Gobierno, dependiente del Ministerio del Interior, y el motivo de la misma fue la competencia estatal sobre orden público, al afectar el problema a unos dos mil abonados a la empresa distribuidora de energía. Y la Comunidad Autónoma no posee competencias en esa materia de orden público.</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17 de marzo de 1992 se acordó señalar para la deliberación y votación de la Sentencia el siguiente día 23 de marzo.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sociedad anónima que solicitó el planteamien to del presente conflicto insta de este Tribunal que declare cuál de las dos Administraciones implicadas, el Ministerio del Interior o el Consejo de Gobierno del Principado de Asturias, debe satisfacer su pretensión indemnizatoria en virtud de los daños causados por el suministro temporal de energía eléctrica, realizado en cumplimiento del Acuerdo del Delegado del Gobierno en dicha Comu</w:t>
      </w:r>
      <w:r>
        <w:lastRenderedPageBreak/>
        <w:t>nidad Autónoma de fecha 21 de agosto de 1985, resolución dictada al amparo de lo dispuesto en el art. 120 de la Ley de Expropiación Forzosa.</w:t>
      </w:r>
    </w:p>
    <w:p w:rsidR="00FE0907" w:rsidRDefault="00FE0907" w:rsidP="00FE0907">
      <w:pPr>
        <w:pStyle w:val="TextoNormal"/>
      </w:pPr>
      <w:r>
        <w:t>Las posiciones de las partes en esta controversia constitucional negativa resultan ser las siguientes: El Abogado del Estado, en la representación que por Ley ostenta, pide que se inadmita el conflicto sin pronunciarse sobre el fondo, por no afectar a la distribución constitucional de competencias, sino a un problema de responsabilidad patrimonial del que corresponde conocer a los Tribunales de la jurisdicción ordinaria; con carácter subsidiario, y para el caso de que no se admitiera este razonamiento, entiende que el conflicto debe acantonarse en la competencia autonómica sobre industria y energía.  Por su parte, el mencionado Consejo de Gobierno solicita que se declare competente a la Administración del Estado, pues la resolución de la que trae origen el litigio fue dictada por un órgano de ella dependiente, el Delegado del Gobierno, y, a la par, atañe a la competencia estatal sobre orden público.</w:t>
      </w:r>
    </w:p>
    <w:p w:rsidR="00FE0907" w:rsidRDefault="00FE0907" w:rsidP="00FE0907">
      <w:pPr>
        <w:pStyle w:val="TextoNormal"/>
      </w:pPr>
    </w:p>
    <w:p w:rsidR="00FE0907" w:rsidRDefault="00FE0907" w:rsidP="00FE0907">
      <w:pPr>
        <w:pStyle w:val="TextoNormal"/>
      </w:pPr>
      <w:r w:rsidRPr="00FE0907">
        <w:rPr>
          <w:rStyle w:val="NumeroAFNegritaCaracter"/>
        </w:rPr>
        <w:t>2</w:t>
      </w:r>
      <w:r>
        <w:t>. Reseñado el objeto del litigio y las posiciones de las partes, para la solución de este conflicto negativo de competencias, es menester recordar sucintamente algunos de los pronunciamientos que este Tribunal ha hecho acerca de la peculiar vía procesal regulada en la Sección II, Capítulo Segundo, del Título IV de su Ley Orgánica.</w:t>
      </w:r>
    </w:p>
    <w:p w:rsidR="00FE0907" w:rsidRDefault="00FE0907" w:rsidP="00FE0907">
      <w:pPr>
        <w:pStyle w:val="TextoNormal"/>
      </w:pPr>
      <w:r>
        <w:t>Es ya una doctrina constitucional consolidada que la existencia de uno de estos conflictos negativos requiere, entre otros presupuestos procesales que no hacen al caso que ahora nos ocupa, que la negativa de ambas Administraciones implicadas: "se funde en una diferente interpretación de las normas de distribución de competencias que componen el bloque de la constitucionalidad ex art.  69.2 de la LOTC" (STC 156/1990, fundamento jurídico 1º; en el mismo sentido, los AATC 142/1989, 322/1989, y 357/1990).  De suerte que, como ya se expuso en su día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ss. de la LOTC" (Ibídem).</w:t>
      </w:r>
    </w:p>
    <w:p w:rsidR="00FE0907" w:rsidRDefault="00FE0907" w:rsidP="00FE0907">
      <w:pPr>
        <w:pStyle w:val="TextoNormal"/>
      </w:pPr>
      <w:r>
        <w:t>El objeto del conflicto negativo no puede ser otro, en definitiva, que interpretar y delimitar los ámbitos de competencias propios del Estado y de las Comunidades Autónomas, tal y como afirma, con carácter general para todos los conflictos constitucionales, el art. 59, párrafo primero, de la LOTC.  Conclusión que -ya se ha dicho- el art. 69.2 de la misma Ley ratifica respecto de los conflictos negativos promovidos a instancia de la personas físicas o jurídicas afectadas.</w:t>
      </w:r>
    </w:p>
    <w:p w:rsidR="00FE0907" w:rsidRDefault="00FE0907" w:rsidP="00FE0907">
      <w:pPr>
        <w:pStyle w:val="TextoNormal"/>
      </w:pPr>
    </w:p>
    <w:p w:rsidR="00FE0907" w:rsidRDefault="00FE0907" w:rsidP="00FE0907">
      <w:pPr>
        <w:pStyle w:val="TextoNormal"/>
      </w:pPr>
      <w:r w:rsidRPr="00FE0907">
        <w:rPr>
          <w:rStyle w:val="NumeroAFNegritaCaracter"/>
        </w:rPr>
        <w:t>3</w:t>
      </w:r>
      <w:r>
        <w:t>. Partiendo de estos principios, debe traerse a colación que la pretensión que la entidad mercantil actora deduce por la vía del conflicto constitucional de competencias se sustancia, realmente, en la reclamación de una indemnización por daños de las previstas en los arts. 133 y 134 del Reglamento de la Ley de Expropiación Forzosa, en relación con el art. 120 de la Ley; aunque, obviamente, la tramitación de ese procedimiento indemnizatorio requiera singularizar, previamente, cuál es "el Ministro o Presidente de la Corporación Local o Entidad institucional bajo cuya dependencia se encuentre el servicio o funcionario que causare el daño", según establece el apartado 1º del art.  134 del citado Reglamento.</w:t>
      </w:r>
    </w:p>
    <w:p w:rsidR="00FE0907" w:rsidRDefault="00FE0907" w:rsidP="00FE0907">
      <w:pPr>
        <w:pStyle w:val="TextoNormal"/>
      </w:pPr>
      <w:r>
        <w:t xml:space="preserve">Así vistas las cosas, tiene razón el Abogado del Estado cuando señala en sus alegaciones que sólo la jurisdicción contencioso-administrativa puede conocer de las cuestiones </w:t>
      </w:r>
      <w:r>
        <w:lastRenderedPageBreak/>
        <w:t>que se susciten sobre la responsabilidad patrimonial de la Administración pública, según el art. 3, letra b), de la Ley Reguladora de esa Jurisdicción; y, a la vez, que resulta indudable que los órganos de la misma extienden su competencia a cuestiones incidentales o prejudiciales directamente relacionadas con el recurso, salvo las de caracter penal (art.  4.1 de aquella Ley).</w:t>
      </w:r>
    </w:p>
    <w:p w:rsidR="00FE0907" w:rsidRDefault="00FE0907" w:rsidP="00FE0907">
      <w:pPr>
        <w:pStyle w:val="TextoNormal"/>
      </w:pPr>
      <w:r>
        <w:t>De forma coincidente con cuanto hasta ahora se lleva dicho, es manifiesto que ambas Administraciones no discrepan sobre el alcance de la competencia estatal sobre seguridad pública (art. 149.1.29 de la Constitución) o de la autonómica sobre energía [art.  11e) del Estatuto de Autonomía de Asturias], en cuanto únicos títulos susceptibles de otorgar dimensión constitucional a esta controversia.  Es, además, patente la existencia de una jurisprudencia que interpreta el contenido de esas competencias. La cuestión se constriñe, pues, a resolver si los daños causados por el Acuerdo del Delegado del Gobierno en Asturias de 21 de agosto de 1985, recaído a instancia de la Consejería de Industria de la Comunidad Autónoma, acuerdo en el que se dispuso que la entidad actora continuara suministrando energía eléctrica a otra empresa distribuidora de la misma en sendos pueblos, deben imputarse a la Administración del Estado o a la autonómica y a los únicos efectos de la pretensión indemnizatoria deducida.  Pero este juicio de estricta responsabilidad excede con mucho de los límites de la jurisdicción constitucional y debe ser realizado, exclusivamente, por los Tribunales del orden contencioso-administrativo, quienes tienen potestades suficientes para satisfacer tal pretensión indemnizatoria de forma convenientemente motivada, y para aplicar a los hechos las normas constitucionales y legales que estimen apropiadas.</w:t>
      </w:r>
    </w:p>
    <w:p w:rsidR="00FE0907" w:rsidRDefault="00FE0907" w:rsidP="00FE0907">
      <w:pPr>
        <w:pStyle w:val="TextoNormal"/>
      </w:pPr>
      <w:r>
        <w:t>En este mismo sentido, servata distantia, este Tribunal ya expuso en su ATC 357/1990 que no puede fundar una pretendida controversia competencial una cuestión relativa al pago de subvenciones y a la ejecución del presupuesto del Estado, o al tiempo que requieren las transferencias presupuestarias a las Administraciones autonómicas.</w:t>
      </w:r>
    </w:p>
    <w:p w:rsidR="00FE0907" w:rsidRDefault="00FE0907" w:rsidP="00FE0907">
      <w:pPr>
        <w:pStyle w:val="TextoNormal"/>
      </w:pPr>
    </w:p>
    <w:p w:rsidR="00FE0907" w:rsidRDefault="00FE0907" w:rsidP="00FE0907">
      <w:pPr>
        <w:pStyle w:val="TextoNormal"/>
      </w:pPr>
      <w:r w:rsidRPr="00FE0907">
        <w:rPr>
          <w:rStyle w:val="NumeroAFNegritaCaracter"/>
        </w:rPr>
        <w:t>4</w:t>
      </w:r>
      <w:r>
        <w:t>. Una vez sentado que el Tribunal Constitucional carece de jurisdicción para conocer de este asunto -circunstancia que viene obligado a apreciar de oficio o a instancia de parte por mandato del art. 4.2 de su Ley Orgánica- y que su solución corresponde únicamente a los órganos de la jurisdicción contencioso-administrativa, es preciso, sin embargo, advertir a la persona jurídica que solicitó el planteamiento de este conflicto negativo -con el fin de preservar su derecho a que reciba un pronunciamiento judicial motivado sobre el fondo del litigio-, que resta a salvo su facultad de interponer ante aquellos el correspondiente recurso contencioso-administrativo, bien contra la resolución del Ministerio de Interior de 20 de marzo de 1986, por la que se abstuvo de conocer de la reclamación, bien contra la desestimación de la reclamación por silencio negativo a cargo del Consejo de Gobierno del Principado de Asturias; y recordar que incumbe a los Tribunales ordinarios el reconocimiento, en su caso, de la situación jurídica individualizada de la actora y la adopción de las medidas adecuadas para el pleno restablecimiento de la misma "entre ellas la indemnización de los daños y perjuicios, cuando proceda" (art. 42 de la Ley Reguladora de la Jurisdicción Contencioso-Administrativa). Y no es ocioso, por último, señalar, para evitar hipotéticas situaciones de indefensión contrarias al art.  24 de la Constitución, que ha de entenderse que la presentación de la solicitud de planteamiento de conflicto negativo de competencias por la entidad mercantil actora interrumpió el plazo de ejercicio de tales acciones.</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Declarar que la pretensión formulada por "Minero-Siderúrgica de Ponferrada, S.A." no constituye conflicto constitucional negativo de competencia y, en consecuencia, que este Tribunal carece de jurisdicción para pronunciarse sobre la misma,sin perjuicio de las acciones que dicha empresa pueda ejercitar ante la jurisdicción contencioso-administrativa o de cualquier otro orden,debiendo entenderse, a tal fin, que la fecha de iniciación de los plazos legales correspondientes será la de la notificación de este Sentencia.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23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1" w:name="SENTENCIA_1992_38"/>
      <w:r>
        <w:lastRenderedPageBreak/>
        <w:t>SENTENCIA 38/1992, de 23 de marzo de 1992</w:t>
      </w:r>
    </w:p>
    <w:bookmarkEnd w:id="41"/>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87, de 10 de abril de 1992)</w:t>
      </w:r>
    </w:p>
    <w:p w:rsidR="00FE0907" w:rsidRDefault="00FE0907" w:rsidP="00FE0907">
      <w:pPr>
        <w:pStyle w:val="TtuloBOE"/>
      </w:pPr>
    </w:p>
    <w:p w:rsidR="00FE0907" w:rsidRDefault="00FE0907" w:rsidP="00FE0907">
      <w:pPr>
        <w:pStyle w:val="SntesisDescriptiva"/>
      </w:pPr>
      <w:r>
        <w:t>ECLI:ES:TC:1992:38</w:t>
      </w:r>
    </w:p>
    <w:p w:rsidR="00FE0907" w:rsidRDefault="00FE0907" w:rsidP="00FE0907">
      <w:pPr>
        <w:pStyle w:val="SntesisDescriptiva"/>
      </w:pPr>
    </w:p>
    <w:p w:rsidR="00FE0907" w:rsidRDefault="00FE0907" w:rsidP="00FE0907">
      <w:pPr>
        <w:pStyle w:val="SntesisDescriptiva"/>
      </w:pPr>
      <w:r>
        <w:t>Conflicto positivo de competencia 986/1986. Promovido por el Gobierno Vasco en relación con el Real Decreto 942/1986, de 9 de mayo, por el que se establecen normas generales para la realización de experimentaciones educativas</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No hay razón alguna que justifique que las competencias del Estado en materia de enseñanzas mínimas y de ordenación general del sistema educativo no sean las mismas, con independencia del régimen, ordinario o experimental, de la enseñanza [F.J. 4].</w:t>
      </w:r>
    </w:p>
    <w:p w:rsidR="00FE0907" w:rsidRDefault="00FE0907" w:rsidP="00FE0907">
      <w:pPr>
        <w:pStyle w:val="Extracto"/>
      </w:pPr>
    </w:p>
    <w:p w:rsidR="00FE0907" w:rsidRDefault="00FE0907" w:rsidP="00FE0907">
      <w:pPr>
        <w:pStyle w:val="Extracto"/>
      </w:pPr>
      <w:r>
        <w:t>2.</w:t>
      </w:r>
      <w:r>
        <w:tab/>
        <w:t>La propia naturaleza de las experimentaciones educativas, con lo que tienen de renovación de lo existente y de investigación de nuevas posibilidades en el ámbito educativo, hace imposible, por razón de la necesaria flexibilidad que debe presidir el juicio acerca de su oportunidad y desarrollo, regular apriorísticamente cada experimentación en particular, sin que pueda aceptarse el modelo de mínimos propiciado en este caso por la Comunidad recurrente, ya que con él se desnaturaliza la competencia del Estado en la materia reduciéndola a una simple competencia finalista. El establecimiento de un régimen de aprobaciones singulares es el único compatible con la naturaleza del objeto de la autorización y el único, además, respetuoso con la competencia del Estado respecto de las materias sobre las que la experimentación aprobada está llamada de algún modo a incidir [F.J. 5].</w:t>
      </w:r>
    </w:p>
    <w:p w:rsidR="00FE0907" w:rsidRDefault="00FE0907" w:rsidP="00FE0907">
      <w:pPr>
        <w:pStyle w:val="Extracto"/>
      </w:pPr>
    </w:p>
    <w:p w:rsidR="00FE0907" w:rsidRDefault="00FE0907" w:rsidP="00FE0907">
      <w:pPr>
        <w:pStyle w:val="Extracto"/>
      </w:pPr>
      <w:r>
        <w:t>3.</w:t>
      </w:r>
      <w:r>
        <w:tab/>
        <w:t>No puede sostenerse que la solicitud de información por parte del Ministerio de Educación a las Comunidades Autónomas constituya un control improcedente del Estado sobre éstas, sino que se encuentra plenamente justificada en orden al seguimiento y evaluación de las experimentaciones ya aprobadas, con vistas a una posible generalización de la experimentación educativa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lastRenderedPageBreak/>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986/86, promovido por el Gobierno Vasco, representado por el Letrado don Javier Balza Aguilera, frente al Gobierno de la Nación, en relación con el Real Decreto 942/1986, de 9 de mayo, por el que se establecen normas generales para la realización de experimentaciones educativas en Centros docentes. Ha comparecido el Abogado del Estado, en la representación que legalmente ostenta, y ha sido Ponente el Magistrado don Carlos de la Vega Benayas,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En fecha 11 de septiembre de 1986, y tras haber sido rechazado el correspondiente requerimiento de incompetencia, el Letrado don Javier Balza Aguilera, en nombre del Gobierno Vasco, planteó conflicto positivo frente al Gobierno de la Nación por entender que los arts. 2, 3, 4, 5 y 6 del Real Decreto 942/1986, de 9 de mayo, por el que se establecen normas generales para la realización de experimentaciones educativas en Centros docentes, no respetan el orden de competencias establecido en la Constitución y en el Estatuto de Autonomía del País Vasco. </w:t>
      </w:r>
    </w:p>
    <w:p w:rsidR="00FE0907" w:rsidRDefault="00FE0907" w:rsidP="00FE0907">
      <w:pPr>
        <w:pStyle w:val="TextoNormal"/>
      </w:pPr>
      <w:r>
        <w:t xml:space="preserve">Fundamenta su demanda el Gobierno Vasco en el hecho de que el art. 16 del Estatuto de Autonomía establece en favor de la Comunidad Autónoma del País Vasco una amplia competencia en materia de enseñanza, sólo limitada por la del Estado en lo que respecta a la regulación del derecho fundamental a la educación y a la libertad de enseñanza en sus distintos aspectos (art. 27 C.E.), a las facultades atribuídas al Estado en el art. 149.1.30 de la Constitución y a la alta inspección necesaria para su cumplimiento y garantía (art. 27.8 C.E.). A juicio del Gobierno Vasco,este marco distributivo se completa con el art. 21 de la Ley Orgánica de Estatuto de Centros Docentes (L.O.E.C.E.) y con la STC 5/1981, que han configurado un esquema normativo específico de distribución de competencias en materia de experiencias educativas, que no sujeta a las Comunidades Autónomas a unos límites tan estrechos como los existentes para el régimen general y que permite un desarrollo normativo autonómico sin sujeción apriorística a las normas estatales que regulan la materia. </w:t>
      </w:r>
    </w:p>
    <w:p w:rsidR="00FE0907" w:rsidRDefault="00FE0907" w:rsidP="00FE0907">
      <w:pPr>
        <w:pStyle w:val="TextoNormal"/>
      </w:pPr>
      <w:r>
        <w:t xml:space="preserve">De acuerdo con este diseño de distribución competencial, entiende la representación del Gobierno Vasco que el Real Decreto 942/1986, al someter a una autorización discrecional del Ministerio de Educación y Ciencia todas las experimentaciones educativas que realicen las Comunidades Autónomas, parte de la base de que el Estado tiene competencia exclusiva sobre las experiencias que afecten a las enseñanzas mínimas y a la ordenación general del sistema educativo, reduciendo a la simple capacidad de propuesta y de ejecución -relativa- la competencia autonómica. Tal premisa es para el Gobierno Vasco insostenible, toda vez que con ella se reduce a la nada la competencia de las Comunidades Autónomas por ser difícilmente concebibles experiencias educativas que no afecten a esos </w:t>
      </w:r>
      <w:r>
        <w:lastRenderedPageBreak/>
        <w:t xml:space="preserve">mínimos o a esa ordenación, al ser connatural a las mismas el someter a revisión dichas enseñanzas o tal ordenación. </w:t>
      </w:r>
    </w:p>
    <w:p w:rsidR="00FE0907" w:rsidRDefault="00FE0907" w:rsidP="00FE0907">
      <w:pPr>
        <w:pStyle w:val="TextoNormal"/>
      </w:pPr>
      <w:r>
        <w:t xml:space="preserve">Para el Gobierno Vasco la competencia del Estado debe referirse al establecimiento de las condiciones mínimas que deben cumplir las experiencias autonómicas, a controlar el cumplimiento de dichas condiciones a través de la alta inspección y a decidir sobre la incorporación de las experiencias al régimen general. </w:t>
      </w:r>
    </w:p>
    <w:p w:rsidR="00FE0907" w:rsidRDefault="00FE0907" w:rsidP="00FE0907">
      <w:pPr>
        <w:pStyle w:val="TextoNormal"/>
      </w:pPr>
      <w:r>
        <w:t xml:space="preserve">No comparte la tesis mantenida por el Gobierno de la Nación -en su contestación al requerimiento de incompetencia- , en el sentido de que la propia naturaleza de las experimentaciones educativas hace imposible la determinación de las condiciones mínimas que, en opinión del Gobierno Vasco, constituye la competencia propia de aquél en la materia. Tal tesis no hace sino confirmar la discrecionalidad absoluta que atribuye el Real Decreto 942/1986 al Ministerio de Educación y Ciencia para condicionar el ejercicio por las Comunidades Autónomas de las competencias que tienen reconocidas sobre experimentaciones educativas. </w:t>
      </w:r>
    </w:p>
    <w:p w:rsidR="00FE0907" w:rsidRDefault="00FE0907" w:rsidP="00FE0907">
      <w:pPr>
        <w:pStyle w:val="TextoNormal"/>
      </w:pPr>
      <w:r>
        <w:t xml:space="preserve">Destaca a tal efecto el Gobierno Vasco que en la contestación a su requerimiento el Gobierno no defiende la competencia estatal sobre las experimentaciones que afecten a los mínimos del régimen ordinario, sino la competencia para la convalidación de los estudios realizados en régimen experimental con los correspondientes del régimen general, reconociendo que esta última competencia corresponde al Estado, pero subraya que su ejercicio no puede desconocer la competencia comunitaria sobre experimentaciones educativas, tal y como hace el Real Decreto 942/1986. </w:t>
      </w:r>
    </w:p>
    <w:p w:rsidR="00FE0907" w:rsidRDefault="00FE0907" w:rsidP="00FE0907">
      <w:pPr>
        <w:pStyle w:val="TextoNormal"/>
      </w:pPr>
      <w:r>
        <w:t xml:space="preserve">Tras señalar que el problema del establecimiento de unas condiciones mínimas ya se planteó en su momento con las enseñanzas del régimen general (Disposición adicional primera de la L.O. 5/1980 y STC 5/1981), poniéndose entonces de manifiesto la posibilidad de establecerlas, y tras apuntar que, aun en el supuesto de que su fijación resultara imposible, la solución que diese el Estado al problema de la convalidación de las experimentaciones debe ser en todo caso respetuosa con el contenido de las competencias autonómicas en la materia, procede el Gobierno Vasco a demostrar cómo, a su juicio, la determinación de aquéllos mínimos es perfectamente alcanzable. </w:t>
      </w:r>
    </w:p>
    <w:p w:rsidR="00FE0907" w:rsidRDefault="00FE0907" w:rsidP="00FE0907">
      <w:pPr>
        <w:pStyle w:val="TextoNormal"/>
      </w:pPr>
      <w:r>
        <w:t xml:space="preserve">Parte para ello de una distinción entre lo que denomina contenidos materiales y contenidos finalistas en los mínimos del régimen ordinario; aquéllos harían referencia a las enseñanzas mínimas y al régimen general del sistema educativo; éstos, a la necesidad de dotar a las enseñanzas de una homogeneidad mínima en todo el Estado. Pues bien, argumentando que la propia naturaleza de las experimentaciones educativas hace imposible trasladar al ámbito de los regímenes experimentales el contenido material de los mínimos del régimen ordinario, so pena de limitar en exceso las experimentaciones -al ser connatural a las mismas el someter a revisión las enseñanzas mínimas y la ordenación general del sistema educativo-, entiende el Gobierno Vasco que los mínimos del régimen experimental sólo pueden ser de contenido finalista, esto es, deben tener como función el proporcionar a las enseñanzas experimentales una homogeneidad mínima en todo el Estado a los efectos de su convalidación y homologación. En suma, al Estado corresponde fijar el contenido finalista de los mínimos del régimen experimental, pero no el contenido material, que ha de corresponder a la Comunidad Autónoma. </w:t>
      </w:r>
    </w:p>
    <w:p w:rsidR="00FE0907" w:rsidRDefault="00FE0907" w:rsidP="00FE0907">
      <w:pPr>
        <w:pStyle w:val="TextoNormal"/>
      </w:pPr>
      <w:r>
        <w:t xml:space="preserve">Ya de modo singular, entiende el Gobierno Vasco que el art. 2 del Real Decreto invade las competencias de la Comunidad Autónoma del País Vasco en materia de experimentaciones educativas al sujetar la posibilidad de su realización a una aprobación previa y discrecional del Ministerio de Educación y Ciencia. Lo mismo sucedería con los arts. 3 y 4 en cuanto hacen referencia a la previa aprobación establecida en el art. 2. Por su parte, el </w:t>
      </w:r>
      <w:r>
        <w:lastRenderedPageBreak/>
        <w:t xml:space="preserve">art. 5 sería así mismo invasor de competencias autonómicas al subrayar la idea del control administrativo absoluto por parte del Ministerio sobre las actividades experimentales autonómicas en materia educativa, ya que no sólo la experimentación ha de ser aprobada por aquél, sino que, además, durante su desarrollo han de facilitársele cuantas informaciones, y en orden a cualquier finalidad, solicite; ello entraría en contradicción con lo declarado en la STC 6/1982 sobre la licitud de controles estatales. Finalmente, el art. 6 invadiría también competencias autonómicas por cuanto habilita al Ministerio de Educación y Ciencia para llevar a cabo experimentaciones educativas en todo el territorio del Estado, esto es, en cualquier Centro aunque el mismo dependa de una Administración educativa distinta de la estatal, lo que supone una vulneración de la potestad de auto-organización de la Administración educativa de la Comunidad Autónoma del País Vasco y representa la fórmula de cierre de un sistema que impide en la práctica la realización de toda experimentación educativa. </w:t>
      </w:r>
    </w:p>
    <w:p w:rsidR="00FE0907" w:rsidRDefault="00FE0907" w:rsidP="00FE0907">
      <w:pPr>
        <w:pStyle w:val="TextoNormal"/>
      </w:pPr>
      <w:r>
        <w:t>Por consiguiente, se solicita de este Tribunal que se declare que los arts. 2, 3, 4, 5 y 6 del Real Decreto 942/1986, de 9 de mayo, por el que se establecen normas generales para la realización de experimentaciones educativas en Centros docentes, no respetan el orden de competencias establecido en la Constitución y en el Estatuto de Autonomía del País Vasco y, consiguientemente, se declare la titularidad de esta Comunidad Autónoma sobre la competencia controvertida.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Por providencia de 17 de septiembre de 1986 el Tribunal Constitucional admitió a trámite el conflicto positivo de competencia y, habiéndose personado el Abogado del Estado, se le concedió, a su instancia, una prórroga de diez días del plazo para formular alegaciones, que presentó el 27 de octubre de 1986, sobre la base de los siguientes fundamentos. </w:t>
      </w:r>
    </w:p>
    <w:p w:rsidR="00FE0907" w:rsidRDefault="00FE0907" w:rsidP="00FE0907">
      <w:pPr>
        <w:pStyle w:val="TextoNormal"/>
      </w:pPr>
      <w:r>
        <w:t xml:space="preserve">Señala, en primer lugar, que el art. 1 del Real Decreto 942/1986 delimita claramente el ámbito de aplicación de la norma refiriéndola a "las experimentaciones que se desarrollen en los Centros docentes, tanto ordinarios como experimentales, de los distintos niveles educativos, a excepción del universitario, que supongan alteración de las enseñanzas mínimas o de los requisitos establecidos por el Estado en la ordenación general del sistema educativo en cuanto a niveles, modalidades, etapas, ciclos y especialidades de enseñanza, así como en cuanto a número de cursos que en cada caso corresponda, duración de la escolaridad obligatoria y requisitos de acceso de un nivel de enseñanza a otro". </w:t>
      </w:r>
    </w:p>
    <w:p w:rsidR="00FE0907" w:rsidRDefault="00FE0907" w:rsidP="00FE0907">
      <w:pPr>
        <w:pStyle w:val="TextoNormal"/>
      </w:pPr>
      <w:r>
        <w:t xml:space="preserve">Del hecho de que el Gobierno Vasco no haya impugnado este precepto deduce el Abogado del Estado: a) que aquél reconoce la competencia del Estado para regular las experimentaciones educativas definidas en el citado art. 1; y, b) que, admitida esta titularidad, se considera en cambio contrario al orden constitucional de competencias el contenido de la regulación por razón de las funciones en ella reservadas al Estado. A su juicio, la misma fundamentación a que responde el art. 1 (Disposición adicional primera, 2, de la L.O.D.E.) justifica las funciones que en el Real Decreto se reservan al Estado. </w:t>
      </w:r>
    </w:p>
    <w:p w:rsidR="00FE0907" w:rsidRDefault="00FE0907" w:rsidP="00FE0907">
      <w:pPr>
        <w:pStyle w:val="TextoNormal"/>
      </w:pPr>
      <w:r>
        <w:t xml:space="preserve">Sostiene que la competencia autonómica para abordar una regulación de los centros experimentales -en cuyo sentido se sitúa la Disposición Adicional 3 de la L.O.E.C.E y la STC 5/1985, citadas por la parte promotora del conflicto- no equivale a negar la competencia del Estado cuando las experimentaciones educativas alteran los contenidos resultantes de las competencias estatales expresadas en las letras a), b) o c) de la adicional primera, 2, de la L.O.D.E. </w:t>
      </w:r>
    </w:p>
    <w:p w:rsidR="00FE0907" w:rsidRDefault="00FE0907" w:rsidP="00FE0907">
      <w:pPr>
        <w:pStyle w:val="TextoNormal"/>
      </w:pPr>
      <w:r>
        <w:t xml:space="preserve">Entrando ya en el análisis de las críticas vertidas sobre el art. 2 por el Gobierno Vasco, sostiene el Abogado del Estado que el carácter experimental de las enseñanzas supone una </w:t>
      </w:r>
      <w:r>
        <w:lastRenderedPageBreak/>
        <w:t xml:space="preserve">variación del modo de ejercicio de las competencias del Estado -lo que determina la sustitución de la técnica normativa por un mecanismo de aprobación caso por caso- pero no configura un ámbito específico en el que las Comunidades Autónomas tengan mayores competencias ni el Estado quede privado de competencias referidas a los contenidos materiales de la enseñanza. La crítica de que el sistema de aprobaciones singulares resultará afectado por una absoluta discrecionalidad vaciando la competencia autonómica es para el Abogado del Estado insostenible, ya que toma como premisa una inexistente especificidad de la experimentación educativa como ámbito sobre el que se proyectan los criterios constitucionales de distribución competencial en materia de educación. En la medida en que la experimentación haya de afectar al contenido resultante del ejercicio de las competencias estatales (y tal medida es, según el art. 1, la que define el ámbito de aplicación del Real Decreto 942/1986), la modificación participa de la misma naturaleza básica a la que responde el establecimiento de las condiciones alteradas. La finalidad experimental legitima una regulación procedimental en la que se prevén los cauces para que la iniciativa autonómica de modificación pueda someterse a la aprobación de la Administración titular de la competencia para establecer las condiciones modificadas. No se vacía con ello la iniciativa autonómica para proponer experimentaciones docentes, sino que tal iniciativa queda regulada procedimentalmente para el caso de afectar (art. 1) a titularidades estatales. De otro lado, la suspuesta discrecionalidad absoluta de la decisión no supone un control administrativo contrario al principio de autonomía, pues no se trata de un mecanismo de control sobre actuaciones autonómicas, sino de un modo singular -resultante de la propia singularidad de la experimentación- por el que la Administración del Estado, a instancia en su caso de las Comunidades Autónomas, puede modificar el régimen educativo ordinario en aspectos de titularidad estatal. </w:t>
      </w:r>
    </w:p>
    <w:p w:rsidR="00FE0907" w:rsidRDefault="00FE0907" w:rsidP="00FE0907">
      <w:pPr>
        <w:pStyle w:val="TextoNormal"/>
      </w:pPr>
      <w:r>
        <w:t xml:space="preserve">En cuanto a la impugnación de las obligaciones impuestas a las Comunidades Autónomas de facilitar la información que solicite el Ministerio de Educación y Ciencia en orden al seguimiento y evaluación de las experimentaciones aprobadas y de elaborar un informe pronunciándose acerca de la posibilidad de generalizar el resultado de aquéllas a todo el territorio nacional (art. 5), entiende el Abogado del Estado que el sentido de esas informaciones no puede confundirse, como pretende el Gobierno Vasco, con el de la Alta Inspección, ya que, siendo las experimentaciones del Real Decreto 942/1986 derogaciones singulares, con carácter experimental, de las condiciones generales de titularidad estatal, la previsión de la información para el seguimiento y evaluación de la experimentación y de un informe final no implican control de legalidad en la actuación, sino una fórmula de cooperación imprescindible para el fin que justifica la derogación singular en que la aprobación de la experimentación consiste. </w:t>
      </w:r>
    </w:p>
    <w:p w:rsidR="00FE0907" w:rsidRDefault="00FE0907" w:rsidP="00FE0907">
      <w:pPr>
        <w:pStyle w:val="TextoNormal"/>
      </w:pPr>
      <w:r>
        <w:t xml:space="preserve">Añade que, así como el contenido de estos informes se sustantiviza frente a los de la Alta Inspección, no cabe tampoco equiparar este supuesto al rechazado en la STC 95/1984 (fundamento jurídico 9º) por no haber aquí un acceso directo a la documentación autonómica, sino una información, materialmente justificada -por resultar imprescindible para el ejercicio de una competencia estatal-, cuya remisión corresponde a la Comunidad Autónoma. </w:t>
      </w:r>
    </w:p>
    <w:p w:rsidR="00FE0907" w:rsidRDefault="00FE0907" w:rsidP="00FE0907">
      <w:pPr>
        <w:pStyle w:val="TextoNormal"/>
      </w:pPr>
      <w:r>
        <w:t xml:space="preserve">Finalmente, la posibilidad de que el Estado pueda llevar a cabo experimentaciones en todo el territorio nacional (art. 6), es defendida por el Abogado del Estado reiterando, una vez más, la titularidad estatal sobre los aspectos que son objeto de las experimentaciones educativas. Sentado ello, la exigencia de participación y colaboración autonómicas desmiente la imputada situación de dependencia jerárquica y representa una técnica de colaboración, reconociéndose además la titularidad autonómica sobre la actividad de ejecución </w:t>
      </w:r>
      <w:r>
        <w:lastRenderedPageBreak/>
        <w:t xml:space="preserve">y su facultad para decidir sobre el modo de participar y colaborar en el diseño y desarrollo de la experimentación. </w:t>
      </w:r>
    </w:p>
    <w:p w:rsidR="00FE0907" w:rsidRDefault="00FE0907" w:rsidP="00FE0907">
      <w:pPr>
        <w:pStyle w:val="TextoNormal"/>
      </w:pPr>
      <w:r>
        <w:t>En consecuencia, solicita el Abogado del Estado que se declare la titularidad estatal de la competencia controvertida.</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30 de septiembre de 1991 se requirió a las partes para que expusieran lo que estimasen procedente acerca de la posible incidencia procesal y material de la aprobación y entrada en vigor del art. 59.2 de la Ley Orgánica 1/1990, de 3 de octubre, de Ordenación General del Sistema Educativo, en el presente conflicto positivo de competencia.</w:t>
      </w:r>
    </w:p>
    <w:p w:rsidR="00FE0907" w:rsidRDefault="00FE0907" w:rsidP="00FE0907">
      <w:pPr>
        <w:pStyle w:val="TextoNormal"/>
      </w:pPr>
    </w:p>
    <w:p w:rsidR="00FE0907" w:rsidRDefault="00FE0907" w:rsidP="00FE0907">
      <w:pPr>
        <w:pStyle w:val="TextoNormal"/>
      </w:pPr>
      <w:r w:rsidRPr="00FE0907">
        <w:rPr>
          <w:rStyle w:val="NumeroAFNegritaCaracter"/>
        </w:rPr>
        <w:t>4</w:t>
      </w:r>
      <w:r>
        <w:t>. Por escrito registrado en este Tribunal el 21 de octubre de 1991, la representación procesal del Gobierno Vasco aportó las alegaciones requeridas en el sentido de considerar que a la luz del art. 59.2 de la L.O.G.S.E. su vindicación competencial "ha quedado satisfecha si dicho precepto se interpretase en el sentido de que las facultades estatales sobre las experimentaciones educativas, en los distintos niveles, a excepción del universitario, se circunscriben a las que versen sobre enseñanzas mínimas o sobre los requisitos establecidos por el Estado, en el ámbito de sus competencias, en la ordenación general del sistema educativo. Y a salvo, en consecuencia, de las plenas facultades autonómicas para establecer las condiciones y requisitos de las experimentaciones, en los mismos niveles, a desarrollar tanto en los currículos, como en el desarrollo del derecho a la educación, de nuestra competencia en el sentido manifestado por el Tribunal al que nos dirigimos".</w:t>
      </w:r>
    </w:p>
    <w:p w:rsidR="00FE0907" w:rsidRDefault="00FE0907" w:rsidP="00FE0907">
      <w:pPr>
        <w:pStyle w:val="TextoNormal"/>
      </w:pPr>
    </w:p>
    <w:p w:rsidR="00FE0907" w:rsidRDefault="00FE0907" w:rsidP="00FE0907">
      <w:pPr>
        <w:pStyle w:val="TextoNormal"/>
      </w:pPr>
      <w:r w:rsidRPr="00FE0907">
        <w:rPr>
          <w:rStyle w:val="NumeroAFNegritaCaracter"/>
        </w:rPr>
        <w:t>5</w:t>
      </w:r>
      <w:r>
        <w:t>. Por escrito presentado el 21 de octubre de 1991, el Abogado del Estado manifiesta que el art. 59.2 de la L.O.G.S.E. no supone ninguna alteración sobrevenida de la controversia y confirma el carácter estatal de la competencia prevista en los arts. 2, 3 y 4 del Real Decreto 942/1986, si bien no resuelve la problemática suscitada por los arts. 5 y 6.</w:t>
      </w:r>
    </w:p>
    <w:p w:rsidR="00FE0907" w:rsidRDefault="00FE0907" w:rsidP="00FE0907">
      <w:pPr>
        <w:pStyle w:val="TextoNormal"/>
      </w:pPr>
    </w:p>
    <w:p w:rsidR="00FE0907" w:rsidRDefault="00FE0907" w:rsidP="00FE0907">
      <w:pPr>
        <w:pStyle w:val="TextoNormal"/>
      </w:pPr>
      <w:r w:rsidRPr="00FE0907">
        <w:rPr>
          <w:rStyle w:val="NumeroAFNegritaCaracter"/>
        </w:rPr>
        <w:t>6</w:t>
      </w:r>
      <w:r>
        <w:t>. El Pleno, por Providencia de 17 de marzo 1992, acordó señalar el día 23 de marzo de 1992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Tiene por objeto el presente conflicto determinar si el Estado es titular de la competencia sobre las experimentaciones educativas que afecten a las enseñanzas mínimas o a la ordenación general del sistema educativo y, caso afirmativo, si la ha ejercido correctamente al articular el régimen de aprobación de tales experimentaciones en la forma que establece el Real Decreto 942/1986, cuyos artículos 2, 3, 4, 5 y 6 se impugnan.</w:t>
      </w:r>
    </w:p>
    <w:p w:rsidR="00FE0907" w:rsidRDefault="00FE0907" w:rsidP="00FE0907">
      <w:pPr>
        <w:pStyle w:val="TextoNormal"/>
      </w:pPr>
      <w:r>
        <w:t>Tal es, en efecto, la competencia controvertida, si bien concurren en el presente caso dos circunstancias que pudieran dificultar su concreción. De un lado, como señala el Abogado del Estado, el hecho de que la representación del Gobierno Vasco no impugne, precisamente, el art. 1 del Real Decreto 942/1986, precepto en el que con toda claridad se delimita el ámbito de aplicación del meritado Real Decreto, refiriéndolo a la materia cuya titularidad competencial se discute; de otro, el que en la evacuación del requerimiento efectuado por la Providencia de este Tribunal de 17 de septiembre de 1991, declare el Gobierno Vasco que considera satisfecha su vindicación competencial siempre que se entien</w:t>
      </w:r>
      <w:r>
        <w:lastRenderedPageBreak/>
        <w:t>da que las facultades estatales sobre experiencias educativas se circunscriben a las que versen sobre enseñanzas mínimas o sobre los requisitos establecidos, en el ámbito de sus competencias, en la ordenación general del sistema educativo.</w:t>
      </w:r>
    </w:p>
    <w:p w:rsidR="00FE0907" w:rsidRDefault="00FE0907" w:rsidP="00FE0907">
      <w:pPr>
        <w:pStyle w:val="TextoNormal"/>
      </w:pPr>
      <w:r>
        <w:t>Respecto de la primera de las circunstancias, cierto es que formalmente no se impugna el art. 1, sino sólo los arts.  subsiguientes 2, 3, 4, 5 y 6 del R.D.  942/1986. En consecuencia, únicamente a éstos habrá que referirse para resolver el conflicto y, además, sólo en las facetas que excedan de aquel art.  1, pero no en relación con los aspectos del mismo no desarrollados en los preceptos aludidos que expresamente se impugnan.</w:t>
      </w:r>
    </w:p>
    <w:p w:rsidR="00FE0907" w:rsidRDefault="00FE0907" w:rsidP="00FE0907">
      <w:pPr>
        <w:pStyle w:val="TextoNormal"/>
      </w:pPr>
      <w:r>
        <w:t>Por lo que se refiere a la aparente contradicción entre los términos de la demanda y los expresados en las alegaciones del Gobierno Vasco en su contestación a la Providencia de este Tribunal mencionada, no cabe olvidar la circunstancia de que el Gobierno Vasco, lejos de desistir formalmente en su vindicación de la competencia, no deja de hacer en sus alegaciones una salvedad a su aparente reconocimiento de la competencia del Estado, ya que señala que todo ello ha de entenderse sin perjuicio de las plenas facultades autonómicas "para establecer las condiciones y requisitos de las experimentaciones, (...)  a desarrollar tanto en los currículos, como en el desarrollo del derecho a la educación, de nuestra competencia en el sentido manifestado por el Tribunal al que nos dirigimos". Los imprecisos términos con los que el Gobierno Vasco expresa la condición a su juicio necesaria para considerar satisfecha la vindicación competencial, exigen ceñir, consecuentemente, la controversia a los límites originariamente trazados en la demanda.</w:t>
      </w:r>
    </w:p>
    <w:p w:rsidR="00FE0907" w:rsidRDefault="00FE0907" w:rsidP="00FE0907">
      <w:pPr>
        <w:pStyle w:val="TextoNormal"/>
      </w:pPr>
    </w:p>
    <w:p w:rsidR="00FE0907" w:rsidRDefault="00FE0907" w:rsidP="00FE0907">
      <w:pPr>
        <w:pStyle w:val="TextoNormal"/>
      </w:pPr>
      <w:r w:rsidRPr="00FE0907">
        <w:rPr>
          <w:rStyle w:val="NumeroAFNegritaCaracter"/>
        </w:rPr>
        <w:t>2</w:t>
      </w:r>
      <w:r>
        <w:t>. Reconoce el Gobierno Vasco que al Estado corresponde la competencia para fijar las enseñanzas mínimas y para la ordenación general del sistema educativo en el régimen general de la enseñanza, pero entiende, por el contrario, que en el ámbito del régimen experimental tal competencia es de titularidad autonómica, correspondiéndole únicamente al Estado la competencia relativa al establecimiento de las condiciones mínimas que deben cumplir las experiencias autonómicas, al control del cumplimiento de dichas condiciones a través de la alta inspección y a la decisión sobre la incorporación de las experiencias al régimen general.</w:t>
      </w:r>
    </w:p>
    <w:p w:rsidR="00FE0907" w:rsidRDefault="00FE0907" w:rsidP="00FE0907">
      <w:pPr>
        <w:pStyle w:val="TextoNormal"/>
      </w:pPr>
      <w:r>
        <w:t>Desde esa perspectiva, según dicho Gobierno, resulta improcedente la instauración de un régimen de aprobaciones estatales para las experiencias educativas que pretendan llevar a cabo las Comunidades Autónomas con competencias en la materia, y ello aun cuando la aprobación sólo se requiera a efectos de convalidación, pues ésta condiciona en la práctica la posibilidad de realizar cualquier experiencia educativa. El Real Decreto 942/1986 no sólo parte de la base de que el Estado es competente para regular las experiencias que afecten a las enseñanzas mínimas y a la ordenación general del sistema educativo y establece, en consecuencia, la necesaria aprobación previa para cualquier experiencia autonómica que afecte a tales enseñanzas o a dicha ordenación, sino que, además, articula un régimen de aprobaciones caso por caso, basado en la más absoluta discrecionalidad y atentatorio no sólo contra las competencias educativas de la Comunidad Autónoma del País Vasco, sino también contra sus facultades de auto-organización, instaurando además controles improcedentes sobre la Administración autonómica.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Abogado del Estado, por su parte, sostiene que el esquema de distribución competencial en materia educativa es el mismo tanto en el régimen ordinario como en el experimental. Si en aquél corresponde al Estado la competencia sobre enseñanzas mínimas y ordenación general del sistema educativo, otro tanto sucede en el segundo, lo que justifica que el Estado pueda someter a aprobación cualquier experiencia educativa autonómica que </w:t>
      </w:r>
      <w:r>
        <w:lastRenderedPageBreak/>
        <w:t>afecte a tales materias. La única especialidad entre ambos regímenes radica en la dificultad que supone establecer con carácter previo y de forma abstracta los requisitos que han de satisfacer las experimentaciones autonómicas para conseguir la aprobación del Estado, dificultad consustancial a toda experiencia educativa y que obliga a establecer un sistema de autorización caso por caso, sin que con ello se invadan competencias autonómicas -de las que carecen en esta materia- ni se menoscaben sus facultades de auto-organización o se instauren controles improcedentes.</w:t>
      </w:r>
    </w:p>
    <w:p w:rsidR="00FE0907" w:rsidRDefault="00FE0907" w:rsidP="00FE0907">
      <w:pPr>
        <w:pStyle w:val="TextoNormal"/>
      </w:pPr>
    </w:p>
    <w:p w:rsidR="00FE0907" w:rsidRDefault="00FE0907" w:rsidP="00FE0907">
      <w:pPr>
        <w:pStyle w:val="TextoNormal"/>
      </w:pPr>
      <w:r w:rsidRPr="00FE0907">
        <w:rPr>
          <w:rStyle w:val="NumeroAFNegritaCaracter"/>
        </w:rPr>
        <w:t>4</w:t>
      </w:r>
      <w:r>
        <w:t>. Respecto de la primera de las cuestiones planteadas -si el Estado disfruta de la misma competencia respecto de las enseñanzas mínimas y la ordenación general del sistema educativo tanto en el régimen ordinario como en el experimental y puede, en consecuencia, someter a examen y aprobación las experimentaciones educativas que afecten a tales materias-, no puede admitirse la tesis defendida por el Gobierno Vasco de que, correspondiendo al Estado aquella competencia cuando del régimen ordinario se trata, no cabe sostener lo mismo en el ámbito experimental, por ser consustancial a toda experimentación el afectar precisamente a las enseñanzas mínimas y a la ordenación del sistema educativo y por ser mayor el título competencial autonómico en el régimen experimental que en el general.</w:t>
      </w:r>
    </w:p>
    <w:p w:rsidR="00FE0907" w:rsidRDefault="00FE0907" w:rsidP="00FE0907">
      <w:pPr>
        <w:pStyle w:val="TextoNormal"/>
      </w:pPr>
      <w:r>
        <w:t>La primera de las argumentaciones toma como punto de partida una premisa que constituye una verdadera petición de principio, toda vez que ni se demuestra la pretendida conexión necesaria e inevitable entre experiencias educativas y alteración de las enseñanzas mínimas o de la ordenación general del sistema educativo, ni tampoco cabe excluir que no sean posibles experimentaciones que para nada afecten a tales materias; experimentaciones que, además de ser perfectamente imaginables, quedan excluídas del ámbito de aplicación del Real Decreto impugnado en virtud de lo dispuesto en su art. 1, y respecto de las cuales tendrá la Comunidad Autónoma del País Vasco las competencias de las que haya sido constitucional y estatutariamente dotada.  Si, por el contrario, se trata de experimentaciones que de algún modo supongan alteración de las enseñanzas mínimas o de los requisitos establecidos por el Estado para la ordenación general del sistema educativo, es conforme al orden constitucional de competencias que para su realización exija el Estado, titular de la competencia exclusiva sobre tales materias, y a los efectos (únicos a los que se refiere el art.  2 del R.D. 942/1986) de la homologación de los estudios y títulos correspondientes, la oportuna autorización previa del Ministerio de Educación y Ciencia.</w:t>
      </w:r>
    </w:p>
    <w:p w:rsidR="00FE0907" w:rsidRDefault="00FE0907" w:rsidP="00FE0907">
      <w:pPr>
        <w:pStyle w:val="TextoNormal"/>
      </w:pPr>
      <w:r>
        <w:t>La segunda argumentación -mayor competencia autonómica en el régimen experimental- se fundamenta en una errónea interpretación de la STC 5/1981, en la que, como observa el Abogado del Estado, se discutía, en lo que ahora interesa, acerca de un precepto (art.  21 L.O.E.C.E) relativo a centros experimentales, mientras que el presente conflicto se centra en las experimentaciones educativas con independencia del centro en el que se desarrollen.</w:t>
      </w:r>
    </w:p>
    <w:p w:rsidR="00FE0907" w:rsidRDefault="00FE0907" w:rsidP="00FE0907">
      <w:pPr>
        <w:pStyle w:val="TextoNormal"/>
      </w:pPr>
      <w:r>
        <w:t>No hay, por tanto, razón alguna que justifique que las competencias del Estado en materia de enseñanzas mínimas y de ordenación general del sistema educativo no sean las mismas con independencia del régimen, ordinario o experimental, de la enseñanza.</w:t>
      </w:r>
    </w:p>
    <w:p w:rsidR="00FE0907" w:rsidRDefault="00FE0907" w:rsidP="00FE0907">
      <w:pPr>
        <w:pStyle w:val="TextoNormal"/>
      </w:pPr>
      <w:r>
        <w:t>Todo ello no impide ni que la Comunidad Autónoma del País Vasco realice libremente experimentaciones que no afecten a las materias reseñadas -a las que en ningún caso se refiere el Real Decreto 942/1986-, ni que lleve a cabo experiencias que las alteren, si bien, en este último supuesto, la homologación de estudios y títulos sólo podrá pretenderse si se cuenta con la aprobación previa del Estado.</w:t>
      </w:r>
    </w:p>
    <w:p w:rsidR="00FE0907" w:rsidRDefault="00FE0907" w:rsidP="00FE0907">
      <w:pPr>
        <w:pStyle w:val="TextoNormal"/>
      </w:pPr>
      <w:r>
        <w:lastRenderedPageBreak/>
        <w:t>En conclusión, el art. 2 del Real Decreto 942/1986 no invade ninguna competencia de la Comunidad Autónoma promotora del conflicto cuando establece que las experimentaciones educativas que afecten a las enseñanzas mínimas o a los requisitos establecidos por el Estado en la ordenación general del sistema educativo requieren, a efectos de homologación de los estudios y títulos correspondientes, de una aprobación previa del Ministerio de Educación y Ciencia. Lo mismo cabe decir de los arts.  3 y 4, impugnados únicamente por hacerse en ellos referencia al sistema de aprobación establecido en el art. 2.</w:t>
      </w:r>
    </w:p>
    <w:p w:rsidR="00FE0907" w:rsidRDefault="00FE0907" w:rsidP="00FE0907">
      <w:pPr>
        <w:pStyle w:val="TextoNormal"/>
      </w:pPr>
    </w:p>
    <w:p w:rsidR="00FE0907" w:rsidRDefault="00FE0907" w:rsidP="00FE0907">
      <w:pPr>
        <w:pStyle w:val="TextoNormal"/>
      </w:pPr>
      <w:r w:rsidRPr="00FE0907">
        <w:rPr>
          <w:rStyle w:val="NumeroAFNegritaCaracter"/>
        </w:rPr>
        <w:t>5</w:t>
      </w:r>
      <w:r>
        <w:t>. Procede estudiar ahora si el régimen de aprobaciones establecido por el Real Decreto 942/1986 invade en algún punto competencias propias de la Comunidad Autónoma recurrente. A este respecto la objeción del Gobierno Vasco se centra en la idea de que las aprobaciones deben concederse o denegarse según criterios pre-establecidos y de carácter abstracto, toda vez que, de lo contrario, se habilitaría al Ministerio de Educación para examinar los proyectos de experimentaciones con arreglo a la más absoluta arbitrariedad.</w:t>
      </w:r>
    </w:p>
    <w:p w:rsidR="00FE0907" w:rsidRDefault="00FE0907" w:rsidP="00FE0907">
      <w:pPr>
        <w:pStyle w:val="TextoNormal"/>
      </w:pPr>
      <w:r>
        <w:t>Alega en contra el Abogado del Estado que la naturaleza misma de las experiencias educativas impide establecer un sistema de autorizaciones como el pretendido por la Comunidad Autónoma del País Vasco, pues si bien es cierto que el carácter experimental de la docencia sustancialmente en nada incrementa o disminuye los títulos competenciales del Estado y de la Comunidad Autónoma, sí es cierto, en cambio, que la propia naturaleza experimental supone una excepción a los sistemas ordinarios y normados, lo que determina que las competencias estatales, ejercidas respecto de las enseñanzas en régimen ordinario a través de una regulación de carácter abstracto, aquí, por el contrario, se proyecten no sólo en la regulación normativa, de procedimiento, que supone el propio Real Decreto 942/1986, sino en la reserva al Estado de una autorización caso por caso. Este es, a su juicio, el núcleo del conflicto, pues la impugnación del Gobierno Vasco intenta sustituir el ejercicio de las competencias del Estado mediante la aprobación contemplada en el art. 2 por un ejercicio de aquellas competencias a través de una regulación normativa que, de modo paralelo a la dictada para las enseñanzas en régimen ordinario, vendría a colmar, para las de carácter experimental, el contenido máximo de las titularidades del Estado.</w:t>
      </w:r>
    </w:p>
    <w:p w:rsidR="00FE0907" w:rsidRDefault="00FE0907" w:rsidP="00FE0907">
      <w:pPr>
        <w:pStyle w:val="TextoNormal"/>
      </w:pPr>
      <w:r>
        <w:t>Es claro, pues, que en materia de enseñanzas mínimas y de ordenación general del sistema educativo tiene el Estado la exclusiva competencia y puede, por ello, regular tales materias tanto en el régimen ordinario como en el experimental, y someter a previa autorización cualquier experimentación que las altere cuando se pretenda la homologación de los estudios y títulos correspondientes.  Queda por determinar si en el ámbito de las experimentaciones educativas es posible establecer un régimen de autorizaciones articulado sobre la base de unos criterios previa y abstractamente establecidos, tal como ocurre con las enseñanzas en el régimen ordinario.</w:t>
      </w:r>
    </w:p>
    <w:p w:rsidR="00FE0907" w:rsidRDefault="00FE0907" w:rsidP="00FE0907">
      <w:pPr>
        <w:pStyle w:val="TextoNormal"/>
      </w:pPr>
      <w:r>
        <w:t>La propia naturaleza de las experimentaciones, con lo que tienen de renovación de lo existente y de investigación de nuevas posibilidades en el ámbito educativo, hace imposible, por razón de la necesaria flexibilidad que debe presidir el juicio acerca de su oportunidad y desarrollo, regular apriorísticamente cada experimentación en particular, sin que pueda aceptarse el modelo de mínimos propiciado por la Comunidad recurrente, ya que con él se desnaturaliza la competencia del Estado en la materia reduciéndola a una simple competencia finalista.</w:t>
      </w:r>
    </w:p>
    <w:p w:rsidR="00FE0907" w:rsidRDefault="00FE0907" w:rsidP="00FE0907">
      <w:pPr>
        <w:pStyle w:val="TextoNormal"/>
      </w:pPr>
      <w:r>
        <w:t>El establecimiento de un sistema de autorización caso por caso resulta así el único posible, máxime si se tiene en cuenta que autorizar una experimentación que afecte a lo ya regulado por el Estado en el ejercicio de una competencia exclusiva participa necesariamente, como competencia, del mismo carácter exclusivo.  Ello, claro está, con indepen</w:t>
      </w:r>
      <w:r>
        <w:lastRenderedPageBreak/>
        <w:t>dencia de que toda actuación arbitraria del Estado en el ejercicio de su competencia de autorización pueda ser planteada ante la jurisdicción ordinaria. En definitiva, el establecimiento de un régimen de aprobaciones singulares es el único compatible con la naturaleza del objeto de la autorización y el único, además, respetuoso con la competencia del Estado respecto de las materias sobre las que la experimentación aprobada está llamada de algún modo a incidir.</w:t>
      </w:r>
    </w:p>
    <w:p w:rsidR="00FE0907" w:rsidRDefault="00FE0907" w:rsidP="00FE0907">
      <w:pPr>
        <w:pStyle w:val="TextoNormal"/>
      </w:pPr>
    </w:p>
    <w:p w:rsidR="00FE0907" w:rsidRDefault="00FE0907" w:rsidP="00FE0907">
      <w:pPr>
        <w:pStyle w:val="TextoNormal"/>
      </w:pPr>
      <w:r w:rsidRPr="00FE0907">
        <w:rPr>
          <w:rStyle w:val="NumeroAFNegritaCaracter"/>
        </w:rPr>
        <w:t>6</w:t>
      </w:r>
      <w:r>
        <w:t>. El Gobierno Vasco considera que el art.  5 invade competencias autonómicas al subrayar la idea del control administrativo absoluto por parte del Ministerio de Educación sobre las actividades experimentales autonómicas en materia educativa, ya que no sólo la experimentación ha de ser aprobada por aquél, sino que, además, durante su desarrollo han de facilitarse cuantas informaciones solicite. Ello entraría, añade el Gobierno Vasco, en contradicción con lo declarado en la STC 6/1982 sobre la licitud de controles estatales. Entiende, por el contrario, el Abogado del Estado que el contenido de esas informaciones no puede confundirse, como hace la Comunidad recurrente, con el de la alta inspección, ya que siendo las experimentaciones del Real Decreto 942/86 derogaciones singulares, con carácter experimental, de las condiciones generales de titularidad estatal, la previsión de la información para el seguimiento y evaluación de la experimentación y de un informe final no implican un control de legalidad, sino una fórmula de cooperación imprescindible para el fin que justifica la derogación singular en que la aprobación de la experimentación consiste.</w:t>
      </w:r>
    </w:p>
    <w:p w:rsidR="00FE0907" w:rsidRDefault="00FE0907" w:rsidP="00FE0907">
      <w:pPr>
        <w:pStyle w:val="TextoNormal"/>
      </w:pPr>
      <w:r>
        <w:t>No puede, en efecto, sostenerse que la solicitud de información por parte del Ministerio de Educación a las CC.AA.  constituya un control improcedente del Estado sobre éstas, sino que se encuentra plenamente justificada en orden al seguimiento y evaluación de las experimentaciones ya aprobadas, con vistas a una posible generalización de la experiencia educativa.</w:t>
      </w:r>
    </w:p>
    <w:p w:rsidR="00FE0907" w:rsidRDefault="00FE0907" w:rsidP="00FE0907">
      <w:pPr>
        <w:pStyle w:val="TextoNormal"/>
      </w:pPr>
    </w:p>
    <w:p w:rsidR="00FE0907" w:rsidRDefault="00FE0907" w:rsidP="00FE0907">
      <w:pPr>
        <w:pStyle w:val="TextoNormal"/>
      </w:pPr>
      <w:r w:rsidRPr="00FE0907">
        <w:rPr>
          <w:rStyle w:val="NumeroAFNegritaCaracter"/>
        </w:rPr>
        <w:t>7</w:t>
      </w:r>
      <w:r>
        <w:t>. Tampoco puede aceptarse la crítica del Gobierno Vasco al art. 6 del Real Decreto 942/1986, pues la posibilidad en él contemplada de que el M.E.C. pueda llevar a cabo experimentaciones educativas sobre materias de su competencia en todo el territorio nacional no supone en modo alguno una vulneración de la potestad de auto-organización de la Administración educativa de la Comunidad Autónoma del País Vasco. De un lado, porque, según se ha dicho ya reiteradamente, las experimentaciones a las que se refiere el art. 6 afectan a materia de competencia estatal; de otro, porque el propio art.  6 cuenta con la participación y colaboración de las CC.AA., con competencias en materia de enseñanza, en el diseño y desarrollo de estas experimentaciones, lo que desmiente la imputada situación de dependencia jerárquica en que la Comunidad Autónoma del País Vasco dice verse por causa de este precepto.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LAS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Declarar que la competencia controvertida corresponde al Estado.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veintitres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2" w:name="SENTENCIA_1992_39"/>
      <w:r>
        <w:lastRenderedPageBreak/>
        <w:t>SENTENCIA 39/1992, de 30 de marzo de 1992</w:t>
      </w:r>
    </w:p>
    <w:bookmarkEnd w:id="42"/>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ECLI:ES:TC:1992:39</w:t>
      </w:r>
    </w:p>
    <w:p w:rsidR="00FE0907" w:rsidRDefault="00FE0907" w:rsidP="00FE0907">
      <w:pPr>
        <w:pStyle w:val="SntesisDescriptiva"/>
      </w:pPr>
    </w:p>
    <w:p w:rsidR="00FE0907" w:rsidRDefault="00FE0907" w:rsidP="00FE0907">
      <w:pPr>
        <w:pStyle w:val="SntesisDescriptiva"/>
      </w:pPr>
      <w:r>
        <w:t>Recurso de amparo 981/1989. Contra Sentencias de la Magistratura de Trabajo núm. 9 de Barcelona, sobre cotización a la Seguridad Social, y del Tribunal Central de Trabajo, resolutoria del recurso de suplicación.</w:t>
      </w:r>
    </w:p>
    <w:p w:rsidR="00FE0907" w:rsidRDefault="00FE0907" w:rsidP="00FE0907">
      <w:pPr>
        <w:pStyle w:val="SntesisDescriptiva"/>
      </w:pPr>
    </w:p>
    <w:p w:rsidR="00FE0907" w:rsidRDefault="00FE0907" w:rsidP="00FE0907">
      <w:pPr>
        <w:pStyle w:val="SntesisAnaltica"/>
      </w:pPr>
      <w:r>
        <w:t>Supuesta vulneración del principio de igualdad: doble cotización por la prestación de asistencia sanitaria</w:t>
      </w:r>
    </w:p>
    <w:p w:rsidR="00FE0907" w:rsidRDefault="00FE0907" w:rsidP="00FE0907">
      <w:pPr>
        <w:pStyle w:val="SntesisAnaltica"/>
      </w:pPr>
    </w:p>
    <w:p w:rsidR="00FE0907" w:rsidRDefault="00FE0907" w:rsidP="00FE0907">
      <w:pPr>
        <w:pStyle w:val="Extracto"/>
      </w:pPr>
      <w:r>
        <w:t>1.</w:t>
      </w:r>
      <w:r>
        <w:tab/>
        <w:t>La inadmisión del recurso de amparo por adolecer la demanda de falta manifiesta de contenido constitucional es únicamente alegable en el trámite previo del art. 50.3 de la LOTC; una vez superado este trámite, dicha falta de contenido constitucional de la demanda, sea o no manifiesta, pasa a constituir la cuestión de fondo, tan sólo susceptible de desestimación fundada en razones sustantivas, pero no de rechazo formal por motivos procesales [F.J. 4].</w:t>
      </w:r>
    </w:p>
    <w:p w:rsidR="00FE0907" w:rsidRDefault="00FE0907" w:rsidP="00FE0907">
      <w:pPr>
        <w:pStyle w:val="Extracto"/>
      </w:pPr>
    </w:p>
    <w:p w:rsidR="00FE0907" w:rsidRDefault="00FE0907" w:rsidP="00FE0907">
      <w:pPr>
        <w:pStyle w:val="Extracto"/>
      </w:pPr>
      <w:r>
        <w:t>2.</w:t>
      </w:r>
      <w:r>
        <w:tab/>
        <w:t>La jurisdicción exclusiva que confiere el art. 117.3 de la Constitución a los órganos judiciales no impide que el Tribunal Constitucional deba revisar la interpretación judicial de las leyes, cuando de ella puedan resultar afectados derechos fundamentales y libertades públicas [F.J. 5].</w:t>
      </w:r>
    </w:p>
    <w:p w:rsidR="00FE0907" w:rsidRDefault="00FE0907" w:rsidP="00FE0907">
      <w:pPr>
        <w:pStyle w:val="Extracto"/>
      </w:pPr>
    </w:p>
    <w:p w:rsidR="00FE0907" w:rsidRDefault="00FE0907" w:rsidP="00FE0907">
      <w:pPr>
        <w:pStyle w:val="Extracto"/>
      </w:pPr>
      <w:r>
        <w:t>3.</w:t>
      </w:r>
      <w:r>
        <w:tab/>
        <w:t>El principio de igualdad puede resultar vulnerado cuando los Jueces y Tribunales apliquen las normas jurídicas con un criterio interpretativo que produzca o no corrija trato discriminatorio en relación con otras situaciones válidamente comparables y además la norma a aplicar sea susceptible de distinta interpretación que, siendo admisible en Derecho, conduzca a eliminar la desigualdad injustificada que, en otro caso, se produciría [F.J. 5].</w:t>
      </w:r>
    </w:p>
    <w:p w:rsidR="00FE0907" w:rsidRDefault="00FE0907" w:rsidP="00FE0907">
      <w:pPr>
        <w:pStyle w:val="Extracto"/>
      </w:pPr>
    </w:p>
    <w:p w:rsidR="00FE0907" w:rsidRDefault="00FE0907" w:rsidP="00FE0907">
      <w:pPr>
        <w:pStyle w:val="Extracto"/>
      </w:pPr>
      <w:r>
        <w:t>4.</w:t>
      </w:r>
      <w:r>
        <w:tab/>
        <w:t>Una cosa es el «pluriempleo», que da lugar a cotización en el Régimen General y viene contemplado en el art. 74.2 de la Ley General de Seguridad Social y 21.1 de la Orden de 28 de diciembre de 1966, y otra bien distinta es la «pluriactividad», que determina cotización en distintos Regímenes de la Seguridad Social -en el caso de autos, en el R.G.S.S. y en el R.E.T.A.-, y que es una situación no prevista con carácter general en la Ley, pero admitida por la jurisprudencia del Tribunal Supremo (Sentencia de 25 de abril de 1975, entre otras) y, de manera específica, para los trabajadores del Régimen Especial Agrario, en el art. 2.3 del Decereto 3.722/1972, de 23 de diciembre, que aprueba su Reglamento General. Se trata, por tanto, de situaciones claramente diferenciadas en el terreno de la legalidad, que no están sometidas a una normativa unitaria, actualmente inexistente, constituyen do supuestos distintos sometidos a regímenes jurídicos distintos [F.J. 6].</w:t>
      </w:r>
    </w:p>
    <w:p w:rsidR="00FE0907" w:rsidRDefault="00FE0907" w:rsidP="00FE0907">
      <w:pPr>
        <w:pStyle w:val="Extracto"/>
      </w:pPr>
    </w:p>
    <w:p w:rsidR="00FE0907" w:rsidRDefault="00FE0907" w:rsidP="00FE0907">
      <w:pPr>
        <w:pStyle w:val="Extracto"/>
      </w:pPr>
      <w:r>
        <w:t>5.</w:t>
      </w:r>
      <w:r>
        <w:tab/>
        <w:t xml:space="preserve">Aunque en el estado actual de la doctrina la naturaleza jurídica de la cuota de la Seguridad Social es objeto de polémica, es innegable que el sistema de protección </w:t>
      </w:r>
      <w:r>
        <w:lastRenderedPageBreak/>
        <w:t>social se ha ido separando progresivamente del esquema contributivo y acercándose, de forma cada vez más próxima, al concepto de tributación, en el que la existencia de la cuota no autoriza a exigir un determinado nivel de prestaciones, ni su cuantía a repercutir en el nivel o contenido de las mismas y, en tal sentido, es abundante la jurisprudencia constitucional que niega a la cuota de cotización la cualidad de «prima de seguro» de la que se derive necesariamente el derecho a la prestación o pueda dejar de pagarse caso de inexistencia de ésta [F.J. 6].</w:t>
      </w:r>
    </w:p>
    <w:p w:rsidR="00FE0907" w:rsidRDefault="00FE0907" w:rsidP="00FE0907">
      <w:pPr>
        <w:pStyle w:val="Extracto"/>
      </w:pPr>
    </w:p>
    <w:p w:rsidR="00FE0907" w:rsidRDefault="00FE0907" w:rsidP="00FE0907">
      <w:pPr>
        <w:pStyle w:val="Extracto"/>
      </w:pPr>
      <w:r>
        <w:t>6.</w:t>
      </w:r>
      <w:r>
        <w:tab/>
        <w:t>Las diferencias de trato que se producen por aplicación de regímenes jurídicos distintos encuentran justificación en el distinto ámbito objetivo y subjetivo que cada uno de ellos regulan (STC 137/1987) y, por tanto, también, la pertenencia a órdenes normativos distintos constituye, por sí misma, causa justificativa de la diferencia de trato [F.J. 8].</w:t>
      </w:r>
    </w:p>
    <w:p w:rsidR="00FE0907" w:rsidRDefault="00FE0907" w:rsidP="00FE0907">
      <w:pPr>
        <w:pStyle w:val="Extracto"/>
      </w:pPr>
    </w:p>
    <w:p w:rsidR="00FE0907" w:rsidRDefault="00FE0907" w:rsidP="00FE0907">
      <w:pPr>
        <w:pStyle w:val="Extracto"/>
      </w:pPr>
      <w:r>
        <w:t>7.</w:t>
      </w:r>
      <w:r>
        <w:tab/>
        <w:t>La aplicación del principio de igualdad, en caso de concurrencia de sistemas normativos distintos, presenta la especial peculiaridad de sufrir una especie de inversión en la carga alegatoria, en relación con las diferencias que se produzcan en el ámbito de un mismo régimen legal, puesto que en éste corresponde ofrecer la justificación de la diferencia al que defiende su constitucionalidad ( STC 103/1983), mientras que, en el supuesto de personas o situaciones regidas por reglas distintas, corresponde al que alega la vulneración de la igualdad acreditar que la diferencia carece de justificación objetiva y razonable (STC 148/1990) [F. J. 8].</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981/89, interpuesto por don Juan Estallo Bartroli, representado por el Procurador de los Tribunales don Jorge Deleito García y con la asistencia letrada de don Jesús María Carroza Sayas, contra la Sentencia de la Magistratura de Trabajo núm. 9 de Barcelona, sobre cotización a la Seguridad Social, y del Tribunal Central de Trabajo resolutoria del recurso de suplicación. Han sido partes la Tesorería General de la Seguridad Social representada por el Procurador de los Tribunales don Luis Pulgar Arroyo y asistida del Letrado don Paulino Jiménez Moreno, y el Ministerio Fiscal. Ha sido Ponente don Eugenio Díaz Eimil,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Procurador don Angel Deleito Villa, en nombre y representación de don Juan Estallo Bartroli, interpone, con fecha 26 de mayo de 1989, recurso de amparo frente a la Sentencia de la Sala Cuarta del Tribunal Central de Trabajo, de 31 de enero de 1989, en suplicación de la dictada por la Magistratura de Trabajo núm 9 de Barcelona, de 9 de septiembre de 1988 sobre cotización a la Seguridad Social. Invoca el art. 14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los siguientes antecedentes: </w:t>
      </w:r>
    </w:p>
    <w:p w:rsidR="00FE0907" w:rsidRDefault="00FE0907" w:rsidP="00FE0907">
      <w:pPr>
        <w:pStyle w:val="TextoNormal"/>
      </w:pPr>
      <w:r>
        <w:t xml:space="preserve">a) El demandante está afiliado, por un lado, al Régimen Especial de Trabajadores Autónomos (RETA), desde el 1 de mayo de 1970, por su actividad de Agente Libre de Seguros y, por otro lado, al Régimen General de la Seguridad Social, desde el 28 de agosto de 1982, en razón a su vínculo laboral con la Empresa SERESTAL,S.A. </w:t>
      </w:r>
    </w:p>
    <w:p w:rsidR="00FE0907" w:rsidRDefault="00FE0907" w:rsidP="00FE0907">
      <w:pPr>
        <w:pStyle w:val="TextoNormal"/>
      </w:pPr>
      <w:r>
        <w:t xml:space="preserve">b) A causa de esa doble afiliación y en aplicación de lo establecido en el Real Decreto 43/1984, de 4 de enero -que amplió a los afiliados al RETA la cobertura por las contingencias de asistencia sanitaria e incapacidad laboral transitoria, que antes tenían el carácter de mejoras voluntarias-, viene, desde el 1 de enero de 1984, cotizando dos veces por la contingencia de asistencia sanitaria, que sólo admite una prestación. </w:t>
      </w:r>
    </w:p>
    <w:p w:rsidR="00FE0907" w:rsidRDefault="00FE0907" w:rsidP="00FE0907">
      <w:pPr>
        <w:pStyle w:val="TextoNormal"/>
      </w:pPr>
      <w:r>
        <w:t xml:space="preserve">c) El 19 de enero de 1988 presentó reclamación administrativa ante la Tesorería General de la Seguridad Social al objeto de que se le reconociera el derecho a no cotizar por dicha contingencia en el RETA, mientras permaneciera cotizando por la misma en el Régimen General, y se le devolvieran las cuotas satisfechas desde el 1 de enero de 1984, siendo dicha reclamación desestimada por Resolución de 18 de febrero de 1988, confirmada en reposición por la de 26 de julio siguiente. </w:t>
      </w:r>
    </w:p>
    <w:p w:rsidR="00FE0907" w:rsidRDefault="00FE0907" w:rsidP="00FE0907">
      <w:pPr>
        <w:pStyle w:val="TextoNormal"/>
      </w:pPr>
      <w:r>
        <w:t xml:space="preserve">d) Contra esas Resoluciones de la Tesorería General interpuso demanda ante la Magistratura de Trabajo núm. 9 de Barcelona, que dictó Sentencia de 9 de septiembre de 1988 por la cual se condenó a dicha Tesorería a que eximiera al actor de la obligación de cotizar por la fracción correspondiente a las contingencias de asistencia sanitaria e incapacidad laboral permanente y a devolverle la suma de 94.077 pesetas, correspondientes a dicha fracción de cuotas desde el 1 de enero de 1984, sin perjuicio de las que hubiera ingresado con posterioridad. </w:t>
      </w:r>
    </w:p>
    <w:p w:rsidR="00FE0907" w:rsidRDefault="00FE0907" w:rsidP="00FE0907">
      <w:pPr>
        <w:pStyle w:val="TextoNormal"/>
      </w:pPr>
      <w:r>
        <w:t>e) Contra esta Sentencia, la Tesorería General interpuso recurso de suplicación ante el Tribunal Central de Trabajo, que fue resuelto por Sentencia de 31 de enero de 1989, en el sentido de revocar la Sentencia recurrida para desestimar la demanda y absolver al Ente Gestor de las pretensiones deducidas en su contra.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los fundamentos jurídicos de la demanda de amparo se alega vulneración del derecho a la igualdad ante la Ley y no discriminación (art. 14 C.E.) con base en los siguientes razonamientos: </w:t>
      </w:r>
    </w:p>
    <w:p w:rsidR="00FE0907" w:rsidRDefault="00FE0907" w:rsidP="00FE0907">
      <w:pPr>
        <w:pStyle w:val="TextoNormal"/>
      </w:pPr>
      <w:r>
        <w:t xml:space="preserve">En los sucesivos Reales Decretos y Ordenes que han venido fijando las normas básicas de cotización a la Seguridad Social en sus diferentes Regímenes (citándose a modo de ejemplo el art. 9.1 de la O.M. de 18 de enero de 1989, que regula dichas normas para el presente año) se ha venido regulando la cotización de los trabajadores en situación de pluriempleo, distribuyéndose las cotizaciones en proporción al número de horas de trabajo en cada una de las actividades. </w:t>
      </w:r>
    </w:p>
    <w:p w:rsidR="00FE0907" w:rsidRDefault="00FE0907" w:rsidP="00FE0907">
      <w:pPr>
        <w:pStyle w:val="TextoNormal"/>
      </w:pPr>
      <w:r>
        <w:t xml:space="preserve">Es cierto que en las referidas normas se está contemplando la situación de que ambas actividades estén cubiertas por el Régimen General de la Seguridad Social, mientras que </w:t>
      </w:r>
      <w:r>
        <w:lastRenderedPageBreak/>
        <w:t xml:space="preserve">en el presente supuesto una de las dos actividades es por cuenta propia y está cubierta por el RETA, pero ante tal diferenciación hay que atender a lo siguiente: </w:t>
      </w:r>
    </w:p>
    <w:p w:rsidR="00FE0907" w:rsidRDefault="00FE0907" w:rsidP="00FE0907">
      <w:pPr>
        <w:pStyle w:val="TextoNormal"/>
      </w:pPr>
      <w:r>
        <w:t xml:space="preserve">a) La definición de Caja Unica del Sistema Nacional de Seguridad Social que rige a favor de la Tesorería demandada, como órgano que lleva a efecto la gestión recaudatoria de las cuotas devengadas en todos sus Regímenes. (art 1 del Real Decreto Ley 10/1981 de 19 de junio ; art 2 y 4 del Real Decreto 716/1986, de 7 de marzo. </w:t>
      </w:r>
    </w:p>
    <w:p w:rsidR="00FE0907" w:rsidRDefault="00FE0907" w:rsidP="00FE0907">
      <w:pPr>
        <w:pStyle w:val="TextoNormal"/>
      </w:pPr>
      <w:r>
        <w:t xml:space="preserve">b) La tendencia a la homogeneización con el Régimen General. (art 14.5 LGSS de 30.5.74 y Preámbulo del Real Decreto 2.621/1986, de 24 de diciembre, de integración de diversos Regímenes de la S.S.) </w:t>
      </w:r>
    </w:p>
    <w:p w:rsidR="00FE0907" w:rsidRDefault="00FE0907" w:rsidP="00FE0907">
      <w:pPr>
        <w:pStyle w:val="TextoNormal"/>
      </w:pPr>
      <w:r>
        <w:t xml:space="preserve">c) La imposibilidad de que se pueda mejorar la eventual prestación por cotización a dos Regímenes (como por ejemplo jubilación o invalidez), por cuanto la prestación de asistencia sanitaria es un servicio único de atención al beneficiario con independencia de cuál sea el Régimen de la Seguridad Social en el que se halle afiliado, así como independientemente de cuál sea la Base Reguladora de otras eventuales prestaciones (podría mejorarse una jubilación al cotizar por dos Regímenes, en cambio, no se puede ser atendido por dos médicos a la vez, teniendo idéntico servicio todos los beneficiarios, sea cual sea su Base de Cotización). </w:t>
      </w:r>
    </w:p>
    <w:p w:rsidR="00FE0907" w:rsidRDefault="00FE0907" w:rsidP="00FE0907">
      <w:pPr>
        <w:pStyle w:val="TextoNormal"/>
      </w:pPr>
      <w:r>
        <w:t xml:space="preserve">La conducta de la tesorería demandada, recogida en la Sentencia del TCT, entraña discriminación para el actor, que presta sus servicios en dos actividades que le conllevan la afiliación obligatoria en dos Regímenes (como para aquellos ciudadanos que se puedan encontrar en la misma situación) sin razón objetiva que justifique tal desigualdad respecto al tratamiento de aquellos otros ciudadanos que igualmente se hallan en situación de pluriempleo en dos o más actividades pero todas ellas encuadradas en el mismo Régimen, razón por la cual cotizan (en virtud del prorrateo de cuotas) una sola vez para la contingencia de asistencia sanitaria. </w:t>
      </w:r>
    </w:p>
    <w:p w:rsidR="00FE0907" w:rsidRDefault="00FE0907" w:rsidP="00FE0907">
      <w:pPr>
        <w:pStyle w:val="TextoNormal"/>
      </w:pPr>
      <w:r>
        <w:t xml:space="preserve">Concretamente, si la pluriactividad del actor estuviera encuadrada toda ella en el Régimen General, sólo cotizaría una sola vez para la contingencia de asistencia sanitaria. </w:t>
      </w:r>
    </w:p>
    <w:p w:rsidR="00FE0907" w:rsidRDefault="00FE0907" w:rsidP="00FE0907">
      <w:pPr>
        <w:pStyle w:val="TextoNormal"/>
      </w:pPr>
      <w:r>
        <w:t xml:space="preserve">Por último, el principio de solidaridad que rige el sistema de Seguridad Social no puede amparar una violación de un derecho fundamental de un ciudadano, no pudiendo apoyar una doble cotización, ya que dicho principio viene asumido por el recurrente, como por otros, por el abono de la fracción de cuota abonada por dicha contingencia, con independencia de que tenga o no necesidad de dicho servicio, siendo también atendido dicho principio por la contribución que, con cargo a los Presupuestos Generales del Estado, se efectúa a la financiación de la Seguridad Social. </w:t>
      </w:r>
    </w:p>
    <w:p w:rsidR="00FE0907" w:rsidRDefault="00FE0907" w:rsidP="00FE0907">
      <w:pPr>
        <w:pStyle w:val="TextoNormal"/>
      </w:pPr>
      <w:r>
        <w:t xml:space="preserve">Al no haberlo entendido así el TCT en su Sentencia, es claro que se ha vulnerado el derecho constitucional de igualdad ante la Ley consagrado en el art. 14 de nuestra Carta Magna. </w:t>
      </w:r>
    </w:p>
    <w:p w:rsidR="00FE0907" w:rsidRDefault="00FE0907" w:rsidP="00FE0907">
      <w:pPr>
        <w:pStyle w:val="TextoNormal"/>
      </w:pPr>
      <w:r>
        <w:t xml:space="preserve">En el suplico de la demanda de amparo se solicita, como petición principal, que se otorgue el amparo, se anule la Sentencia recurrida y se reconozca el derecho del actor a la igualdad ante la Ley, ordenándose, en su consecuencia, la remisión de las actuaciones al Tribunal competente para que, con absoluta libertad de criterio, dicte nueva Sentencia en la que se respete dicho derecho constitucional y, como petición subsidiaria, si así se estimase pertinente por razones de economía procesal, que se declare su derecho a ser eximido de la obligación de cotizar por la fracción de cuotas correspondiente a la contingencia de asistencia sanitaria en el RETA, mientras persista su situación de alta en el Régimen General, condenando a la Tesorería demandada a estar y pasar por la anterior declaración y a abonar al actor las referidas fracciones de cuotas devengadas desde el 1 de enero de 1984. </w:t>
      </w:r>
    </w:p>
    <w:p w:rsidR="00FE0907" w:rsidRDefault="00FE0907" w:rsidP="00FE0907">
      <w:pPr>
        <w:pStyle w:val="TextoNormal"/>
      </w:pPr>
      <w:r>
        <w:lastRenderedPageBreak/>
        <w:t xml:space="preserve">En el otrosí primero hace constar, a los efectos del art. 44.1c) de la LOTC, que la violación se imputa a la decisión que puso fin al proceso y, por ello,no ha habido oportunidad para invocar formalmente en el proceso el derecho constitucional vulnerado, por lo que dicho requisito deviene inexigible, tal como declaró, entre otras, la STC 50/1982. </w:t>
      </w:r>
    </w:p>
    <w:p w:rsidR="00FE0907" w:rsidRDefault="00FE0907" w:rsidP="00FE0907">
      <w:pPr>
        <w:pStyle w:val="TextoNormal"/>
      </w:pPr>
      <w:r>
        <w:t>En otrosí segundo solicitó el recibimiento a prueba al objeto de dar por reproducidos los documentos que se acompañan con la demanda y acreditar los antecedentes referidos en los hechos primero a cuarto de la demanda, para el supuesto de que, independientemente de la remisión de las actuaciones judiciales, no se aportasen de oficio dichos antecedentes.</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18 de septiembre se concedió al solicitante de amparo y al Ministerio Fiscal plazo de diez días para alegar sobre la posible concurrencia de las causas de inadmisibilidad previstas en el art. 50.1a), en relación con el 44.2 -extemporaneidad del recurso de amparo- y en el 50.1c) de la LOTC- carencia manifiesta de contenido constitucional de la demanda-, alegaciones que fueron contestadas por el demandante de amparo, quien solicitó la admisión a trámite del recurso, y por el Ministerio Fiscal, que interesó la inadmisión por concurrir las causas propuestas.</w:t>
      </w:r>
    </w:p>
    <w:p w:rsidR="00FE0907" w:rsidRDefault="00FE0907" w:rsidP="00FE0907">
      <w:pPr>
        <w:pStyle w:val="TextoNormal"/>
      </w:pPr>
    </w:p>
    <w:p w:rsidR="00FE0907" w:rsidRDefault="00FE0907" w:rsidP="00FE0907">
      <w:pPr>
        <w:pStyle w:val="TextoNormal"/>
      </w:pPr>
      <w:r w:rsidRPr="00FE0907">
        <w:rPr>
          <w:rStyle w:val="NumeroAFNegritaCaracter"/>
        </w:rPr>
        <w:t>5</w:t>
      </w:r>
      <w:r>
        <w:t>. El 30 de Octubre se dictó providencia admitiendo a trámite el recurso y reclamando las actuaciones judiciales y, una vez estas recibidas, en providencia de 22 de enero de 1990, se tuvo por personado y parte en el procedimiento al Procurador don Luis Pulgar Arroyo, en nombre y representación de la Tesorería General de la Seguridad Social y se abrió el trámite de alegaciones previsto en el art. 52.1 de la LOTC.</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recurrente de amparo dio por reproducidas las alegaciones y pretensiones formuladas en su demanda, insistiendo en que la vulneración denunciada no es una cuestión de legalidad ordinaria, sino que se trata de una verdadera discriminación, por no existir razón objetiva que justifique su trato desigual en relación con aquéllos que se hallen en situación de pluriempleo en dos o más actividades encuadradas en el mismo Régimen de Seguridad Social, razón por la cual cotizan una sola vez por la contingencia de asistencia sanitaria. Reitera que la falta de razón subjetiva que justifique esa desigualdad se deriva, de un lado, de la definición de Caja Unica de la Tesorería General de la Seguridad Social y, de otro, de la tendencia a la homogeneización de los Regímenes, sin que a ello pueda oponerse el principio de solidaridad, dado que viene asumido por el recurrente, como por otros, por el abono de su fracción de cuota independientemente de la utilización del servicio, aparte de que dicho principio viene atendido por la contribución que, con cargo a los Presupuestos Generales del Estado, se efectúa a la financiación de la Seguridad Social. </w:t>
      </w:r>
    </w:p>
    <w:p w:rsidR="00FE0907" w:rsidRDefault="00FE0907" w:rsidP="00FE0907">
      <w:pPr>
        <w:pStyle w:val="TextoNormal"/>
      </w:pPr>
      <w:r>
        <w:t>Concluye afirmando que, al no haberlo así entendido el Tribunal Central de Trabajo ha vulnerado el derecho constitucional de igualdad ante la Ley, consagrado en el art. 14 de la Constitución.</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Tesorería General de la Seguridad Social suplicó la desestimación del recurso, por no constar la protesta previa de acudir en amparo ante este Tribunal y por carecer manifiestamente la demanda de contenido que justifique su decisión, sin perjuicio de que, si el Tribunal entiende, en función del momento procesal en que se formulan las alegaciones, que debe entrar a conocer del fondo del asunto, se deniegue el amparo solicitado y, en ningún caso, resuelva sobre el fondo del asunto. </w:t>
      </w:r>
    </w:p>
    <w:p w:rsidR="00FE0907" w:rsidRDefault="00FE0907" w:rsidP="00FE0907">
      <w:pPr>
        <w:pStyle w:val="TextoNormal"/>
      </w:pPr>
      <w:r>
        <w:lastRenderedPageBreak/>
        <w:t xml:space="preserve">Las referidas peticiones vienen apoyadas en las siguientes alegaciones: </w:t>
      </w:r>
    </w:p>
    <w:p w:rsidR="00FE0907" w:rsidRDefault="00FE0907" w:rsidP="00FE0907">
      <w:pPr>
        <w:pStyle w:val="TextoNormal"/>
      </w:pPr>
      <w:r>
        <w:t xml:space="preserve">a)Cierto que después de acudir en vía administrativa solicitando el hoy recurrido devolución de cuotas realizadas, así como que se declarase la no obligación de cotizar para la cobertura de asistencia sanitaria por su afiliación en el Régimen Especial de Trabajadores Autónomos, en tanto permanezca cotizando al Régimen General de la Seguridad Social y ante la denegación de la misma, reclamó ante la entonces Magistratura de Trabajo núm. 9 de las de Barcelona, que estimó su demanda, por lo que anunciado recurso de suplicación por la Tesorería General de la Seguridad Social y admitido el mismo, el Sr. Estalló Bartroli recurrió en reposición ante la Magistratura de Trabajo, la cual no se lo admitió, toda vez que cuando fue el mismo interpuesto ya se había anunciado recurso de suplicación, por lo que entonces declaró la Magistratura de Trabajo que ya había perdido la competencia en las presentes actuaciones, sin que ante esa resolución, en momento alguno, ni antes ni después, el hoy recurrido haya advertido infracción de ningún precepto constitucional y su propósito de recurrir en amparo. </w:t>
      </w:r>
    </w:p>
    <w:p w:rsidR="00FE0907" w:rsidRDefault="00FE0907" w:rsidP="00FE0907">
      <w:pPr>
        <w:pStyle w:val="TextoNormal"/>
      </w:pPr>
      <w:r>
        <w:t xml:space="preserve">Formalizado el recurso de suplicación dicho, el Tribunal Central de Trabajo, con fecha 31 de enero de 1989 dicta Sentencia, revocando la que anteriormente se había pronunciado, absolviendo al Ente Gestor que represento, siendo entonces cuando don Juan Estalló Bartroli, como recurrente, acude en amparo ante este Tribunal Constitucional. </w:t>
      </w:r>
    </w:p>
    <w:p w:rsidR="00FE0907" w:rsidRDefault="00FE0907" w:rsidP="00FE0907">
      <w:pPr>
        <w:pStyle w:val="TextoNormal"/>
      </w:pPr>
      <w:r>
        <w:t xml:space="preserve">b) Por tanto, no solo por no reunirse el requisito procesal de en su momento protestar o advertir las intención de recurrir en amparo al considerar que se falta al principio constitucional de igualdad, el presente recurso ha de declararse su inadmisibilidad, en cuanto que la demanda que lo inicia, "carece manifiestamente de contenido que justifique una decisión por parte del Tribunal Constitucional". </w:t>
      </w:r>
    </w:p>
    <w:p w:rsidR="00FE0907" w:rsidRDefault="00FE0907" w:rsidP="00FE0907">
      <w:pPr>
        <w:pStyle w:val="TextoNormal"/>
      </w:pPr>
      <w:r>
        <w:t xml:space="preserve">Dice el art 85.1 de la misma Ley Orgánica del Tribunal Constitucional, que la iniciación de un proceso constitucional deberá hacerse por escrito fundado en el que se fijará "con precisión y claridad" lo que se pida, lo cual no se observa, en concreto, con el suplico de del aquí recurrente, pues a las tres peticiones que formaliza primeramente, se le une la cuarta que, expone, con carácter subsidiario, esperando una resolución a la cuestión personal que otros órganos judiciales han conocido, aunque, su fallo final no haya sido de acuerdo a sus pretensiones, de ahí que la demanda carezca manifiestamente de contenido, que justifique una decisión por parte del Tribunal Constitucional. </w:t>
      </w:r>
    </w:p>
    <w:p w:rsidR="00FE0907" w:rsidRDefault="00FE0907" w:rsidP="00FE0907">
      <w:pPr>
        <w:pStyle w:val="TextoNormal"/>
      </w:pPr>
      <w:r>
        <w:t xml:space="preserve">Es de sobra sabido y así se ha dicho reiteradamente, enSSTC 2/1981, 2/1982, 11/1982 y 62/1982, que "el recurso de amparo no es una nueva instancia jurisdiccional, sino que su función se circunscribe a la protección de los derechos y libertades fundamentales susceptibles del mismo, es decir, desde otra perspectiva, del orden constitucional, ya que tales libertades y derechos son el fundamento del orden político y de la paz social junto con la dignidad de la persona, el libre desarrollo de la personalidad y el respeto a la Ley y a los derechos de los demás (art 10 de la Constitución). Por ello, en supuestos como el presente, en que se impugna actos de órganos judiciales, la decisión que ha de adoptarse debe circunscribirse a determinar si se han vulnerado o no derechos o libertades fundamentales susceptibles de amparo y, en su caso, a preservar o restablecer estos derechos o libertades fundamentales, sin que se pueda formular consideración alguna sobre la actuación de los órganos jurisdiccionales ajena a tales extremos, como indica por lo demás con meridiana claridad el art. 54 de la Ley Orgánica del Tribunal Constitucional. Por consiguiente, la petición subsidiaria que se formula, por imperativo legal, no procede pronunciarse en el sentido que se expone, y, en cuanto, a que se falta al principio constitucional de igualdad ante la ley, a continuación se razonará que, tampoco existe, de ahí su falta de contenido en la demanda y la inadmisibilidad del recurso. </w:t>
      </w:r>
    </w:p>
    <w:p w:rsidR="00FE0907" w:rsidRDefault="00FE0907" w:rsidP="00FE0907">
      <w:pPr>
        <w:pStyle w:val="TextoNormal"/>
      </w:pPr>
      <w:r>
        <w:lastRenderedPageBreak/>
        <w:t xml:space="preserve">c) El único motivo del recurso de amparo que se impugna, denuncia violación del derecho fundamental a la igualdad ante la Ley y no discriminación ante la misma, que consagra el art.14 de la actual Constitución española, y, como dice, precisamente, esta Sala, en su STC 67/1982, el principio de igualdad no implica en todos los casos un tratamiento legal igual con abstracción de cualquier elemento diferenciador de relevancia jurídica, y que este desigual tratamiento legal tiene como límite la arbitrariedad, causa de discriminación, es decir, la falta de una justificación objetiva y razonable. </w:t>
      </w:r>
    </w:p>
    <w:p w:rsidR="00FE0907" w:rsidRDefault="00FE0907" w:rsidP="00FE0907">
      <w:pPr>
        <w:pStyle w:val="TextoNormal"/>
      </w:pPr>
      <w:r>
        <w:t xml:space="preserve">Si el art. 3 del Real Decreto 1.245/1979, de 25 de mayo, como continuación a lo dispuesto en el Real Decreto 2.530/1970, de 20 de agosto, establece que los tipos de cotización de los distintos Regímenes que integran el sistema de la Seguridad Social "serán únicos y no se fraccionarán", con determinadas excepciones, entre las que no está la asistencia sanitaria, por lo que las pretensiones del hoy recurrente ni pueden ser atendidas ni el trato que supone, no es arbitrario, ni supone discriminación alguna, en cuanto existe la justificación objetiva y razonable de una norma que lo impone, por lo que en la vía jurisdiccional se confirmó lo que administrativamente se hizo y, en definitiva, en el fallo del entonces Tribunal Central de Trabajo, que, confirma, lo actuado no supone la desigualdad que se alega, interpretando y aplicando, lo que por solidaridad se fijó sobre la base del mismo tratamiento legal para todos, por lo que al no existir la infracción que se denuncia el amparo solicitado ha de ser denegado. </w:t>
      </w:r>
    </w:p>
    <w:p w:rsidR="00FE0907" w:rsidRDefault="00FE0907" w:rsidP="00FE0907">
      <w:pPr>
        <w:pStyle w:val="TextoNormal"/>
      </w:pPr>
      <w:r>
        <w:t>Con independencia de todo ello, el objeto de la litis es una cuestión de cotización y devolución de cuotas, esto es, tratar de dilucidar sobre los medios o recursos del Sistema de la Seguridad Social, cuyo Reglamento de Recaudación, aprobado por Real Decreto 716/1986, de 7 de marzo, atribuye la competencia sobre las mismas a los Tribunales de la Jurisdicción Contencioso Administrativa, por lo que, según suplica el demandante en este recurso de amparo en los núms. 3 y 4 del suplico de la demanda, esta Sala entrase a conocer del fondo del asunto, sin permanecer en el criterio que no es este Tribunal Constitucional una tercera instancia, había de declarar nulo lo actuado en Juzgados y Tribunales de lo Social.</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Ministerio Fiscal solicitó que se otorgue el amparo por lesión del derecho fundamental que sirve de apoyo a la demanda, formulando a tal efecto las siguientes consideraciones: </w:t>
      </w:r>
    </w:p>
    <w:p w:rsidR="00FE0907" w:rsidRDefault="00FE0907" w:rsidP="00FE0907">
      <w:pPr>
        <w:pStyle w:val="TextoNormal"/>
      </w:pPr>
      <w:r>
        <w:t xml:space="preserve">Comienza por reproducir las alegaciones del demandante y señalar que el Tribunal Central de Trabajo rechaza la pretensión ejercitada por el mismo con base en que "en ningún supuesto de afiliación y cotización obligatoria en más de un Régimen de la Seguridad Social se hace abstracción del porcentaje por contingencias o prestaciones coincidentes, lo que responde al principio de solidaridad propio del sistema de la Seguridad Social". </w:t>
      </w:r>
    </w:p>
    <w:p w:rsidR="00FE0907" w:rsidRDefault="00FE0907" w:rsidP="00FE0907">
      <w:pPr>
        <w:pStyle w:val="TextoNormal"/>
      </w:pPr>
      <w:r>
        <w:t>Y a continuación, después de transcribir parcialmente doctrina contenida en las SSTC 8/1983 y 103/1983, sostiene que el argumento empleado por el Tribunal Central para negar la reducción del tipo de cotización pretendida por el demandante, aunque se apoya en una falta expresa de regulación legal (art. 3 R.D. 1.245/1979), no alcanza fundamento racional que lo justifique, puesto que la existencia de un Régimen General y otros Especiales no impide que, en nuestro sistema normativo, se hable de "tendencia a la unidad y a la homogeneidad" y, por lo tanto, si el art. 217 de la LGSS declara al Régimen General supletorio de los Especiales, no se encuentra explicación, ni tampoco en justicia, que reconociéndose en el general la reducción de cotizaciones, no se admita ésta cuando la concurrencia de prestaciones se produce en distintos Regímenes. En definitiva, se trata de no cotizar dos veces por la misma prestación, lo cual no parece tampoco que pueda justificar</w:t>
      </w:r>
      <w:r>
        <w:lastRenderedPageBreak/>
        <w:t xml:space="preserve">se a través de la solidaridad del sistema financiero de la Seguridad social, que en nada se vería afectado por la aceptación de la reducción solicitada. </w:t>
      </w:r>
    </w:p>
    <w:p w:rsidR="00FE0907" w:rsidRDefault="00FE0907" w:rsidP="00FE0907">
      <w:pPr>
        <w:pStyle w:val="TextoNormal"/>
      </w:pPr>
      <w:r>
        <w:t>Termina el Ministerio Fiscal afirmando que, por todo ello, la diferencia parece discriminatoria y lesiva del derecho del art. 14 de la Constitución y que, en su consecuencia, el asunto rebasa la simple diferencia entre Regímenes de la Seguridad Social, que podría constituir una cuestión de legalidad ordinaria, para adentrarse en el tratamiento distinto de una misma cuestión.</w:t>
      </w:r>
    </w:p>
    <w:p w:rsidR="00FE0907" w:rsidRDefault="00FE0907" w:rsidP="00FE0907">
      <w:pPr>
        <w:pStyle w:val="TextoNormal"/>
      </w:pPr>
    </w:p>
    <w:p w:rsidR="00FE0907" w:rsidRDefault="00FE0907" w:rsidP="00FE0907">
      <w:pPr>
        <w:pStyle w:val="TextoNormal"/>
      </w:pPr>
      <w:r w:rsidRPr="00FE0907">
        <w:rPr>
          <w:rStyle w:val="NumeroAFNegritaCaracter"/>
        </w:rPr>
        <w:t>9</w:t>
      </w:r>
      <w:r>
        <w:t>. El 26 de febrero de 1990 se acordó no haber lugar al recibimiento del procedimiento a prueba,por no estimarse necesaria para la resolución del amparo y el 12 de marzo se acordó señalar para deliberación y votación el día 25 de marzo de siguiente, quedando concluída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problema de igualdad que se plantea en este recurso arranca, sustancialmente, del sistema de cotización que se aplica a las personas que desempeñan en dos o más empresas distintas actividades que dan lugar, todas ellas, a su inclusión en el Régimen General de la Seguridad Social, los cuales, en la tesis de la demanda de amparo, pagan una sola vez por la contingencia de asistencia sanitaria, en virtud del sistema de prorrateo y límite máximo de cotización que les concede la legislación de Seguridad Social.</w:t>
      </w:r>
    </w:p>
    <w:p w:rsidR="00FE0907" w:rsidRDefault="00FE0907" w:rsidP="00FE0907">
      <w:pPr>
        <w:pStyle w:val="TextoNormal"/>
      </w:pPr>
      <w:r>
        <w:t>Compara el recurrente esa situación con la suya propia, trabajador que ejerce dos actividades -agente libre de seguros y empleado en empresa ajena-,que determina su inclusión en dos regímenes distintos- el Especial de Trabajadores Autónomos (RETA) y el General , (RGSS),- con la consecuencia de que, a partir de la entrada en vigor del R. D. 43/1984, de 4 de enero - que convirtió de mejora voluntaria en obligatoria la cobertura de la asistencia sanitaria-, tiene que cotizar dos veces por esta contingencia, que es, por su propia naturaleza, de prestación única.</w:t>
      </w:r>
    </w:p>
    <w:p w:rsidR="00FE0907" w:rsidRDefault="00FE0907" w:rsidP="00FE0907">
      <w:pPr>
        <w:pStyle w:val="TextoNormal"/>
      </w:pPr>
      <w:r>
        <w:t>Partiendo de esa comparación, sostiene que tiene derecho a que se le reduzca, de la cuota que cotiza al RETA, la fracción correspondiente a la prestación de asistencia sanitaria, puesto que el citado R.D.43/1984 debe interpretarse en tal sentido, por así imponerlo el contexto de las normas básicas de cotización a la Seguridad Social, la definición de Caja Unica del Sistema Nacional de dicha Seguridad y la tendencia a la homogeneización del Regímen Especial con el General.</w:t>
      </w:r>
    </w:p>
    <w:p w:rsidR="00FE0907" w:rsidRDefault="00FE0907" w:rsidP="00FE0907">
      <w:pPr>
        <w:pStyle w:val="TextoNormal"/>
      </w:pPr>
      <w:r>
        <w:t>Concluye el demandante su razonamiento afirmando que, al no haberlo entendido así la Tesorería General de la Seguridad Social y el Tribunal Central de Trabajo, que se denegaron el derecho a esa reducción incurren en interpretación discriminatoria del referido Real Decreto, prohibida por el art. 14 de la Constitución.</w:t>
      </w:r>
    </w:p>
    <w:p w:rsidR="00FE0907" w:rsidRDefault="00FE0907" w:rsidP="00FE0907">
      <w:pPr>
        <w:pStyle w:val="TextoNormal"/>
      </w:pPr>
      <w:r>
        <w:t>El Ministerio Fiscal, en apoyo de dicha pretensión, solicita la concesión del amparo por entender que la Sentencia objeto del recurso incurre en una diferencia de trato que no encuentra justificación razonable en el principio de solidaridad del sistema financiero de la Seguridad Social, que utiliza el Tribunal Central para confirmar la resolución administrativa, denegatoria de la deducción reclamada.</w:t>
      </w:r>
    </w:p>
    <w:p w:rsidR="00FE0907" w:rsidRDefault="00FE0907" w:rsidP="00FE0907">
      <w:pPr>
        <w:pStyle w:val="TextoNormal"/>
      </w:pPr>
      <w:r>
        <w:t>Delimitada la pretensión de amparo en la forma que se deja expuesta, y atendiendo a los términos en que se formula, nuestro enjuiciamiento, que desarrollaremos por separado en los siguientes fundamentos jurídicos, debe versar sobre los temas siguientes:</w:t>
      </w:r>
    </w:p>
    <w:p w:rsidR="00FE0907" w:rsidRDefault="00FE0907" w:rsidP="00FE0907">
      <w:pPr>
        <w:pStyle w:val="TextoNormal"/>
      </w:pPr>
      <w:r>
        <w:lastRenderedPageBreak/>
        <w:t>a) clase de recurso de amparo que se interpone; b) modalidad del principio de igualdad que se estime vulnerado;c) objeciones de inadmisibilidad alegadas por la Tesorería General demandada; d) transcendencia constitucional de la denuncia formulada; e) revisión del juicio de igualdad de los supuestos comparados, realizado por el demandante; f) comprobación de la realidad de la diferencia de trato;g) justificación, en su caso, de la desigualdad, y h) contradicción de la sentencia recurrida con otras resoluciones judiciales.</w:t>
      </w:r>
    </w:p>
    <w:p w:rsidR="00FE0907" w:rsidRDefault="00FE0907" w:rsidP="00FE0907">
      <w:pPr>
        <w:pStyle w:val="TextoNormal"/>
      </w:pPr>
    </w:p>
    <w:p w:rsidR="00FE0907" w:rsidRDefault="00FE0907" w:rsidP="00FE0907">
      <w:pPr>
        <w:pStyle w:val="TextoNormal"/>
      </w:pPr>
      <w:r w:rsidRPr="00FE0907">
        <w:rPr>
          <w:rStyle w:val="NumeroAFNegritaCaracter"/>
        </w:rPr>
        <w:t>2</w:t>
      </w:r>
      <w:r>
        <w:t>. Aunque la demanda se dirige contra la Sentencia del Tribunal Central de Trabajo, la denuncia de lesión del principio de igualdad ante la Ley hay que entenderla dirigida contra la Resolución de la Tesorería General de la Seguridad Social, puesto que la Sentencia no es objeto de impugnación autónoma, sino que se recurre solamente por ser confirmatoria de esa resolución administrativa y, por tanto, dicha Sentencia constituye, en esta via constitucional, la culminación del proceso judicial previo, no teniendo otro significado que el puramente formal de satisfacer la exigencia que, en este aspecto, impone el art. 43.1 de la LOTC; razón que nos conduce a establecer que el marco procesal del recurso de amparo no puede ser otro que el establecido en este precepto legal.</w:t>
      </w:r>
    </w:p>
    <w:p w:rsidR="00FE0907" w:rsidRDefault="00FE0907" w:rsidP="00FE0907">
      <w:pPr>
        <w:pStyle w:val="TextoNormal"/>
      </w:pPr>
      <w:r>
        <w:t>Sin embargo, ello no supone, que de entrar en el fondo del asunto, excluyamos de nuestra consideración las razones que han llevado al Tribunal Central a confirmar la decisión administrativa, puesto que nuestra función consiste en comprobar, en el caso de apreciar desigualdad de trato, si concurre justificación objetiva y razonada de la diferencia y, a tal efecto, deben ponderarse tanto la fundamentación de la resolución de la Tesorería como la de la Sentencia.</w:t>
      </w:r>
    </w:p>
    <w:p w:rsidR="00FE0907" w:rsidRDefault="00FE0907" w:rsidP="00FE0907">
      <w:pPr>
        <w:pStyle w:val="TextoNormal"/>
      </w:pPr>
    </w:p>
    <w:p w:rsidR="00FE0907" w:rsidRDefault="00FE0907" w:rsidP="00FE0907">
      <w:pPr>
        <w:pStyle w:val="TextoNormal"/>
      </w:pPr>
      <w:r w:rsidRPr="00FE0907">
        <w:rPr>
          <w:rStyle w:val="NumeroAFNegritaCaracter"/>
        </w:rPr>
        <w:t>3</w:t>
      </w:r>
      <w:r>
        <w:t>. El demandante no especifica, de modo claro y expreso, cual es la modalidad del principio de igualdad ante la Ley a la que se refiere su amparo, incurriendo en una indeterminación que, en una primera lectura, pudiera proyectar duda sobre si la denuncia de vulneración se reprocha al ordenamiento regulador de la cotización a la Seguridad Social y, más en concreto, al Real Decreto 43/1984 - igualdad en la Ley - o a la aplicación que de esta normativa han hecho la Tesorería General y el Tribunal Central - igualdad en la aplicación de la Ley-.</w:t>
      </w:r>
    </w:p>
    <w:p w:rsidR="00FE0907" w:rsidRDefault="00FE0907" w:rsidP="00FE0907">
      <w:pPr>
        <w:pStyle w:val="TextoNormal"/>
      </w:pPr>
      <w:r>
        <w:t>A pesar de ello, según dejamos anteriormente señalado, no puede abrigarse vacilación alguna acerca de que lo invocado es está última modalidad del principio, pues así lo evidencian frases de la demanda, tales como "la conducta de la Tesorería demandada, recogida en la sentencia del TCT, entraña discriminación para el actor" y " al no haberlo entendido así el TCT en su Sentencia, es claro que ha vulnerado el derecho a la igualdad ante la Ley, consagrado en el art. 14 de nuestra Carta Magna".</w:t>
      </w:r>
    </w:p>
    <w:p w:rsidR="00FE0907" w:rsidRDefault="00FE0907" w:rsidP="00FE0907">
      <w:pPr>
        <w:pStyle w:val="TextoNormal"/>
      </w:pPr>
      <w:r>
        <w:t>Por otro lado, para disipar toda duda en la demanda se alude, por cierto de manera generalizada y notoriamente marginal, a supuestos similares en que se han adoptado soluciones armonizadoras, contrarias a la que es objeto del recurso y ello sitúa claramente el problema en el campo de la igualdad en la aplicación de la Ley.</w:t>
      </w:r>
    </w:p>
    <w:p w:rsidR="00FE0907" w:rsidRDefault="00FE0907" w:rsidP="00FE0907">
      <w:pPr>
        <w:pStyle w:val="TextoNormal"/>
      </w:pPr>
    </w:p>
    <w:p w:rsidR="00FE0907" w:rsidRDefault="00FE0907" w:rsidP="00FE0907">
      <w:pPr>
        <w:pStyle w:val="TextoNormal"/>
      </w:pPr>
      <w:r w:rsidRPr="00FE0907">
        <w:rPr>
          <w:rStyle w:val="NumeroAFNegritaCaracter"/>
        </w:rPr>
        <w:t>4</w:t>
      </w:r>
      <w:r>
        <w:t>. La Secretaria General demandada, de forma imprecisa y a veces de difícil comprensión, alega las causas de inadmisibilidad previstas en el art. 50.1a) en relación con el 44.1c), y en el 50.1c) de la LOTC, que pasamos a examinar en los apartados siguientes:</w:t>
      </w:r>
    </w:p>
    <w:p w:rsidR="00FE0907" w:rsidRDefault="00FE0907" w:rsidP="00FE0907">
      <w:pPr>
        <w:pStyle w:val="TextoNormal"/>
      </w:pPr>
      <w:r>
        <w:t xml:space="preserve">a) la primera de dichas causas se funda en el razonamiento de que el solicitante de amparo no advirtió infracción de ningún precepto constitucional frente a la providencia de la </w:t>
      </w:r>
      <w:r>
        <w:lastRenderedPageBreak/>
        <w:t>Magistratura de Trabajo que rechazó el recurso de reposición, interpuesto por el mismo contra la admisión de la suplicación promovida por la Tesorería General.</w:t>
      </w:r>
    </w:p>
    <w:p w:rsidR="00FE0907" w:rsidRDefault="00FE0907" w:rsidP="00FE0907">
      <w:pPr>
        <w:pStyle w:val="TextoNormal"/>
      </w:pPr>
      <w:r>
        <w:t>Desde luego no es fácil advertir en qué medida dicha providencia, pudo ocasionar al recurrente la vulneración de su derecho a la igualdad en la aplicación de la Ley, como así sería necesario que ocurriera para poder hablar de obligación de advertir dicha vulneración; pero, sea como fuere, lo cierto es que el fundamento esencial de la petición formulada a la Administración y de la pretensión ejercida ante la jurisdicción laboral consistió en recabar un tratamiento igual que el dispensado por la norma a un supuesto que se estima igual y ello equivale, materialmente, a plantear un problema de igualdad que permite a la jurisdicción advertir la dimensión constitucional del mismo y, por consiguiente, pronunciarse sobre él, lo cual satisface plenamente la previsión del art.  44.1c) de la LOTC -que es necesario entender reconducido a la que en igual sentido, establece el art.  43.1 de la misma Ley- máxime si se considera que en los fundamentos juridicos de la demanda laboral se cita expresamente el art.  14 de la Constitución, y</w:t>
      </w:r>
    </w:p>
    <w:p w:rsidR="00FE0907" w:rsidRDefault="00FE0907" w:rsidP="00FE0907">
      <w:pPr>
        <w:pStyle w:val="TextoNormal"/>
      </w:pPr>
      <w:r>
        <w:t>b) En apoyo de la segunda causa de inadmisibilidad se alega que la petición subsidiaria que se formula en el núm. 4 del suplico de la demanda - reconocimiento del derecho a ser eximido de la obligación de cotizar por la fracción de cuota correspondiente a la contingencia de asistencia Sanitaria - no cumple con la exigencia del art. 85.1 de la LOTC de fijar" con claridad y precisión lo que se pide", por exceder dicha petición de la competencia de este Tribunal.</w:t>
      </w:r>
    </w:p>
    <w:p w:rsidR="00FE0907" w:rsidRDefault="00FE0907" w:rsidP="00FE0907">
      <w:pPr>
        <w:pStyle w:val="TextoNormal"/>
      </w:pPr>
      <w:r>
        <w:t>En esta alegación se confunden dos temas completamente distintos: el que hace referencia a los pronunciamientos que el Tribunal Constitucional puede y debe hacer cuando decide otorgar el amparo, el cual sólo adquiere virtualidad, como es obvio, en el supuesto de que efectivamente lo otorgue y el relativo a la inadmisión del recurso de amparo por adolecer la demanda de falta manifiesta de contenido constitucional, que es únicamente alegable en el trámite previo del art. 50.3 de la LOTC, puesto que, una vez superado este trámite, dicha falta de contenido constitucional de la demanda, sea o no manifiesta, pasa a constituir la cuestión de fondo, tan sólo susceptible de desestimación fundada en razones sustantivas, pero no de rechazo formal por motivos procesales.</w:t>
      </w:r>
    </w:p>
    <w:p w:rsidR="00FE0907" w:rsidRDefault="00FE0907" w:rsidP="00FE0907">
      <w:pPr>
        <w:pStyle w:val="TextoNormal"/>
      </w:pPr>
    </w:p>
    <w:p w:rsidR="00FE0907" w:rsidRDefault="00FE0907" w:rsidP="00FE0907">
      <w:pPr>
        <w:pStyle w:val="TextoNormal"/>
      </w:pPr>
      <w:r w:rsidRPr="00FE0907">
        <w:rPr>
          <w:rStyle w:val="NumeroAFNegritaCaracter"/>
        </w:rPr>
        <w:t>5</w:t>
      </w:r>
      <w:r>
        <w:t>. Teniendo en cuenta los términos ya establecidos en que el demandante de amparo construye su pretensión de amparo, bien podemos afirmar que lo realmente pretendido es que sustituyamos la interpretación y aplicación que de las normas reguladoras de la cotización a la Seguridad Social ha hecho la Administración y la jurisdicción laboral- que el recurrente califica, de discriminatoria-, por la que éste considera ser la única conforme con el principio de igualdad ante la Ley, planteando, por consiguiente, un problema que, en esencia consiste en discrepar de la aplicación judicial de normas de legalidad ordinaria y ello hace explicable que la Tesorería demandada sostenga que se trata de una cuestión que pertenece exclusivamente a la jurisdicción de los Jueces y Tribunales y en la que el Tribunal Constitucional no debe entrar por no ser el recurso de amparo una tercera instancia.</w:t>
      </w:r>
    </w:p>
    <w:p w:rsidR="00FE0907" w:rsidRDefault="00FE0907" w:rsidP="00FE0907">
      <w:pPr>
        <w:pStyle w:val="TextoNormal"/>
      </w:pPr>
      <w:r>
        <w:t>Aunque en una primera consideración del tema pudiera en efecto entenderse que nos hallamos ante un problema de legalidad ordinaria, carente de relevancia constitucional, debe sin embargo convenirse en que ello no es así, puesto que la doctrina constitucional, representada, entre otras, por la SSTC 19/1983, 109/1988, 253/1988, 253/1988 y 103/1990, ha establecido, de un lado, que la jurisdicción exclusiva que confiere el art.  117.3 de la Constitución a los órganos judiciales no impide que el Tribunal Constitucional deba revisar la interpretación judicial de las leyes, cuando de ella puedan resultar afectados derechos fundamentales y libertades publicas, pues en tal caso la interpretación y apli</w:t>
      </w:r>
      <w:r>
        <w:lastRenderedPageBreak/>
        <w:t>cación de la norma adquiere relevancia constitucional y, de otro lado, que el principio de igualdad puede resultar vulnerado, cuando los Jueces y Tribunales apliquen las normas jurídicas con un criterio interpretativo que produzca o no corrija trato discriminatorio en relación con otras situaciones válidamente comparables y además la norma a aplicar sea susceptible de distinta interpretación que, siendo admisible en derecho, conduzca a eliminar la desigualdad injustificada que, en otro caso, se produciría.</w:t>
      </w:r>
    </w:p>
    <w:p w:rsidR="00FE0907" w:rsidRDefault="00FE0907" w:rsidP="00FE0907">
      <w:pPr>
        <w:pStyle w:val="TextoNormal"/>
      </w:pPr>
    </w:p>
    <w:p w:rsidR="00FE0907" w:rsidRDefault="00FE0907" w:rsidP="00FE0907">
      <w:pPr>
        <w:pStyle w:val="TextoNormal"/>
      </w:pPr>
      <w:r w:rsidRPr="00FE0907">
        <w:rPr>
          <w:rStyle w:val="NumeroAFNegritaCaracter"/>
        </w:rPr>
        <w:t>6</w:t>
      </w:r>
      <w:r>
        <w:t>. El juicio comparativo establecido en la demanda se realiza entre los trabajadores que ejercen varias actividades laborales, sometidas todas ellas al Régimen General de la Seguridad Social y aquellos otros que, en virtud de sus diversas actividades, resultan incluidos a la vez, en el Régimen General y en el Especial de Trabajadores Autónomos.</w:t>
      </w:r>
    </w:p>
    <w:p w:rsidR="00FE0907" w:rsidRDefault="00FE0907" w:rsidP="00FE0907">
      <w:pPr>
        <w:pStyle w:val="TextoNormal"/>
      </w:pPr>
      <w:r>
        <w:t>El demandante reconoce que existe diferencia entre ambos supuestos, pero minimiza tal circunstancia, sosteniendo que debe superarse mediante el empleo de los criterios de interpretación sistemática que propone.</w:t>
      </w:r>
    </w:p>
    <w:p w:rsidR="00FE0907" w:rsidRDefault="00FE0907" w:rsidP="00FE0907">
      <w:pPr>
        <w:pStyle w:val="TextoNormal"/>
      </w:pPr>
      <w:r>
        <w:t>Debemos, en contra de esa tesis, rechazar ese intento de equiparación, puesto que una cosa es el "pluriempleo", que da lugar a cotización en el Régimen General y viene contemplada en el art. 74.2 de la Ley General de Seguridad Social y 21.1 de la O.M de 28 de Diciembre de 1966 y otra bien distinta es la " pluriactividad " , que determina cotización en distintos Regímenes de la Seguridad Social -en el caso de autos, en el RGSS y en el RETA-, y que es una situación no prevista con carácter general en la Ley, pero admitido por la jurisprudencia del Tribunal Supremo (STS de 25 de abril 1975, entre otras) y, de manera específica, para los trabajadores del Régimen Especial Agrario, en el art.  2.3 del Decreto 3.722/1972, de 23 de diciembre, que aprueba su Reglamento General.</w:t>
      </w:r>
    </w:p>
    <w:p w:rsidR="00FE0907" w:rsidRDefault="00FE0907" w:rsidP="00FE0907">
      <w:pPr>
        <w:pStyle w:val="TextoNormal"/>
      </w:pPr>
      <w:r>
        <w:t>Se trata por lo tanto de situaciones claramente diferenciadas en el terreno de la legalidad, que no están sometidas a una normativa unitaria, actualmente inexistente, constituyendo supuestos distintos sometidos a regímenes jurídicos distintos, circunstancia ésta cuya incidencia examinaremos más adelante.</w:t>
      </w:r>
    </w:p>
    <w:p w:rsidR="00FE0907" w:rsidRDefault="00FE0907" w:rsidP="00FE0907">
      <w:pPr>
        <w:pStyle w:val="TextoNormal"/>
      </w:pPr>
      <w:r>
        <w:t>Por otro lado, la comparación que aporta el denuncian te esta deficientemente establecida, puesto que al régimen jurídico de la cotización de los "pluriempleados", regido por el sistema de prorrateo y topes máximos, se asienta en la relación que se establece entre las cuotas que devengan las distintas actividades laborales que aquellos realizan, mientras que el demandante, prescindiendo de los términos en que se manifiesta esa relación, la sustituye por otra bien distinta, como es la que existe entre la cotización y las contingencias que esta protege, presentándola como un vinculo singularizado y de rígida naturaleza contributiva, que no es posible aceptar, porque:</w:t>
      </w:r>
    </w:p>
    <w:p w:rsidR="00FE0907" w:rsidRDefault="00FE0907" w:rsidP="00FE0907">
      <w:pPr>
        <w:pStyle w:val="TextoNormal"/>
      </w:pPr>
      <w:r>
        <w:t>a) la relación entre cuota de cotización y contingencias protegidas es de naturaleza global, dominada por el principio de unidad, que no consiente en principio la fragmentación proporcional y particularizada de las contingencias que cubre, ni permite, por consiguiente, hablar de fracción de cuota correspondiente a la asistencia sanitaria o a cualquier otra prestación.  Salvo en los supuestos especificamente previstos en los que la cotización se mantiene separada, como por ejemplo ocurre con las prestaciones de desempleo, accidente de trabajo y enfermedad profesional a que se refiere el art. 3 del R.D. 1.245/1979 de 29 de mayo, y b) aunque en el estado actual de la doctrina la naturaleza jurídica de la cuota de la Seguridad Social es objeto de polémica, es innegable que el sistema de protección social, se ha ido separando progresivamente del esquema contributivo y acercándose, de forma cada vez más próxima al concepto de tributación en el que la existencia de la cuota no autoriza a exigir un determinado nivel de prestaciones, ni su cuantía a repercutir en el nivel o contenido de las mismas y, en tal sentido, es abundante la jurisprudencia constitu</w:t>
      </w:r>
      <w:r>
        <w:lastRenderedPageBreak/>
        <w:t>cional que niega a la cuota de cotización la cualidad de "prima de seguro" de la que se derive necesariamente el derecho a la prestación o pueda dejar de pagarse caso de inexistencia de ésta (SSTC 103/1983, 65/1987, 127/1987 y 189/1987).</w:t>
      </w:r>
    </w:p>
    <w:p w:rsidR="00FE0907" w:rsidRDefault="00FE0907" w:rsidP="00FE0907">
      <w:pPr>
        <w:pStyle w:val="TextoNormal"/>
      </w:pPr>
    </w:p>
    <w:p w:rsidR="00FE0907" w:rsidRDefault="00FE0907" w:rsidP="00FE0907">
      <w:pPr>
        <w:pStyle w:val="TextoNormal"/>
      </w:pPr>
      <w:r w:rsidRPr="00FE0907">
        <w:rPr>
          <w:rStyle w:val="NumeroAFNegritaCaracter"/>
        </w:rPr>
        <w:t>7</w:t>
      </w:r>
      <w:r>
        <w:t>. Tampoco puede aceptarse que exista la diferencia de trato que se denuncia, ya que, en el actual estado de la evolución de la Seguridad Social se cotiza lo mismo cuando la base de la cotización es materialmente idéntica, con indepen dencia de que la situación del afiliado sea de pluriempleo, pluriactividad o actividad única.</w:t>
      </w:r>
    </w:p>
    <w:p w:rsidR="00FE0907" w:rsidRDefault="00FE0907" w:rsidP="00FE0907">
      <w:pPr>
        <w:pStyle w:val="TextoNormal"/>
      </w:pPr>
      <w:r>
        <w:t>En efecto, las mínimas diferencias que pueden ocasionar el juego del tope máximo y del prorrateo, inexistentes en el supuesto de la pluriactividad -que pueden encontrar cierto genero de compensación en el margen de discrecionalidad que disfrutan los trabajadores autónomos en la determinación de la base de cotización-, tienen un carácter marginal que impide entender que el sistema en su conjunto sea lesivo al principio de igualdad (STC 70/1991), pues carecen de relevancia para negar que la práctica asimilación del sistema protector de los trabajadores autónomos al del Regimen General, realizado por el R.D. 46/1984, de 4 de enero, y sucesivos, ha comportado la igualación esencial del tipo de cotización, determinando que el fenómeno de la mayor cotización sin derecho a reducción por la doble cotización de asistencia sanitaria sea mera apariencia, y ello hace incomprensible la comparación en que se apoya el amparo a no ser que se reconduzca a términos históricos.</w:t>
      </w:r>
    </w:p>
    <w:p w:rsidR="00FE0907" w:rsidRDefault="00FE0907" w:rsidP="00FE0907">
      <w:pPr>
        <w:pStyle w:val="TextoNormal"/>
      </w:pPr>
      <w:r>
        <w:t>Lo que realmente pretende compararse es la situación que el demandante tenía antes de la entrada en vigor del R.D, 43/1984 -sobre cuya aplicación constituye su desenfocado juicio de desigualdad- en la que el trabajador autónomo pluriactivo podía ahorrar la cotización por asistencia sanitaria, entonces mejora voluntaria, y la posterior, en la que ya no es posible ese ahorro; es decir el demandante se está comparando consigo mismo, antes y después de un cambio normativo, pero ello no es cuestión de igualdad y, aunque lo fuese, las facultades del legislador justificarían suficientemente el distinto tratamiento (STC 88/1981).</w:t>
      </w:r>
    </w:p>
    <w:p w:rsidR="00FE0907" w:rsidRDefault="00FE0907" w:rsidP="00FE0907">
      <w:pPr>
        <w:pStyle w:val="TextoNormal"/>
      </w:pPr>
    </w:p>
    <w:p w:rsidR="00FE0907" w:rsidRDefault="00FE0907" w:rsidP="00FE0907">
      <w:pPr>
        <w:pStyle w:val="TextoNormal"/>
      </w:pPr>
      <w:r w:rsidRPr="00FE0907">
        <w:rPr>
          <w:rStyle w:val="NumeroAFNegritaCaracter"/>
        </w:rPr>
        <w:t>8</w:t>
      </w:r>
      <w:r>
        <w:t>. De las anteriores consideraciones se deriva que el principio de igualdad en la aplicación de la ley no se ha visto lesionado, ni afectado en forma alguna por la interpretación que el Tribunal Central, confirmando el de la Tesorería General de la Seguridad Social ha hecho del R.D.  43/1984, la cual no puede calificarse de discriminatoria, por no existir igualdad en los supuestos comparados, ni conducir a diferencia de trato injustificada entre ellos.</w:t>
      </w:r>
    </w:p>
    <w:p w:rsidR="00FE0907" w:rsidRDefault="00FE0907" w:rsidP="00FE0907">
      <w:pPr>
        <w:pStyle w:val="TextoNormal"/>
      </w:pPr>
      <w:r>
        <w:t>Pero es que, aun admitiendo la hipótesis contraria, se llegaría, en este aspecto del recurso, a la misma conclusión desestimatoria del mismo, puesto que, en tal caso, la diferencia de trato vendría justificada en razones objetivas, derivadas, por un lado, del hecho que los supuestos comparados vengan sometidos a regímenes jurídicos distintos y, de otro, de la mayor protección que confiere el régimen jurídico que rige la situación del demandante en relación con el que es utilizado como término de comparación.</w:t>
      </w:r>
    </w:p>
    <w:p w:rsidR="00FE0907" w:rsidRDefault="00FE0907" w:rsidP="00FE0907">
      <w:pPr>
        <w:pStyle w:val="TextoNormal"/>
      </w:pPr>
      <w:r>
        <w:t>Las diferencias de trato que se producen por aplicación de regímenes jurídicos distintos encuentran justificación, en el distinto ámbito objetivo y subjetivo que cada uno de ellos regulan (STC 137/1987) y, por tanto, también, en principio, la pertenencia a órdenes normativas distintas constituyen, por si misma, causa justificativa de la diferencia de trato.</w:t>
      </w:r>
    </w:p>
    <w:p w:rsidR="00FE0907" w:rsidRDefault="00FE0907" w:rsidP="00FE0907">
      <w:pPr>
        <w:pStyle w:val="TextoNormal"/>
      </w:pPr>
      <w:r>
        <w:t>Sin embargo, está doctrina no puede aplicarse de manera automática y sin más reflexión a todos los supuestos de confluencia o concurrencia de regímenes jurídicos distintos, pues ello sería tanto como dejar al arbitrio del legislador la eficacia del principio de igual</w:t>
      </w:r>
      <w:r>
        <w:lastRenderedPageBreak/>
        <w:t>dad cuya aplicación podría verse excluida por el simple procedimiento de crear sistemas legales diferentes que actuarían como justificación de tratamientos diferentes, aunque no concurriesen razones sustantivas que legitimaran su diferencia.</w:t>
      </w:r>
    </w:p>
    <w:p w:rsidR="00FE0907" w:rsidRDefault="00FE0907" w:rsidP="00FE0907">
      <w:pPr>
        <w:pStyle w:val="TextoNormal"/>
      </w:pPr>
      <w:r>
        <w:t>Por consiguiente, en tales supuestos debe irse más allá del dato puramente formal de la diversidad de ordenamientos jurídicos y comprobar si, efectivamente y desde una perspectiva material, esa diversidad responde a diferencias reales que, por ser objetivas, razonables y congruentes, constituyan suficiente justificación del tratamiento desigual, si bien debe advertirse que la aplicación del principio de igualdad, en caso de concurrencia de sistemas normativos distintos, presenta la especial peculiaridad de sufrir una especie de inversión en la carga alegatoria, en relación con las diferencias que se produzcan en el ámbito de un mismo régimen legal, puesto que en éste corresponde ofrecer la justificación de la diferencia al que defiende su constitucionalidad (STC 103/1983), mientras que, en el supuesto de personas o situaciones regidas por reglas distintas, corresponde al que alega la vulneración de la igualdad acreditar que la diferencia carece de justificación objetiva y razonable (STC 148/1990), lo cual equivale a entender que, en esos casos, el éxito del recurso de amparo depende de que el demandante acredite la falta de razonabilidad del trato igualitario que se denuncia, resultado que, en modo alguno y según veremos a continuación, puede estimarse conseguido.</w:t>
      </w:r>
    </w:p>
    <w:p w:rsidR="00FE0907" w:rsidRDefault="00FE0907" w:rsidP="00FE0907">
      <w:pPr>
        <w:pStyle w:val="TextoNormal"/>
      </w:pPr>
      <w:r>
        <w:t>No puede abrigarse duda alguna que, en una comparación global de los dos sistemas, las diferencias de regulación que la Ley establece entre situaciones sometidas al Régimen Especial de Trabajadores Autónomos y otras similares o semejantes comprendidas en el Regimen General responden a diferencias reales entre ambos colectivos que justifican esa distinta regulación legal y, por consiguiente, no suponen lesión del principio de igualdad, pues así lo ha declarado reiteradamente la doctrina constitucional, que ha consagrado la regla general de que las diferencias entre trabajadores autónomos y por cuenta ajena no son discriminatorias (AATC 78/1984, 122/1984, 460/1984 y 724/1984), en razón a que los distintos regímenes de Seguridad Social a que vienen respectivamente sometidos responden a " peculiaridades socio-económicas, laborales, productivas y de otra índole diferenciadora" (ATC 460/1984), , habiendo incluso hecho declaraciones, sobre el tema más concreto de la cotización que satisfacen una y otra clase de trabajadores que permiten, a contrario senso, afirmar aquí que la igualdad de cobertura del seguro social no es elemento suficiente para exigir igualdad en la cuota de cotización (SSTC 68/1982, 103/1983 y 121/1983).</w:t>
      </w:r>
    </w:p>
    <w:p w:rsidR="00FE0907" w:rsidRDefault="00FE0907" w:rsidP="00FE0907">
      <w:pPr>
        <w:pStyle w:val="TextoNormal"/>
      </w:pPr>
      <w:r>
        <w:t xml:space="preserve">En esta linea doctrinal, no es tampoco aceptable que esa exigencia de igualdad se considere constitucionalmente justificada con los argumentos de unidad de caja y homogeneización del Régimen Especial con el General. El primero entraría un erróneo entendimiento del concepto de unidad de caja, pues esta no es incompatible con la diversificación de cuotas, ni con el hecho de que las condiciones de financiación de dichos regímenes de Seguridad Social respondan a reglas distintas y esten ordenadas según sistemas diferentes en los que encuentran justificación las diferencias que pueden establecerse en orden a aspectos concretos de la cotización, como pueden ser la fijación de topes máximos, el prorrateo de la cotización e incluso la forma de fijación de sus bases, rígidamente predeterminada por el salario en el Régimen General y con un apreciable margen de maniobra de señalamiento en el Régimen Especial. El segundo, siendo cierto que existe tendencia a la unificación de los distintos regímenes de la seguridad social, olvida que la culminación de ese proceso, en la actualidad aún no consumado, es misión que corresponde realizar al legislador, dado que " el carácter público y la finalidad constitucionalmente reconocida del sistema de Seguridad Social supone que éste se configure como un régimen legal con el que, tanto las </w:t>
      </w:r>
      <w:r>
        <w:lastRenderedPageBreak/>
        <w:t>aportaciones de los afiliados, como las prestaciones a dispensar, sus niveles y condiciones, vienen determinadas, no por un acuerdo de voluntades sino por reglas que se integran en el ordenamiento jurídico" (STC 65/1987) y que el legislador establezca en atención al mas eficaz y adecuado funcionamiento del sistema; función legislativa en la que este Tribunal Constitucional no debe interferir con decisiones singularizadas que, careciendo de justificación constitucional, puedan alterar sustancialmente el sistema legal con grave peligro de producir perniciosos desequilibrios en la ordenación de ese complejo sector, resultando, por otro lado, contradictorio que se alegue la tendencia a la homogeneización frente a una disposición que, como es el R.D 43/1984, tiene el objetivo de contribuir al avance del proceso de homogeneización mediante medidas de igualación material del ámbito de protección.</w:t>
      </w:r>
    </w:p>
    <w:p w:rsidR="00FE0907" w:rsidRDefault="00FE0907" w:rsidP="00FE0907">
      <w:pPr>
        <w:pStyle w:val="TextoNormal"/>
      </w:pPr>
      <w:r>
        <w:t>A todo ello debemos añadir que es también elemento nada desdeñable a la hora de comprobar si existe justificación de la diferencia, el que la situación del "pluriactivo" , en la que se encuentra el demandante, suele llevar aparejada mayor protección que la disfrutada por el "pluriempleado" , puesto que, dejando a un lado las vacilaciones que, en la doctrina y la jurisprudencia, puedan producirse sobre la compatibilidad de las prestaciones derivadas de Regímenes de Seguridad Social distintos, la pluriactividad da lugar, en algunos casos, a prestaciones diferenciadas y compatibles, siendo así tradicionalmente admitido en las prestaciones por invalidez, circunstancia que sin duda ha llevado al demandante a excluir de su demanda la invalidez laboral permanente, que el R.D.  43/1984 incluye en paridad de condiciones con la asistencia sanitaria.  El mayor nivel de protección que disfruta el "pluriactivo"- en la que también podría incluirse el derecho a optar, en su caso, entre la prestación de asistencia sanitaria que dispensen distintas Entidades Gestoras-, es una razón más que, en una consideración global del sistema de Seguridad Social, coadyuva a justificar la supuesta diferencia denunciada por el demandante.</w:t>
      </w:r>
    </w:p>
    <w:p w:rsidR="00FE0907" w:rsidRDefault="00FE0907" w:rsidP="00FE0907">
      <w:pPr>
        <w:pStyle w:val="TextoNormal"/>
      </w:pPr>
    </w:p>
    <w:p w:rsidR="00FE0907" w:rsidRDefault="00FE0907" w:rsidP="00FE0907">
      <w:pPr>
        <w:pStyle w:val="TextoNormal"/>
      </w:pPr>
      <w:r w:rsidRPr="00FE0907">
        <w:rPr>
          <w:rStyle w:val="NumeroAFNegritaCaracter"/>
        </w:rPr>
        <w:t>9</w:t>
      </w:r>
      <w:r>
        <w:t>. De todo lo que antecede se obtiene la conclusión de que a interpretación y aplicación que del R.D.  43/1984 han hecho la Tesorería General de la Seguridad Social y el Tribunal Central de Trabajo, en modo alguno, puede estimarse lesión del principio de igualdad, ya que de éste no se deriva que la Administración primero y después la jurisdicción laboral estén inexcusablemente obligados a aplicar dicho Real Decreto en el sentido de que concede al demandante derecho a que su cuota de cotización al Régimen Especial de trabajadores Autónomos se deduzca la fracción correspondiente a la contingencia de asistencia sanitaria, sino todo lo contrario, como así declara de manera razonable la sentencia impugnada</w:t>
      </w:r>
    </w:p>
    <w:p w:rsidR="00FE0907" w:rsidRDefault="00FE0907" w:rsidP="00FE0907">
      <w:pPr>
        <w:pStyle w:val="TextoNormal"/>
      </w:pPr>
      <w:r>
        <w:t>Es obligado, en consecuencia denegar el amparo solicitado, ya que tampoco puede concederse relevancia constitucional desde la perspectiva del principio de igualdad en la aplicación de la ley, la afirmación, pasajera y marginal, que la demanda de amparo hace en el sentido de que "en supuestos similares, se han adoptado soluciones armonizadoras", en cuanto que tal afirmación carece de desarrollo alguno y es formulada en unos términos de tal generalidad e indeterminación, que la hacen totalmente infundada, por no venir respaldada con la aportación de sentencias concretas, dictadas por el mismo Tribunal que sean contradictorias con la aquí recurrida.</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don Juan Estallo Bartroli.</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3" w:name="SENTENCIA_1992_40"/>
      <w:r>
        <w:lastRenderedPageBreak/>
        <w:t>SENTENCIA 40/1992, de 30 de marzo de 1992</w:t>
      </w:r>
    </w:p>
    <w:bookmarkEnd w:id="43"/>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ECLI:ES:TC:1992:40</w:t>
      </w:r>
    </w:p>
    <w:p w:rsidR="00FE0907" w:rsidRDefault="00FE0907" w:rsidP="00FE0907">
      <w:pPr>
        <w:pStyle w:val="SntesisDescriptiva"/>
      </w:pPr>
    </w:p>
    <w:p w:rsidR="00FE0907" w:rsidRDefault="00FE0907" w:rsidP="00FE0907">
      <w:pPr>
        <w:pStyle w:val="SntesisDescriptiva"/>
      </w:pPr>
      <w:r>
        <w:t>Recurso de amparo 1.306/1989. Contra Sentencia del Tribunal Supremo recaída en procedimiento seguido con arreglo a la L.O. 1/1982.Supuesta vulneración del derecho al honor: posición preferente del derecho a la información</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Se reitera doctrina anterior según la cual «la función de este Tribunal Constitucional en los recursos de amparo interpuestos a consecuencia de conflicto entre el derecho de información y los derechos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a los utilizados por la jurisdicción ordinaria, que no vinculan a este Tribunal, ni reduce su jurisdicción a la simple revisión de la motivación de la Sentencia judicial (STC 172/1990) [F.J. 1].</w:t>
      </w:r>
    </w:p>
    <w:p w:rsidR="00FE0907" w:rsidRDefault="00FE0907" w:rsidP="00FE0907">
      <w:pPr>
        <w:pStyle w:val="Extracto"/>
      </w:pPr>
    </w:p>
    <w:p w:rsidR="00FE0907" w:rsidRDefault="00FE0907" w:rsidP="00FE0907">
      <w:pPr>
        <w:pStyle w:val="Extracto"/>
      </w:pPr>
      <w:r>
        <w:t>2.</w:t>
      </w:r>
      <w:r>
        <w:tab/>
        <w:t>La citada tarea de ponderación ha de llevarse a cabo teniendo en cuenta la posición prevalente, que no jerárquica o absoluta, que sobre los derechos denominados de la personalidad del art. 18 C.E. ostenta el derecho a la libertad de información del art. 20. 1 d) C.E., en función de su doble carácter de libertad individual y de garantía institucional de una opinión pública libre, afirmada reiteradamente por la doctrina de este Tribunal desde la STC 104/1986, siempre que la información transmitida sea veraz y esté referida a asuntos de relevancia pública que son del interés general por las materias a que se refieren y por las personas que en ellos intervienen (SSTC 107/1988, 171/1990 y 172/1990) [F.J. 1].</w:t>
      </w:r>
    </w:p>
    <w:p w:rsidR="00FE0907" w:rsidRDefault="00FE0907" w:rsidP="00FE0907">
      <w:pPr>
        <w:pStyle w:val="Extracto"/>
      </w:pPr>
    </w:p>
    <w:p w:rsidR="00FE0907" w:rsidRDefault="00FE0907" w:rsidP="00FE0907">
      <w:pPr>
        <w:pStyle w:val="Extracto"/>
      </w:pPr>
      <w:r>
        <w:t>3.</w:t>
      </w:r>
      <w:r>
        <w:tab/>
        <w:t>En aquellos casos que se trata no sólo de dar una información sino también de servir de soporte a una noticia u opinión manifestada por terceras personas, no cabe desconocer el hecho de la rectificación posterior de la información emitida en ese contexto, que resultaba ser incompleta. Y, si bien el derecho a la rectificación de la información no suplanta, ni, por tanto, inhabilita ya, por innecesaria, la debida protección al derecho del honor, sí la atenúa, pues constituye el mecanismo idóneo para reparar lo que sólo por omisión de los hechos relatados pudiera constituir intromisión en el derecho al honor imputable a quien sirve de soporte o vehículo para la difusión pública de tales hechos ( STC 35/1983) [F.J. 2].</w:t>
      </w:r>
    </w:p>
    <w:p w:rsidR="00FE0907" w:rsidRDefault="00FE0907" w:rsidP="00FE0907">
      <w:pPr>
        <w:pStyle w:val="Extracto"/>
      </w:pPr>
    </w:p>
    <w:p w:rsidR="00FE0907" w:rsidRDefault="00FE0907" w:rsidP="00FE0907">
      <w:pPr>
        <w:pStyle w:val="Extracto"/>
      </w:pPr>
      <w:r>
        <w:lastRenderedPageBreak/>
        <w:t>4.</w:t>
      </w:r>
      <w:r>
        <w:tab/>
        <w:t>Conviene precisar que no son necesariamente lo mismo, desde la perspectiva de la protección constitucional, el honor de la persona y su prestigio profesional, distinción que, pese a sus contornos no siempre fáciles de deslindar en los casos de la vida real, no permite confundir, sin embargo, lo que constituye simple crítica a la pericia de un profesional en el ejercicio de una actividad con un atentado o lesión a su honor y honorabilidad personal [F.J. 3].</w:t>
      </w:r>
    </w:p>
    <w:p w:rsidR="00FE0907" w:rsidRDefault="00FE0907" w:rsidP="00FE0907">
      <w:pPr>
        <w:pStyle w:val="Extracto"/>
      </w:pPr>
    </w:p>
    <w:p w:rsidR="00FE0907" w:rsidRDefault="00FE0907" w:rsidP="00FE0907">
      <w:pPr>
        <w:pStyle w:val="Extracto"/>
      </w:pPr>
      <w:r>
        <w:t>5.</w:t>
      </w:r>
      <w:r>
        <w:tab/>
        <w:t>Ello no puede llevarnos a negar rotundamente, como se hace en la Sentencia del Tribunal Supremo impugnada,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se hace esa divulgación la hagan desmerecer en la consideración ajena de su dignidad como persona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1.306/89, interpuesto por el Procurador don Jesús Verdasco Triguero, en nombre y representación de don Emilio Palazuelos Fernández, Abogado en ejercicio, contra las Sentencias de la Sala Primera del Tribunal Supremo de 16 de junio de 1989 y del Juzgado de Primera Instancia núm. 26 de los de Madrid de 15 de octubre de 1987. Han sido partes Televisión Española, S.A., representada por el Procurador don Luis Pozas Granero y asistida del Letrado Sr. León Abadia, y el Ministerio Fiscal. Ha sido Ponente don Alvaro Rodríguez Bereijo,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que tuvo entrada en el Registro General de este Tribunal el día 7 de julio de 1989, don Jesús Verdasco Triguero, Procurador de los Tribunales y de don Emilio Palazuelos Fernández, Abogado en ejercicio, interpuso recurso de amparo contra la Sentencia de la Sala Primera del Tribunal Supremo de 16 de junio de 1989, recaída en el procedimiento seguido con arreglo a la Ley Orgánica de Protección al Honor, a la Intimidad Personal y a la Propia Imagen de 5 de mayo de 1982, por vulnerar el art. 18.1 de la Constitución en cuanto garante del derecho al honor.</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2</w:t>
      </w:r>
      <w:r>
        <w:t xml:space="preserve">. Los hechos de los que trae causa la demanda de amparo son los siguientes: </w:t>
      </w:r>
    </w:p>
    <w:p w:rsidR="00FE0907" w:rsidRDefault="00FE0907" w:rsidP="00FE0907">
      <w:pPr>
        <w:pStyle w:val="TextoNormal"/>
      </w:pPr>
      <w:r>
        <w:t xml:space="preserve">a) El recurrente en amparo, Abogado en ejercicio del Ilustre Colegio de Madrid, interpuso demanda de protección al honor como consecuencia de un reportaje emitido por Televisión Española, S.A. el día 20 de septiembre de 1986 titulado "Justicia Pequeña, Gran corrupción" dentro del espacio "Informe Semanal". </w:t>
      </w:r>
    </w:p>
    <w:p w:rsidR="00FE0907" w:rsidRDefault="00FE0907" w:rsidP="00FE0907">
      <w:pPr>
        <w:pStyle w:val="TextoNormal"/>
      </w:pPr>
      <w:r>
        <w:t xml:space="preserve">Admitida a trámite la demanda, con fecha 15 de octubre de 1987, el Juzgado de Primera Instancia núm. 26 de los de Madrid dictó Sentencia desestimando la demanda. </w:t>
      </w:r>
    </w:p>
    <w:p w:rsidR="00FE0907" w:rsidRDefault="00FE0907" w:rsidP="00FE0907">
      <w:pPr>
        <w:pStyle w:val="TextoNormal"/>
      </w:pPr>
      <w:r>
        <w:t xml:space="preserve">b) Interpuesto recurso de apelación, la Sala Tercera de lo Civil de la Audiencia Territorial de Madrid, por Sentencia de 12 de septiembre de 1988, estimó en parte el recurso, y revocando parcialmente la Sentencia de instancia, condenó a T.V.E., S.A. a publicar la parte dispositiva de la Sentencia en el espacio "Informe Semanal" o similar y a que, solidariamente con el también demandado don Ramón Colón Esmatges, satisfaga a don Emilio Palazuelos Fernández la cantidad de cuatro millones de pesetas en concepto de indemnización por los perjuicios causados con el reportaje de referencia, al estimarse atentatorio al honor del demandante. Razonando, al respecto, en estos términos: </w:t>
      </w:r>
    </w:p>
    <w:p w:rsidR="00FE0907" w:rsidRDefault="00FE0907" w:rsidP="00FE0907">
      <w:pPr>
        <w:pStyle w:val="TextoNormal"/>
      </w:pPr>
      <w:r>
        <w:t xml:space="preserve">"... es difícil concebir la existencia de divulgación alguna de hechos que más propiamente pueda herir psíquicamente a quien ejerce la digna profesión de la abogacía y mayor repulsa y condena moral pueda originar en el círculo social y profesional que frecuente, como los que le presenten, ante una audiencia tan nutrida como es la de la televisión, como caza-clientes que aprovecha la preocupación y angustia de los familiares de encarcelados para defraudarles, moral y patrimonialmente con engañosas promesas apoyadas en la alegación de influencias y sobornos, todo ello, por supuesto, con expresión de su nombre y apellidos, hechos imputados que se refrendan con la cita de una sentencia condenatoria como tal estafador, todo lo cual como resulta del art. 6 de la Ley Orgánica 2/1984, de 26 de marzo, no queda subsanado con la tímida rectificación que, a instancias del actor, hizo Televisión Española, S.A." (fundamento de Derecho 3º). </w:t>
      </w:r>
    </w:p>
    <w:p w:rsidR="00FE0907" w:rsidRDefault="00FE0907" w:rsidP="00FE0907">
      <w:pPr>
        <w:pStyle w:val="TextoNormal"/>
      </w:pPr>
      <w:r>
        <w:t xml:space="preserve">Intromisión ilegítima en el derecho al honor, añadiría la Sentencia de la Audiencia Territorial, que no puede quedar pospuesta al derecho "que tiene Televisión Española de formar la opinión de cuantos están llamados a colaborar con ella, porque su información adoleció del imprescindible requisito de veracidad", apostillando en el fundamento de Derecho 4º lo siguiente: </w:t>
      </w:r>
    </w:p>
    <w:p w:rsidR="00FE0907" w:rsidRDefault="00FE0907" w:rsidP="00FE0907">
      <w:pPr>
        <w:pStyle w:val="TextoNormal"/>
      </w:pPr>
      <w:r>
        <w:t xml:space="preserve">"La verdad, para merecer tal nombre ha de ser completa. Si Televisión Española apoyó la realidad de cuanto la figura difusa en pantalla atribuía al demandante en base tan sólida cual es una Sentencia judicial pronunciada en 23 de enero de 1984, no pudo, en el ámbito de la honestidad informativa, silenciar, en el mes de septiembre de 1986, que otra Sentencia de la Audiencia Provincial, fechada en 11 de diciembre de 1984, así dos años antes, por tanto, de emitirse el reportaje, había absuelto, con carácter firme, al Sr. Palazuelos del delito que configuraban los hechos que se le achacaban por la denunciante. Si acertó a documentar un reportaje con la cita de una resolución judicial hubo inexcusablemente, en atención a los delicadísimos intereses que se perjudicaban en el reportaje, de asesorarse acerca de cual había sido, finalmente, la decisión de la Justicia y, al no haberlo hecho así, incurrió en una grave negligencia que provocó, en definitiva, la inexactitud de cuando difundió, por lo que no es lícito hacer valer, frente a la acción que se le opone, un superior derecho a informar". </w:t>
      </w:r>
    </w:p>
    <w:p w:rsidR="00FE0907" w:rsidRDefault="00FE0907" w:rsidP="00FE0907">
      <w:pPr>
        <w:pStyle w:val="TextoNormal"/>
      </w:pPr>
      <w:r>
        <w:t xml:space="preserve">c) Por parte de T.V.E., S.A. se formuló recurso de casación por infracción de Ley, dictándose por la Sala Primera del Tribunal Supremo Sentencia de 16 de junio de 1989, que declaró haber lugar al recurso, casando y anulando la Sentencia de la Audiencia Territorial </w:t>
      </w:r>
      <w:r>
        <w:lastRenderedPageBreak/>
        <w:t xml:space="preserve">de Madrid de 12 de septiembre de 1988 y confirmando la del Juzgado de Primera Instancia núm. 26 de los de Madrid de 15 de octubre de 1987. </w:t>
      </w:r>
    </w:p>
    <w:p w:rsidR="00FE0907" w:rsidRDefault="00FE0907" w:rsidP="00FE0907">
      <w:pPr>
        <w:pStyle w:val="TextoNormal"/>
      </w:pPr>
      <w:r>
        <w:t xml:space="preserve">La Sentencia de la Sala Primera del Tribunal Supremo que ahora se impugna, en su fundamento de Derecho 1º. 2, resume los hechos y circunstancias que enmarcan el supuesto planteado en la forma siguiente: </w:t>
      </w:r>
    </w:p>
    <w:p w:rsidR="00FE0907" w:rsidRDefault="00FE0907" w:rsidP="00FE0907">
      <w:pPr>
        <w:pStyle w:val="TextoNormal"/>
      </w:pPr>
      <w:r>
        <w:t xml:space="preserve">"La singularidad del [supuesto] que ahora se enjuicia tiene por base la emisión por Televisión Española, dentro de su programa Informe Semanal, y en el que aparece en pantalla el rostro de una persona con los rasgos velados para hacerla irreconocible, diciendo que "hace cuatro años detuvieron a mi hermano por atraco; a nosotros se nos presentó un Abogado, un tal Sr. Palazuelos; nos dijo que era un caso muy difícil, pero que en seis meses, con dinero todo se arreglaba, y que con doscientas mil pesetas, no para sus honorarios, sino para darlas por los Juzgados porque él tenía que ir por los Juzgados saludando con una mano a cada persona con un billete. Nos pidió doscientas mil. Le dijimos que era mucho, nos rebajó cien mil y cuando mi hermano saliese le dábamos cincuenta mil. Nos dijo que él tenía mucha amistad con los Jueces; que él lo quería meter todo en un Juzgado porque era familiar suyo; que con los demás tomaba cerveza y jugaba al golf. Que los papeles se podían perder porque se habían quemado más veces. Total, que pasó el tiempo, pasaron cuatro meses, pasó mucho tiempo y como veíamos que no hacía nada, fuimos a un Juzgado de Guardia y pusimos una denuncia. Se le condenó a cuatro meses sin ejercer y a darnos una indemnización". Por sentencia de 23 de enero de 1984, se condenó al referido Abogado como responsable de un delito de estafa a la pena de cuatro meses y un día de arresto mayor y a que indemnizara a María Delgado Almeida en la cantidad de cincuenta mil pesetas. Posteriormente, T.V.E. en uno de los Telediarios correspondiente al 4 de octubre de 1986, aludió al reportaje emitido en Informe Semanal el 20 de septiembre anterior, manifestando que "la información" es cierta pero no completa, por lo que el aludido don Emilio Palazuelos Fernández, ha remitido carta de rectificación al amparo de la L.O. 2/1984, de 25 de marzo, alegando que la citada Sentencia fue ulteriormente revocada por la Audiencia Provincial de Madrid, en diciembre de 1984, absolviéndole por el delito de estafa por el que fue condenado en primera instancia, con todos los pronunciamientos favorables". </w:t>
      </w:r>
    </w:p>
    <w:p w:rsidR="00FE0907" w:rsidRDefault="00FE0907" w:rsidP="00FE0907">
      <w:pPr>
        <w:pStyle w:val="TextoNormal"/>
      </w:pPr>
      <w:r>
        <w:t xml:space="preserve">De lo expuesto, tal como puntualiza la propia Sentencia en su fundamento de Derecho 2º, se evidencia que las manifestaciones supuestamente atentatorias al derecho al honor del actor fueron emitidas por una persona individual que compareció ante las cámaras de Informe Semanal y suministró la noticia de la condena por delito de estafa, así como que Televisión Española, tan pronto como lo solicitó el actor, rectificó inmediatamente la noticia. </w:t>
      </w:r>
    </w:p>
    <w:p w:rsidR="00FE0907" w:rsidRDefault="00FE0907" w:rsidP="00FE0907">
      <w:pPr>
        <w:pStyle w:val="TextoNormal"/>
      </w:pPr>
      <w:r>
        <w:t xml:space="preserve">La valoración que los referidos hechos le merecieron a la Sala Primera del Tribunal Supremo, al estimar que la difusión del fallo de una Sentencia penal condenatoria, dentro del ámbito de la Ley Orgánica 1/1982, de 5 de mayo, fue como sigue: </w:t>
      </w:r>
    </w:p>
    <w:p w:rsidR="00FE0907" w:rsidRDefault="00FE0907" w:rsidP="00FE0907">
      <w:pPr>
        <w:pStyle w:val="TextoNormal"/>
      </w:pPr>
      <w:r>
        <w:t xml:space="preserve">"es de libre difusión conforme a los cánones del art. 20 de la Constitución Española, mayormente si se tiene en cuenta que conforme al art. 120.1 las actuaciones judiciales serán públicas con las excepciones que prevean las leyes de procedimiento, y en este caso concreto, no existía prohibición alguna conforme a los cánones del art. 906 de la Ley de Enjuiciamiento Civil" (fundamento de Derecho 3º.1). </w:t>
      </w:r>
    </w:p>
    <w:p w:rsidR="00FE0907" w:rsidRDefault="00FE0907" w:rsidP="00FE0907">
      <w:pPr>
        <w:pStyle w:val="TextoNormal"/>
      </w:pPr>
      <w:r>
        <w:t xml:space="preserve">A lo que añadió, en fin, la siguiente consideración: </w:t>
      </w:r>
    </w:p>
    <w:p w:rsidR="00FE0907" w:rsidRDefault="00FE0907" w:rsidP="00FE0907">
      <w:pPr>
        <w:pStyle w:val="TextoNormal"/>
      </w:pPr>
      <w:r>
        <w:t>"Hay que entender que las actuaciones profesionales quedan fuera del ámbito de la L.O. 1/1982 y que la tutela jurídica cuando fueren vulnerados esos derechos ha de formularse por el cauce del art. 1902 del Código Civil siempre y cuando se demuestra la exis</w:t>
      </w:r>
      <w:r>
        <w:lastRenderedPageBreak/>
        <w:t>tencia de un daño moral, como ya puntualizó la Sentencia de esta Sala de 2 de marzo último" (fundamento de Derecho 3º.2).</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Se fundamenta la demanda de amparo en las siguientes alegaciones, sintéticamente expuestas: </w:t>
      </w:r>
    </w:p>
    <w:p w:rsidR="00FE0907" w:rsidRDefault="00FE0907" w:rsidP="00FE0907">
      <w:pPr>
        <w:pStyle w:val="TextoNormal"/>
      </w:pPr>
      <w:r>
        <w:t xml:space="preserve">a) Tras una serie de consideraciones de orden doctrinal sobre los bienes de la personalidad en general y, más en particular, sobre el derecho al honor, a la intimidad personal y familiar y a la propia imagen, con cita de los preceptos constitucionales y legales que reconocen y garantizan tales derechos, se centra la atención en el significado doctrinal del derecho al honor como derecho inherente a la persona humana, lo que significa -concluye el recurrente- que el honor no depende de los méritos o deméritos del concreto sujeto del derecho ni de sus cualidades personales. </w:t>
      </w:r>
    </w:p>
    <w:p w:rsidR="00FE0907" w:rsidRDefault="00FE0907" w:rsidP="00FE0907">
      <w:pPr>
        <w:pStyle w:val="TextoNormal"/>
      </w:pPr>
      <w:r>
        <w:t xml:space="preserve">Pues bien, el honor y la fama del ahora recurrente en amparo ha sido lesionado, por cuanto que, en "la noticia emitida por T.V.E., se dijo que don Emilio Palazuelos Fernández había sido condenado por estafa a la pena de cuatro meses de arresto mayor, pero se omitió decir, de forma deliberada o no, que la Audiencia Provincial de Madrid -Sección Séptima-, en Sentencia de fecha 11 de diciembre de 1984, al no reconocer los hechos ni las manifestaciones, (le) había absuelto con todos los pronunciamientos favorables, revocando la Sentencia de instancia, haciendo constar en su fallo que el Letrado Sr. Palazuelos en ningún momento engañó y que las 500.000 pts. recibidas fueron en pago de sus trabajos profesionales, lo cual quedaba plenamente acreditado que los había realizado". </w:t>
      </w:r>
    </w:p>
    <w:p w:rsidR="00FE0907" w:rsidRDefault="00FE0907" w:rsidP="00FE0907">
      <w:pPr>
        <w:pStyle w:val="TextoNormal"/>
      </w:pPr>
      <w:r>
        <w:t xml:space="preserve">Es evidente, por tanto, que se ocultó la verdad completa de la noticia difundida, siendo falso lo dicho, tal como vino a fijar, como cuestión fáctica, la Sentencia de la Audiencia Territorial de Madrid en su fundamento jurídico 3º, al establecer que la noticia difundida por T.V.E. "adolecía del imprescindi-ble requisito de la veracidad". </w:t>
      </w:r>
    </w:p>
    <w:p w:rsidR="00FE0907" w:rsidRDefault="00FE0907" w:rsidP="00FE0907">
      <w:pPr>
        <w:pStyle w:val="TextoNormal"/>
      </w:pPr>
      <w:r>
        <w:t xml:space="preserve">b) Cita el recurrente los arts. 18.1 y 20 de la Constitución, 8.1 de la Convención Europea para la Protección de los Derechos Humanos y las Libertades Fundamentales, y 1 y 7 de la Ley Orgánica 1/1982, de 5 de mayo, así como diversas Sentencias, al parecer del Tribunal Supremo, de 4 de noviembre de 1986, 25 de mayo de 1972, 28 de octubre y 4 de noviembre de 1986, 25 de abril de 1980, etc., en las que se sienta doctrina sobre el alcance del derecho al honor respecto de otros derechos como la libertad de prensa, para afirmar seguidamente que el ámbito de protección del derecho al honor alcanza también a las personas físicas que han sido condenadas, ya que en el Código Penal vigente "en modo alguno (se) contiene una pena consistente en la difusión mediante imágenes o publicaciones de hechos punidos por dicho cuerpo legal". </w:t>
      </w:r>
    </w:p>
    <w:p w:rsidR="00FE0907" w:rsidRDefault="00FE0907" w:rsidP="00FE0907">
      <w:pPr>
        <w:pStyle w:val="TextoNormal"/>
      </w:pPr>
      <w:r>
        <w:t xml:space="preserve">Tales publicaciones, además, dificultan la posible reinserción social del inculpado, vulnerándose así normas nacionales e internacionales que consideran como finalidad esencial del tratamiento penitenciario la reinserción social. </w:t>
      </w:r>
    </w:p>
    <w:p w:rsidR="00FE0907" w:rsidRDefault="00FE0907" w:rsidP="00FE0907">
      <w:pPr>
        <w:pStyle w:val="TextoNormal"/>
      </w:pPr>
      <w:r>
        <w:t>c) De otra parte, la tradicional tesis de que las lesiones de los bienes de la personalidad no eran valorables económicamente fue ya arrumbada por la Sentencia del Tribunal Supremo de 6 de octubre de 1912, abriéndose así cauce a la doctrina de la reparación del "daño moral". Tras citar al respecto diversas Sentencias del Tribunal Supremo, afirma el recurrente que el resarcimiento del daño no patrimonial ha cristalizado en los sistemas jurídicos como un medio de crear un equivalente económico a la situación creada, ya que los ataques al honor, a la intimidad personal y a la propia imagen, además de llevar implícitos, en muchas ocasiones, un daño material, de carácter indirecto, comportan también un daño moral, inmaterial, que no por ello puede ser dejado sin reparación. De ahí la previsión del art. 9 de la Ley Orgánica 1/1982, de 5 de mayo, por lo que siempre que se acredi</w:t>
      </w:r>
      <w:r>
        <w:lastRenderedPageBreak/>
        <w:t xml:space="preserve">te la intromisión ilegítima surge la realidad del perjuicio, desplazándose la carga de la prueba a la parte demandada. </w:t>
      </w:r>
    </w:p>
    <w:p w:rsidR="00FE0907" w:rsidRDefault="00FE0907" w:rsidP="00FE0907">
      <w:pPr>
        <w:pStyle w:val="TextoNormal"/>
      </w:pPr>
      <w:r>
        <w:t xml:space="preserve">En cuanto a los factores a tener en cuenta en la fijación de una cantidad como indemnización, de acuerdo con el propio art. 9 de la Ley Orgánica 1/1982 deberá estarse a "las circunstancias del caso", a "la gravedad de la lesión efectivamente producida" ("para lo cual se tendrá en cuenta, en su caso, la difusión o audiencia del medio en que se haya producido") y el "beneficio que haya obtenido el causante de la lesión, como consecuencia de la misma". De ahí que la indemnización que el ahora recurrente en amparo ha reclamado sea importante, ya que grave e importante ha sido la lesión producida. </w:t>
      </w:r>
    </w:p>
    <w:p w:rsidR="00FE0907" w:rsidRDefault="00FE0907" w:rsidP="00FE0907">
      <w:pPr>
        <w:pStyle w:val="TextoNormal"/>
      </w:pPr>
      <w:r>
        <w:t>d) Concluye el recurrente solicitando de este Tribunal Constitucional dicte Sentencia otorgando el amparo y declarando que las Sentencias del Juzgado de Primera Instancia núm. 26 de los de Madrid, de 15 de octubre de 1987, confirmada por la de la Sala Primera del Tribunal Supremo de 16 de junio de 1989, han violado el contenido constitucional de su derecho fundamental al honor reconocido en el art. 18.1 de la Constitución.</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Tras la apertura del trámite de admisión, por providencia de 11 de diciembre de 1989, la Sección acordó admitir a trámite la demanda y solicitar de la Sala Primera del Tribunal Supremo, de la Sala Tercera de lo Civil del Tribunal Superior de Justicia de Madrid y del Juzgado de Primera Instancia núm. 26 de los de Madrid la remisión de certificación o copia adverada de las actuaciones, así como que se practicasen los emplazamientos que fueran procedentes. </w:t>
      </w:r>
    </w:p>
    <w:p w:rsidR="00FE0907" w:rsidRDefault="00FE0907" w:rsidP="00FE0907">
      <w:pPr>
        <w:pStyle w:val="TextoNormal"/>
      </w:pPr>
      <w:r>
        <w:t>Por providencia de 7 de junio de 1990, la Sección acordó tener por personado y parte en el procedimiento al Procurador don Luis Pozas y Granero, en nombre y representación de Televión Española, acusar recibo de las actuaciones y dar vista de las mismas a las partes personadas y al Ministerio Fiscal, al objeto de que formularan las alegaciones que estimasen oportunas, conforme determina el art. 52.1 de la LOTC.</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representación actora, en su escrito de alegaciones manifestó, en lo sustancial, que, de acuerdo con el art. 20.1 d) C.E., la información ha de ser veraz y la verdad, para que merezca tal nombre ha de ser completa, lo que no se observó en la noticia emitida por Televisión Española, ya que se omitió decir que la sentencia condenatoria había sido revocada y anulada. Así pues, se ocultó la verdad completa de la noticia difundida y, en su virtud, tal noticia no fue cierta sino falsa, conculcándose con ello gravemente el derecho al honor del ahora solicitante de amparo, tal como se estableció en el fundamento jurídico 4º de los de la Sentencia de la Audiencia Territorial de Madrid. </w:t>
      </w:r>
    </w:p>
    <w:p w:rsidR="00FE0907" w:rsidRDefault="00FE0907" w:rsidP="00FE0907">
      <w:pPr>
        <w:pStyle w:val="TextoNormal"/>
      </w:pPr>
      <w:r>
        <w:t xml:space="preserve">De otra parte, la rectificación a la que procedió Televisión Española no puede eludir su responsabilidad por la información no veraz que dió, pues la protección del derecho al honor no resulta incompatible con el ejercicio del derecho de rectificación. </w:t>
      </w:r>
    </w:p>
    <w:p w:rsidR="00FE0907" w:rsidRDefault="00FE0907" w:rsidP="00FE0907">
      <w:pPr>
        <w:pStyle w:val="TextoNormal"/>
      </w:pPr>
      <w:r>
        <w:t>Finalmente, es reiterada la jurisprudencia del propio Tribunal Supremo que incluye el "honor profesional" dentro del ámbito de protección de la Ley Orgánica 1/1982, de 5 de mayo, de manera que cualquier intromisión ilegítima en dicho derecho personalísimo, independientemente de la actividad profesional de la persona en que recaiga la intromisión ilegítima, ha de ser protegido.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La representación de Televisión Española, S.A. mantuvo, en lo sustancial, que las actuaciones profesionales están fuera de la tutela de la Ley Orgánica 1/1982, siendo el procedimiento declarativo correspondiente y no el sumario y preferente de la Ley 62/1978 </w:t>
      </w:r>
      <w:r>
        <w:lastRenderedPageBreak/>
        <w:t xml:space="preserve">el cauce adecuado para el ejercicio de una acción fundamentada en esa presunta lesión profesional. </w:t>
      </w:r>
    </w:p>
    <w:p w:rsidR="00FE0907" w:rsidRDefault="00FE0907" w:rsidP="00FE0907">
      <w:pPr>
        <w:pStyle w:val="TextoNormal"/>
      </w:pPr>
      <w:r>
        <w:t xml:space="preserve">De otra parte, el art. 20.1 d) C.E. consagra la libertad de información que ocupa una posición preferencial por cuanto garantiza la formación y existencia de la opinión pública, de manera que debe prevalecer sobre el derecho al honor siempre que la noticia tenga un interés público o deba ser conocida y sea veraz, sin que en este extremo sea necesaria una prueba plena y absoluta. </w:t>
      </w:r>
    </w:p>
    <w:p w:rsidR="00FE0907" w:rsidRDefault="00FE0907" w:rsidP="00FE0907">
      <w:pPr>
        <w:pStyle w:val="TextoNormal"/>
      </w:pPr>
      <w:r>
        <w:t>A la vista de esta doctrina es claro, pues, que ningún reproche cabe hacer a la Sentencia del Tribunal Supremo, al estimar el recurso de casación, pues Televisión Española, S.A., se limitó a informar de la actuación profesional de un Abogado, que fue condenado por el Juzgado de Instrucción núm. 19 de los de Madrid en el procedimiento oral 46/83, confirmándose así que la información dada por un particular era cierta, y tan pronto tuvo conocimiento de la posterior Sentencia de la Audiencia Provincial de Madrid, hecho que desconocía, procedió a la ampliación de la noticia dada. Por todo ello, los referidos hechos no constituyen lesión al honor del recurrente, ya que, en definitiva, la dimensión profesional está fuera del ámbito de aplicación de la Ley Orgánica 1/1982 y, además, la información dada está amparada por el art. 20 C.E.</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Ministerio Fiscal interesó sea dictada Sentencia otorgando el amparo solicitado, por deducirse de los autos la lesión del derecho al honor garantizado por el art. 18.1 C.E. </w:t>
      </w:r>
    </w:p>
    <w:p w:rsidR="00FE0907" w:rsidRDefault="00FE0907" w:rsidP="00FE0907">
      <w:pPr>
        <w:pStyle w:val="TextoNormal"/>
      </w:pPr>
      <w:r>
        <w:t xml:space="preserve">Se puntualiza, con carácter previo, que en la demanda se solicita amparo frente a la Sentencia de la Sala Primera del Tribunal Supremo por violación del derecho fundamental al honor (art. 18.1 C.E.), sin que para nada se haga mención al art. 20.1 d) C.E., y que, aun cuando la posible lesión del derecho al honor provendría de los autores de la información difundida por Televisión Española, es decir, de relaciones inter privatos, con lo que, en principio, no habría posibilidad de acceder al recurso de amparo una vez que éste no está previsto para las vulneraciones de derechos fundamentales efectuadas por particulares, lo cierto es que nos encontramos ante una resolución de un poder público, el judicial, que si no ha tutelado suficientemente el derecho fundamental controvertido lo habrá vulnerado, y esa resolución es ya perfectamente recurrible en amparo. Se trata, pues, de un supuesto de acceso indirecto o subsidiario al Tribunal Constitucional vía recurso de amparo que la doctrina de este Tribunal ha admitido plenamente (STC 18/1984, entre otras), por lo que debe entrarse a conocer del asunto planteado, decidiendo sobre la adecuación de la interpretación efectuada por la Sentencia impugnada a los bienes constitucionales en presencia. </w:t>
      </w:r>
    </w:p>
    <w:p w:rsidR="00FE0907" w:rsidRDefault="00FE0907" w:rsidP="00FE0907">
      <w:pPr>
        <w:pStyle w:val="TextoNormal"/>
      </w:pPr>
      <w:r>
        <w:t xml:space="preserve">Pues bien, la argumentación de la Sentencia que se impugna de que las actuaciones profesionales quedan fuera del ámbito de la Ley Orgánica 1/1982, equivale a decir que el honor garanti zado por el art. 18.1 de la C.E. no abarca el prestigio profesional, con lo que, a juicio del Ministerio Fiscal, se está privando al honor de parte de su contenido esencial. En efecto, afirmar que el prestigio profesional de una persona -y su posible denigración- no afecta para nada a su derecho al honor, supone "desnaturalizarlo", pues si el honor es "el derecho que toda persona tiene a la propia estimación y a su buen nombre y reputación" (AATC 106/1980 y 13/1981), tales conceptos quedarán vacíos de contenido -al menos en una parte esencial- si no son aplicables a la reputación derivada del ejercicio profesional. Y, además, afirmaciones de corrupción profesional dirigidas a un Abogado en ejercicio son susceptibles de privarle de su fama, concurriendo así el supuesto al que se refiere el art. 7.7 de la Ley Orgánica 1/1982. </w:t>
      </w:r>
    </w:p>
    <w:p w:rsidR="00FE0907" w:rsidRDefault="00FE0907" w:rsidP="00FE0907">
      <w:pPr>
        <w:pStyle w:val="TextoNormal"/>
      </w:pPr>
      <w:r>
        <w:t xml:space="preserve">Finalmente, en cuanto a la ponderación de los derechos fundamentales en conflicto (honor-derecho de información), dado que los órganos jurisdiccionales deben tenerlos en </w:t>
      </w:r>
      <w:r>
        <w:lastRenderedPageBreak/>
        <w:t xml:space="preserve">cuenta y sopesarlos adecuadamente desde la perspectiva constitucional (tal como tiene declarado el TC desde su STC 107/1988), estima el Ministerio Fiscal que el juicio ponderativo no se encuentra efectuado correctamente por la Sentencia impugnada, ya que, de una parte, se niega que el honor pueda verse lesionado por imputaciones lesivas del prestigio profesional del interesado y, de otra, no se alude a la veracidad o no de la información. Cuestión ésta última, por lo demás, que no puede ser revisada en el presente recurso de amparo por no haber sido invocado el art. 20.1 d) C.E. en la demanda que inicia el procedimiento constitucional y que vincula al Tribunal (por todos, ATC 167/1988). </w:t>
      </w:r>
    </w:p>
    <w:p w:rsidR="00FE0907" w:rsidRDefault="00FE0907" w:rsidP="00FE0907">
      <w:pPr>
        <w:pStyle w:val="TextoNormal"/>
      </w:pPr>
      <w:r>
        <w:t>En consecuencia, procede que se declare que se ha desvirtuado el derecho al honor del recurrente, si bien, dado que la subsunción de los hechos en la norma no es misión del T.C., el alcance del amparo que se interesa debe quedar reducido a declarar la nulidad de la Sentencia impugnada para que se dicte otra en que se efectue una ponderación de los derechos fundamentales en pugna que respete el contenido esencial del derecho al honor, sin sustraer de su ámbito el prestigio profesional del titular del derecho.</w:t>
      </w:r>
    </w:p>
    <w:p w:rsidR="00FE0907" w:rsidRDefault="00FE0907" w:rsidP="00FE0907">
      <w:pPr>
        <w:pStyle w:val="TextoNormal"/>
      </w:pPr>
    </w:p>
    <w:p w:rsidR="00FE0907" w:rsidRDefault="00FE0907" w:rsidP="00FE0907">
      <w:pPr>
        <w:pStyle w:val="TextoNormal"/>
      </w:pPr>
      <w:r w:rsidRPr="00FE0907">
        <w:rPr>
          <w:rStyle w:val="NumeroAFNegritaCaracter"/>
        </w:rPr>
        <w:t>8</w:t>
      </w:r>
      <w:r>
        <w:t>. Mediante providencia de 23 de septiembre de 1991 se señaló para deliberación y fallo de la presente Sentencia el día 16 de diciembre siguiente.</w:t>
      </w:r>
    </w:p>
    <w:p w:rsidR="00FE0907" w:rsidRDefault="00FE0907" w:rsidP="00FE0907">
      <w:pPr>
        <w:pStyle w:val="TextoNormal"/>
      </w:pPr>
    </w:p>
    <w:p w:rsidR="00FE0907" w:rsidRDefault="00FE0907" w:rsidP="00FE0907">
      <w:pPr>
        <w:pStyle w:val="TextoNormal"/>
      </w:pPr>
      <w:r w:rsidRPr="00FE0907">
        <w:rPr>
          <w:rStyle w:val="NumeroAFNegritaCaracter"/>
        </w:rPr>
        <w:t>9</w:t>
      </w:r>
      <w:r>
        <w:t>. Con fecha 12 de marzo de 1992 se dictó otra providencia señalando nuevamente, como fecha de deliberación y fallo, el 25 del mismo mes y año, habiendo quedado concluida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central que se suscita en el presente recurso de amparo consiste en dilucidar si la Sentencia de la Sala Primera del Tribunal Supremo ha vulnerado el derecho al honor del recurrente en amparo al haber casado y anulado la Sentencia de la Sala Tercera de la Audiencia Territorial de Madrid y confirmado la dictada por la Juez de Primera Instancia núm.  26 de Madrid que desestimó la demanda que contra T.V.E., S.A.  formulara al amparo de la Ley Orgánica 1/1982, de 5 de mayo, de Protección Civil del Derecho al Honor, a la Intimidad Personal y Familiar y a la Propia Imagen.</w:t>
      </w:r>
    </w:p>
    <w:p w:rsidR="00FE0907" w:rsidRDefault="00FE0907" w:rsidP="00FE0907">
      <w:pPr>
        <w:pStyle w:val="TextoNormal"/>
      </w:pPr>
      <w:r>
        <w:t>La tesis que mantiene el solicitante de amparo se ciñe, en lo sustancial, a los dos extremos siguientes: de una parte, que la información dada a través de Televisión Española no fue veraz por ser incompleta, al omitir decir que la Sentencia condenatoria habría sido posteriormente revocada y anulada; y, de otra, que el honor o prestigio profesional queda incluido en el ámbito de aplicación de la Ley Orgánica 1/1982, por lo que ha de ser protegido frente a las intromisiones ilegítimas.</w:t>
      </w:r>
    </w:p>
    <w:p w:rsidR="00FE0907" w:rsidRDefault="00FE0907" w:rsidP="00FE0907">
      <w:pPr>
        <w:pStyle w:val="TextoNormal"/>
      </w:pPr>
      <w:r>
        <w:t xml:space="preserve">Así planteada la cuestión, para dilucidar si la Sentencia que se impugna ha vulnerado el derecho al honor del recurrente porque, como estima también el Ministerio Fiscal, no lo ha tutelado debidamente, es preciso señalar, con carácter previo, que puesto que la pretendida lesión se imputa a una determinada información propagada a través de un medio informativo, Televisión Española, S.A., habrá que atender a la interrelación existente entre el derecho al honor del recurrente (art.  18.1 C.E.)  y el derecho a comunicar libremente información veraz que asiste en este caso a Televisión Española (art. 20.1 d] C.E.), pues aquél limita incuestionablemente el ejercicio de éste (art.  20.4 C.E.). Es obvio, sobre este particular, que en la demanda de amparo no se invoca el art. 20.1 d) C.E., pero de ello no puede concluirse, como pretende el Ministerio Fiscal, que la cuestión relativa a la veracidad o </w:t>
      </w:r>
      <w:r>
        <w:lastRenderedPageBreak/>
        <w:t>no de la información no pueda ser revisada en el presente recurso, pues con independencia de que la representación de Televisión Española, S.A. personada en el procedimiento ha esgrimido precisamente la libertad de información para negar que el derecho al honor haya sido lesionado, y de que, además, el propio recurrente apela a la falta de veracidad de la información como justificación de la lesión que denuncia, para dar respuesta a la demanda planteada, resulta ineludible proceder a una ponderación de ambos derechos, dada su interrelación e interdependencia.</w:t>
      </w:r>
    </w:p>
    <w:p w:rsidR="00FE0907" w:rsidRDefault="00FE0907" w:rsidP="00FE0907">
      <w:pPr>
        <w:pStyle w:val="TextoNormal"/>
      </w:pPr>
      <w:r>
        <w:t>Es cierto, de otra parte, que en la Sentencia impugnada no se aborda directa y detalladamente esa ponderación, apoyándose, para rechazar que el derecho al honor haya sido vulnerado por la información en cuestión, en dos consideraciones o argumentos: de una parte, que la regla general es que las actuaciones judiciales serán públicas y de otra, que las actuaciones profesionales quedan fuera del ámbito de protección de la Ley Orgánica 1/1982.  De manera que si la función asignada a este Tribunal en los recursos de amparo en que subyace un conflicto entre el derecho al honor y el derecho de información se circunscribiese a revisar estrictamente si el órgano judicial ha ponderado los derechos en colisión y motivado debidamente la conclusión alcanzada, en el presente caso bien podría afirmarse que la Sentencia, al rechazar que el derecho al honor haya sido vulnerado en atención a la referida fundamentación, no habría protegido debidamente el mencionado derecho fundamental. Desprotección que, por lo mismo, obligaría a anular la Sentencia impugnada para que, como observa el Ministerio Fiscal, fuese dictada otra en la que se llevase a cabo una adecuada ponderación de los derechos fundamentales en conflicto, teniendo en cuenta, ciertamente, que dentro del ámbito del derecho al honor no cabe excluir radicalmente el prestigio profesional -si bien con el alcance que luego se dirá-, pero teniendo en cuenta también -debe añadirse- el valor preferente que constitucionalmente corresponde y debe darse al derecho a la información.</w:t>
      </w:r>
    </w:p>
    <w:p w:rsidR="00FE0907" w:rsidRDefault="00FE0907" w:rsidP="00FE0907">
      <w:pPr>
        <w:pStyle w:val="TextoNormal"/>
      </w:pPr>
      <w:r>
        <w:t>Sin embargo, este planteamiento debe abandonarse de acuerdo con la más reciente doctrina de este Tribunal, que ha destacado que "la función de este Tribunal Constitucional en los recursos de amparo interpuestos a consecuencia de conflicto entre el derecho de información y los derecho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a los utilizados por la jurisdicción ordinaria, que no vinculan a este Tribunal, ni reduce su jurisdicción a la simple revisión de la motivación de la Sentencia judicial" (STC 172/1990, fundamento jurídico 4º in fine).</w:t>
      </w:r>
    </w:p>
    <w:p w:rsidR="00FE0907" w:rsidRDefault="00FE0907" w:rsidP="00FE0907">
      <w:pPr>
        <w:pStyle w:val="TextoNormal"/>
      </w:pPr>
      <w:r>
        <w:t xml:space="preserve">En consecuencia, procede que, partiendo de los hechos enjuiciados y declarados probados en la decisión impugnada, de acuerdo con lo dispuesto en el art.  44.1 b) LOTC, nos adentremos en esa tarea de ponderación de los derechos fundamentales en presencia, sin estar vinculados a las valoraciones efectuadas por el órgano judicial cuya decisión ha sido sometida a nuestro control, a fin de determinar si la restricción que se impone a un derecho -en este caso, según la Sentencia impugnada, al derecho al honor- está o no constitucionalmente justificada por la limitación que, en caso contrario, sufriría el derecho de la otra parte, en concreto, el de Televisión Española, S.A. a ejercitar el derecho a la libre información veraz.  Tarea de ponderación que ha de llevarse a cabo teniendo en cuenta la posición prevalente, que no jerárquica o absoluta, que sobre los derechos denominados de </w:t>
      </w:r>
      <w:r>
        <w:lastRenderedPageBreak/>
        <w:t>la personalidad del art.  18 C.E.  ostenta el derecho a la libertad de información del art. 20.1 d) C.E., en función de su doble carácter de libertad individual y de garantía institucional de una opinión pública libre indisolublemente unida al pluralismo político dentro de un Estado democrático, afirmada reiteradamente por la doctrina de este Tribunal desde la STC 104/1986, siempre que la información transmitida sea veraz y esté referida a asuntos de relevancia pública que son del interés general por las materias a que se refieren y por las personas que en ellos intervienen (SSTC 107/1988, 171/1990 y 172/1990).</w:t>
      </w:r>
    </w:p>
    <w:p w:rsidR="00FE0907" w:rsidRDefault="00FE0907" w:rsidP="00FE0907">
      <w:pPr>
        <w:pStyle w:val="TextoNormal"/>
      </w:pPr>
    </w:p>
    <w:p w:rsidR="00FE0907" w:rsidRDefault="00FE0907" w:rsidP="00FE0907">
      <w:pPr>
        <w:pStyle w:val="TextoNormal"/>
      </w:pPr>
      <w:r w:rsidRPr="00FE0907">
        <w:rPr>
          <w:rStyle w:val="NumeroAFNegritaCaracter"/>
        </w:rPr>
        <w:t>2</w:t>
      </w:r>
      <w:r>
        <w:t>. El solicitante de amparo niega que la información fuese veraz ya que fue incompleta, pareciendo deducir de ello, con evidente automatismo, la existencia de una efectiva vulneración de su derecho al honor.</w:t>
      </w:r>
    </w:p>
    <w:p w:rsidR="00FE0907" w:rsidRDefault="00FE0907" w:rsidP="00FE0907">
      <w:pPr>
        <w:pStyle w:val="TextoNormal"/>
      </w:pPr>
      <w:r>
        <w:t>Conviene precisar al respecto que, en el presente caso, la falta de veracidad de la información, caso de haberse producido, lo habría sido por omisión, por silenciarse en concreto que la condena de la que a través de Televisión Española, S.A.  se dió noticia, fue posteriormente dejada sin efecto, al ser revocada y anulada la Sentencia de instancia por la Audiencia Territorial.</w:t>
      </w:r>
    </w:p>
    <w:p w:rsidR="00FE0907" w:rsidRDefault="00FE0907" w:rsidP="00FE0907">
      <w:pPr>
        <w:pStyle w:val="TextoNormal"/>
      </w:pPr>
      <w:r>
        <w:t>Sin embargo, no es aceptable concluir que la referida información quede desprotegida y al margen del derecho reconocido por el art. 20.1 d) C.E. por carecer del requisito de la veracidad. Ante todo, es preciso advertir que la regla constitucional de la veracidad de la información -según reiterada doctrina de este Tribunal desde la STC 6/1988, fundamento jurídico 5º- no va dirigida tanto a la exigencia de total exactitud en la información cuanto a negar la garantía o protección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(SSTC 171/1990, fundamento jurídico 8º y 172/1990, fundamento jurídico 3º). Y no es este el caso, pues, con independencia de que, en sí misma, y por su propio contenido, no lo fué, debe tenerse en cuenta la forma y el contexto en que tal información se produce: un programa de los servicios informativos de Televisión Española sobre la situación y el funcionamiento de la Administración de Justicia elaborado con un conjunto de materiales periodísticos y en el que se incluye la información que sobre el tema hace directamente una persona particular entrevistada por los autores del programa.  Y aunque esa circunstancia no exonera, radicalmente y en todo caso, la responsabilidad informativa del medio de comunicación, que alcanza siempre a los autores del programa o a quienes deciden emitirlo, no es menos cierto que sí la modula, imponiendo el necesario deber de diligencia en la comprobación razonable de lo que se afirma en el programa, pero no necesariamente de lo que se silencia o simplemente se desconoce por quien da noticia de un hecho al ser entrevistado.</w:t>
      </w:r>
    </w:p>
    <w:p w:rsidR="00FE0907" w:rsidRDefault="00FE0907" w:rsidP="00FE0907">
      <w:pPr>
        <w:pStyle w:val="TextoNormal"/>
      </w:pPr>
      <w:r>
        <w:t xml:space="preserve">Es cierto que tratándose de un programa elaborado mucho tiempo después de haberse producido los hechos objeto de la información, bien pudo Televisión Española contrastar esa información con otras fuentes distintas o simplemente ponerse en contacto con la persona aludida en la noticia a fin de verificar su exactitud; limitándose, por el contrario, el medio de comunicación, a añadir, en apoyo de lo afirmado por la persona entrevistada, el dato de la cita precisa de la Sentencia de condena del ahora recurrente (dato cierto, pero incompleto pues la Sentencia no era firme). La exigencia de contrastación o verificación de la información que compete, también en estos supuestos, al medio de comunicación, ha de considerarse, sin embargo, cumplida al tratarse de una imputación hecha en el programa informativo por referencia a una Sentencia condenatoria que había existido -como </w:t>
      </w:r>
      <w:r>
        <w:lastRenderedPageBreak/>
        <w:t>efectivamente se comprobó-, por lo que no resultaba lesiva del derecho al honor del recurrente.</w:t>
      </w:r>
    </w:p>
    <w:p w:rsidR="00FE0907" w:rsidRDefault="00FE0907" w:rsidP="00FE0907">
      <w:pPr>
        <w:pStyle w:val="TextoNormal"/>
      </w:pPr>
      <w:r>
        <w:t>En estos casos singulares, en que se trata no solo de dar una información sino también de servir de soporte a una noticia u opinión manifestada por terceras personas, no cabe desconocer el hecho de la rectificación posterior de la información emitida en ese contexto, que resultaba ser incompleta. Y, si bien el derecho a la rectificación de la información no suplanta, ni, por tanto, inhabilita ya, por innecesaria, la debida protección al derecho del honor, sí la atenúa, pues constituye el mecanismo idóneo para reparar lo que sólo por omisión de los hechos relatados pudiera constituir intromisión en el derecho al honor imputable a quien sirve de soporte o vehículo para la difusión pública de tales hechos (STC 35/1983, fundamento jurídico 4º).  Rectificación a la que en este caso efectivamente se procedió tan pronto Televisión Española tuvo conocimiento, a instancias del propio recurrente, de la realidad de los hechos, completando así las declaraciones de la persona entrevistada en el programa. "Esa rectificación muestra -como ya se dijo en la STC 171/1990, fundamento jurídico 8º- que el error fáctico no fue malicioso", ésto es con menosprecio de la veracidad o falsedad de lo comunicado.</w:t>
      </w:r>
    </w:p>
    <w:p w:rsidR="00FE0907" w:rsidRDefault="00FE0907" w:rsidP="00FE0907">
      <w:pPr>
        <w:pStyle w:val="TextoNormal"/>
      </w:pPr>
      <w:r>
        <w:t>Atendidas estas circunstancias, no cabe, por tanto, estimar inobservada la regla general de la necesaria veracidad de los hechos contenidos en la información, lo que, por sí mismo, desde la estricta consideración del derecho al honor -no desde luego, desde la del derecho fundamental a la intimidad, tal como hemos señalado en la STC 197/1991, fundamento jurídico 2º- legitimaría la intromisión en el honor, siempre que, por lo demás se apreciase la existencia de esa intromisión.</w:t>
      </w:r>
    </w:p>
    <w:p w:rsidR="00FE0907" w:rsidRDefault="00FE0907" w:rsidP="00FE0907">
      <w:pPr>
        <w:pStyle w:val="TextoNormal"/>
      </w:pPr>
    </w:p>
    <w:p w:rsidR="00FE0907" w:rsidRDefault="00FE0907" w:rsidP="00FE0907">
      <w:pPr>
        <w:pStyle w:val="TextoNormal"/>
      </w:pPr>
      <w:r w:rsidRPr="00FE0907">
        <w:rPr>
          <w:rStyle w:val="NumeroAFNegritaCaracter"/>
        </w:rPr>
        <w:t>3</w:t>
      </w:r>
      <w:r>
        <w:t>. Rechazado, por las razones expuestas, que el hecho de la divulgación de la condena penal del ahora solicitante de amparo, cuando lo cierto es que definitivamente no lo fue, haya supuesto una inobservancia del específico deber de diligencia en la comprobación razonable de la veracidad que incumbe al medio informativo Televisión Española, S.A., hemos de determinar si la mencionada información ha lesionado su derecho al honor.</w:t>
      </w:r>
    </w:p>
    <w:p w:rsidR="00FE0907" w:rsidRDefault="00FE0907" w:rsidP="00FE0907">
      <w:pPr>
        <w:pStyle w:val="TextoNormal"/>
      </w:pPr>
      <w:r>
        <w:t>Ante todo, conviene precisar que no son necesariamente lo mismo, desde la perspectiva de la protección constitucional, el honor de la persona y su prestigio profesional, distinción que, pese a sus contornos no siempre fáciles de deslindar en los casos de la vida real, no permite confundir, sin embargo, lo que constituye simple crítica a la pericia de un profesional en el ejercicio de una actividad con un atentado o lesión a su honor y honorabilidad personal. Pero ello no puede llevarnos a negar rotundamente, como se hace en cambio en la Sentencia del Tribunal Supremo impugnada,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se hace esa divulgación la hagan desmerecer en la consideración ajena de su dignidad como persona.</w:t>
      </w:r>
    </w:p>
    <w:p w:rsidR="00FE0907" w:rsidRDefault="00FE0907" w:rsidP="00FE0907">
      <w:pPr>
        <w:pStyle w:val="TextoNormal"/>
      </w:pPr>
      <w:r>
        <w:t xml:space="preserve">En el presente caso, no cabe estimar que se haya vulnerado el derecho al honor del recurrente, pues aunque "el derecho fundamental reconocido en el art. 20 C.E. no puede restringirse a la comunicación objetiva y aséptica de hechos" (SSTC 171/1990, fundamento jurídico 10º, y 172/1990, fundamento jurídico 3º) la información se reprodujo por el medio de comunicación sin apostilla o comentario alguno limitándose a presentarla de forma objetiva y neutra tal y como era manifestada por la persona entrevistada, y no fue en ningún momento acompañada, por parte del medio de comunicación, de expresiones insultantes ni de insinuaciones insidiosas o vejaciones innecesarias y, por tanto, objetivamente </w:t>
      </w:r>
      <w:r>
        <w:lastRenderedPageBreak/>
        <w:t>difamatorias.  Ciñéndose la persona que prestó su testimonio en el programa televisivo a relatar unos hechos que, si bien posteriormente resultaron ser incompletos, fueron rectificados inmediatamente por el medio en cuanto tuvo conocimiento de ello, lo que muestra que el error fáctico no fue malicioso.</w:t>
      </w:r>
    </w:p>
    <w:p w:rsidR="00FE0907" w:rsidRDefault="00FE0907" w:rsidP="00FE0907">
      <w:pPr>
        <w:pStyle w:val="TextoNormal"/>
      </w:pPr>
      <w:r>
        <w:t>Por otra parte, los hechos eran de indudable relevancia para el interés general al ser divulgados dentro de un programa informativo sobre el estado y el funcionamiento de la Administración de Justicia, por lo que, teniendo en cuenta las circunstancias del caso y el contenido mismo de la información cuestionada, la alusión al comportamiento profesional del recurrente susceptible de afectar a su honor no era innecesaria o gratuita, aún tratándose de un profesional privado, en relación con el objeto y finalidad de la información de que se trataba.  No ha existido, pues, en el caso un ejercicio excesivo, constitucionalmente ilegítimo, del derecho a la libertad de información.</w:t>
      </w:r>
    </w:p>
    <w:p w:rsidR="00FE0907" w:rsidRDefault="00FE0907" w:rsidP="00FE0907">
      <w:pPr>
        <w:pStyle w:val="TextoNormal"/>
      </w:pPr>
      <w:r>
        <w:t>En suma, teniendo presente que el derecho que reconoce el art.  20.1 d) C.E., concretado su ejercicio en una información no calificable como inveraz y sí de relevancia e interés público y general, goza de una posición preferente, por cuanto, como reiteradamente ha precisado este Tribunal, es garantía de una institución pública fundamental la opinión pública libre, y resulta a la vez esencial para la convivencia democrática y el pluralismo político, valor esencial del Estado democrático (entre otras muchas, SSTC 6/1981; 12/1982; 105/1983; 104/1986; 121/1989; 20/1990), resulta obligado concluir que, en el presente caso, la no estimación por la Sentencia del Tribunal Supremo que se impugna de la pretensión ejercitada al amparo de la Ley Orgánica 1/1982, no ha determinado lesión alguna del derecho fundamental al honor, ajustándose la resolución judicial -prescindiendo ahora del acierto o corrección de sus concretas argumentaciones jurídicas- al valor constitucional que corresponde a cada uno de los derechos fundamentales en conflicto.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4" w:name="SENTENCIA_1992_41"/>
      <w:r>
        <w:lastRenderedPageBreak/>
        <w:t>SENTENCIA 41/1992, de 30 de marzo de 1992</w:t>
      </w:r>
    </w:p>
    <w:bookmarkEnd w:id="44"/>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ECLI:ES:TC:1992:41</w:t>
      </w:r>
    </w:p>
    <w:p w:rsidR="00FE0907" w:rsidRDefault="00FE0907" w:rsidP="00FE0907">
      <w:pPr>
        <w:pStyle w:val="SntesisDescriptiva"/>
      </w:pPr>
    </w:p>
    <w:p w:rsidR="00FE0907" w:rsidRDefault="00FE0907" w:rsidP="00FE0907">
      <w:pPr>
        <w:pStyle w:val="SntesisDescriptiva"/>
      </w:pPr>
      <w:r>
        <w:t>Recurso de amparo 1.913/1989. Contra Auto del juzgado de Primera Instancia núm. 28 de los de Madrid, resolviendo en reposición providencia que declaraba impertinente determinado medio de prueba.</w:t>
      </w:r>
    </w:p>
    <w:p w:rsidR="00FE0907" w:rsidRDefault="00FE0907" w:rsidP="00FE0907">
      <w:pPr>
        <w:pStyle w:val="SntesisDescriptiva"/>
      </w:pPr>
    </w:p>
    <w:p w:rsidR="00FE0907" w:rsidRDefault="00FE0907" w:rsidP="00FE0907">
      <w:pPr>
        <w:pStyle w:val="SntesisAnaltica"/>
      </w:pPr>
      <w:r>
        <w:t>Supuesta vulneración del derecho a la tutela judicial efectiva: alcance de la omisión de firma de Procurador</w:t>
      </w:r>
    </w:p>
    <w:p w:rsidR="00FE0907" w:rsidRDefault="00FE0907" w:rsidP="00FE0907">
      <w:pPr>
        <w:pStyle w:val="SntesisAnaltica"/>
      </w:pPr>
    </w:p>
    <w:p w:rsidR="00FE0907" w:rsidRDefault="00FE0907" w:rsidP="00FE0907">
      <w:pPr>
        <w:pStyle w:val="Extracto"/>
      </w:pPr>
      <w:r>
        <w:t>1.</w:t>
      </w:r>
      <w:r>
        <w:tab/>
        <w:t>De acuerdo al reiterado criterio de este Tribunal, hemos de entender que la indicación de recursos hecha por el órgano judicial, y seguida puntualmente por el recurrente, pudo llevarle a considerar inviable cualquier otro recurso y estimar agotada la vía judicial previa al recurso de amparo, sin incurrir, a la luz de las circunstancias expresadas, en una actuación negligente o carente de toda pericia [F.J. 2].</w:t>
      </w:r>
    </w:p>
    <w:p w:rsidR="00FE0907" w:rsidRDefault="00FE0907" w:rsidP="00FE0907">
      <w:pPr>
        <w:pStyle w:val="Extracto"/>
      </w:pPr>
    </w:p>
    <w:p w:rsidR="00FE0907" w:rsidRDefault="00FE0907" w:rsidP="00FE0907">
      <w:pPr>
        <w:pStyle w:val="Extracto"/>
      </w:pPr>
      <w:r>
        <w:t>2.</w:t>
      </w:r>
      <w:r>
        <w:tab/>
        <w:t>La no subsanación del defecto procesal en el plazo conferido a tal efecto, convierte a aquel en firme e insubsanable, y no resulta contrario a la tutela judicial en ese tipo de recursos interlocutorios hacer coincidir el plazo de subsanación con el plazo de recurso, cuando dentro del mismo esa subsanación hubiera sido posible [F.J. 5].</w:t>
      </w:r>
    </w:p>
    <w:p w:rsidR="00FE0907" w:rsidRDefault="00FE0907" w:rsidP="00FE0907">
      <w:pPr>
        <w:pStyle w:val="Extracto"/>
      </w:pPr>
    </w:p>
    <w:p w:rsidR="00FE0907" w:rsidRDefault="00FE0907" w:rsidP="00FE0907">
      <w:pPr>
        <w:pStyle w:val="Extracto"/>
      </w:pPr>
      <w:r>
        <w:t>3.</w:t>
      </w:r>
      <w:r>
        <w:tab/>
        <w:t>La constitucionalidad del derecho al recurso debe conectarse con la protección constitucional del acceso «a las diversas instancias judiciales previstas en las leyes» (STC 87/1986). Esta doctrina no puede generalizarse y extenderse sin más a todas y cada una de las impugnaciones, remedios e incidentes que se den en el curso del procedimiento judicial, de forma que cualquier infracción eventual de una norma de procedimiento, en relación a los mismos, trascienda del ámbito de la legalidad ordinaria, que corresponde aplicar en exclusiva al órgano judicial, y alcance directamente transcendencia constitucional, bajo la cobertura genérica del derecho a la tutela judicial efectiva del art. 24.1 C.E. [F.J. 6].</w:t>
      </w:r>
    </w:p>
    <w:p w:rsidR="00FE0907" w:rsidRDefault="00FE0907" w:rsidP="00FE0907">
      <w:pPr>
        <w:pStyle w:val="Extracto"/>
      </w:pPr>
    </w:p>
    <w:p w:rsidR="00FE0907" w:rsidRDefault="00FE0907" w:rsidP="00FE0907">
      <w:pPr>
        <w:pStyle w:val="Extracto"/>
      </w:pPr>
      <w:r>
        <w:t>4.</w:t>
      </w:r>
      <w:r>
        <w:tab/>
        <w:t>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sin que pueda darse igual trascendencia a la pérdida de un remedio interlocutorio [F.J. 6].</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1.913/89, interpuesto por don Xavier Napoleón Sarceda Bruzos, representado por la Procuradora doña María Rosa Vidal Gil y con la asistencia letrada de don Juan Carlos Moraga Carrascosa, contra el Auto del Juzgado de Primera Instancia núm. 28 de los de Madrid, de 1 de septiembre de 1989. Han sido partes doña Alicia Soriano de Arpe, representada por la Procuradora doña Alicia Casado Deleito y asistida de la Letrada doña Justa Pellevaz Avello, y el Ministerio Fiscal. Ha sido Ponente don Miguel Rodríguez-Piñero y Bravo-Ferrer,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que tuvo entrada en el Registro General de este Tribunal el día 29 de septiembre de 1989, doña María Rosa Vidal Gil, Procuradora de los Tribunales y de don Xavier Napoleón Sarceda Bruzos, interpuso recurso de amparo contra el Auto del Juzgado de Primera Instancia núm. 28 de los de Madrid de 1 de septiembre de 1989, por el que, en el procedimiento 42/89-B que por separación y adopción de medidas sigue el solicitante de amparo contra su esposa, se acordó no haber lugar al recurso de reposición formulado contra la providencia de 10 de julio de 1989, no accediendo, en consecuencia, a lo que se solicitaba al faltar la firma de la Procuradora actuante.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los que trae causa la demanda de amparo son, en síntesis, los siguientes: </w:t>
      </w:r>
    </w:p>
    <w:p w:rsidR="00FE0907" w:rsidRDefault="00FE0907" w:rsidP="00FE0907">
      <w:pPr>
        <w:pStyle w:val="TextoNormal"/>
      </w:pPr>
      <w:r>
        <w:t xml:space="preserve">a) En el procedimiento de separación que a instancias del ahora solicitante de amparo seguía contra su esposa presentó el 4 de julio de 1989 recurso de reposición contra la providencia de 27 de junio de 1989, que declaraba pertinentes determinados medios de prueba , y declara impertinente el medio de prueba consistente en la exploración de la menor hija del matrimonio. En dicho escrito figura en blanco el lugar correspondiente a la firma de la Procuradora. </w:t>
      </w:r>
    </w:p>
    <w:p w:rsidR="00FE0907" w:rsidRDefault="00FE0907" w:rsidP="00FE0907">
      <w:pPr>
        <w:pStyle w:val="TextoNormal"/>
      </w:pPr>
      <w:r>
        <w:t xml:space="preserve">b) Por diligencia de 6 de julio de 1989, el Secretario hace constar la entrada del anterior escrito y la falta de firma de la Procuradora. Asímismo, por el Juzgado se dirigió una nota a la Procuradora en la que se rogaba se pasase urgentemente por el Juzgado en relación con dicho asunto. No consta la fecha de notificación de dicha nota. En la demanda se afirma que la misma llegó a poder de la Procuradora con posterioridad a la fecha de la resolución recurrida. </w:t>
      </w:r>
    </w:p>
    <w:p w:rsidR="00FE0907" w:rsidRDefault="00FE0907" w:rsidP="00FE0907">
      <w:pPr>
        <w:pStyle w:val="TextoNormal"/>
      </w:pPr>
      <w:r>
        <w:t xml:space="preserve">c) Por providencia de 10 de julio de 1989, el Juzgado decidió no haber lugar a acordar sobre el mismo al no constar la firma de la Procuradora que lo encabeza. </w:t>
      </w:r>
    </w:p>
    <w:p w:rsidR="00FE0907" w:rsidRDefault="00FE0907" w:rsidP="00FE0907">
      <w:pPr>
        <w:pStyle w:val="TextoNormal"/>
      </w:pPr>
      <w:r>
        <w:t>d) Interpuesto recurso de reposición, por Auto de 1 de septiembre de 1989 fue desestimado, razonándose, a tal efecto, que "el escrito de 4 de julio no llevaba firma de Procurador alguno por lo que se incumplió lo preceptuado en la Ley (art. 3 de la Ley de Enjuicia</w:t>
      </w:r>
      <w:r>
        <w:lastRenderedPageBreak/>
        <w:t>miento Civil), y no pudo admitirse a trámite" (fundamento jurídico 1º), y que, además si bien "es cierto que en autos se dio la oportunidad a la parte contraria de salvar defectos" (falta de firma de la Procuradora en determinados escritos), "ello siempre fue en ocasiones en que no se causaba ningún perjuicio a otras partes, por haber tiempo de subsanar el defecto sin la preclusión de trámite alguno", tal como sucedió con la propia recurrente, ya que "a ella se la dio el mismo trato cuando, asimismo, incurrió en defectos que podían subsanarse sin producirse preclusión, como sucedió con diligencia de ordenación de 11 de abril dado que no había aportado la copia de escritura de poder" (fundamento jurídico 2º). Por tanto, "ha habido trato igual para ambas partes en circunstancias iguales", aunque -añadió el Auto en el fundamentop jurídico 3º- "en el presente caso no puede tenerse el mismo criterio, pues la subsanación del defecto se habría hecho habiendo pasado el plazo legal para recurrir, con lo que se perjudicaría a las otras partes. Las normas procesales son de orden público y, por tanto, de obligado cumplimiento, pues son una garantía para todos los que intervienen en el proceso. No se puede extremar su formalismo, es cierto, pero siempre que no se vulneren otros principios jurídicos; y aquí, de no obrarse como se actuó, se habría violado el principio de seguridad jurídica. De nada serviría que el legislador estableciera plazos si éstos pudieran vulnerarse cuando se crea oportuno, por el hecho de presentar cualquier persona escritos sin firmar, a fin de que los profesionales que le defienden y representan puedan pasar a poner su firma por el órgano judicial, días más tarde; de permitirse ésto habría un grave fraude a la Ley. Todo ello lleva a desestimar el recurso de reposición presentado".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Invoca el recurrente la vulneración de los arts. 14 y 24.1 de la Constitución, alegando, a tal efecto, lo que sigue: </w:t>
      </w:r>
    </w:p>
    <w:p w:rsidR="00FE0907" w:rsidRDefault="00FE0907" w:rsidP="00FE0907">
      <w:pPr>
        <w:pStyle w:val="TextoNormal"/>
      </w:pPr>
      <w:r>
        <w:t xml:space="preserve">a) De una parte, es evidente que no se han dado los requisitos de trato de igualdad, al faltar los elementos de homogeneidad necesarios para ello, ya que el Juzgado equipara el doble requerimiento de firma a la parte contraria con el de aportación de copia de un documento, lo cual era obligado en cumplimiento del art. 518 de la L.E.C. </w:t>
      </w:r>
    </w:p>
    <w:p w:rsidR="00FE0907" w:rsidRDefault="00FE0907" w:rsidP="00FE0907">
      <w:pPr>
        <w:pStyle w:val="TextoNormal"/>
      </w:pPr>
      <w:r>
        <w:t xml:space="preserve">b) Pero, con independencia de ese desigual trato, lo que es innegable es que con la resolución que ahora se recurre, se está impidiendo el derecho de tutela judicial efectiva, porque se elude la respuesta judicial a un recurso en base a una cuestión formal perfectamente subsanable. </w:t>
      </w:r>
    </w:p>
    <w:p w:rsidR="00FE0907" w:rsidRDefault="00FE0907" w:rsidP="00FE0907">
      <w:pPr>
        <w:pStyle w:val="TextoNormal"/>
      </w:pPr>
      <w:r>
        <w:t xml:space="preserve">La tendencia de la moderna legislación y las corrientes jurisprudenciales y doctrinales que de ella emanan, cada vez son más proclives a facilitar esa subsanación, como lo prueba la posibilidad de subsanar defectos incluso en el recurso de casación (art. 1710 L.E.C.); subsanación que no está condicionada a la fecha en que se produce la falta, tal como hace la resolución recurrida, sino que sólo se supedita a que se subsane en el plazo que al efecto se confiera, lo cual es de toda lógica, pues, si se produce la subsanación dentro del plazo inicialmente conferido, carecería de sentido la posibilidad legal que se introduce. </w:t>
      </w:r>
    </w:p>
    <w:p w:rsidR="00FE0907" w:rsidRDefault="00FE0907" w:rsidP="00FE0907">
      <w:pPr>
        <w:pStyle w:val="TextoNormal"/>
      </w:pPr>
      <w:r>
        <w:t xml:space="preserve">No había, por tanto, el más mínimo obstáculo legal para haber accedido a lo que se solicitaba, siendo algo normal en la práctica forense. Y además, se ha producido otra anomalía en el procedimiento, consistente en la forma de requerir la presencia de la Procuradora por medio de una nota, sin reunir ésta los más elementales datos, lo que contrasta con una actuación en la que se pretenda llegar al conocimiento de la verdad material por encima de formalismos que solo pueden entorpecer la búsqueda de dicha verdad. </w:t>
      </w:r>
    </w:p>
    <w:p w:rsidR="00FE0907" w:rsidRDefault="00FE0907" w:rsidP="00FE0907">
      <w:pPr>
        <w:pStyle w:val="TextoNormal"/>
      </w:pPr>
      <w:r>
        <w:t>Finalmente, recuerda el recurrente que este Tribunal Constitucional, en STC 57/1984, de 8 de mayo de 1984, ya indicó que, ante supuestos como el que ahora se plantea, se han de tener en cuenta factores de proporcionalidad, estabilidad y fuerza intrínseca de los he</w:t>
      </w:r>
      <w:r>
        <w:lastRenderedPageBreak/>
        <w:t xml:space="preserve">chos. Es decir, las causas de inadmisión han de interpretarse restrictivamente, tal como han reiterado otras Sentencias (SSTC de 6 de mayo de 1984, 20 de mayo de 1985, 17 de diciembre de 1986 y 5 de abril de 1988). </w:t>
      </w:r>
    </w:p>
    <w:p w:rsidR="00FE0907" w:rsidRDefault="00FE0907" w:rsidP="00FE0907">
      <w:pPr>
        <w:pStyle w:val="TextoNormal"/>
      </w:pPr>
      <w:r>
        <w:t>En consecuencia, concluye la demanda suplicando de este Tribunal dicte Sentencia por la que, otorgando el amparo solicitado, se declare nulo el Auto recurrido, retrotrayendo las actuaciones al momento procesal en que se inadmitió el recurso a fin de que se requiera a la representación procesal para que firme el escrito que originó dicho recurso y, por tanto, se proceda a su tramitación y resolución conforme a Derecho.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Tras la apertura del trámite de admisión poniendo de manifiesto al solicitante de amparo y al Ministerio Fiscal la posible carencia manifiesta de contenido constitucional de la demanda (art. 50.1.c] LOTC), la Sección Cuarta, a la vista de las alegaciones formuladas, por providencia de 29 de enero de 1990, acordó admitir la demanda y solicitar al órgano judicial interviniente en los autos la remisión de certificación o copia adverada de las actuaciones, así como la práctica de los emplazamientos que fueran procedentes. </w:t>
      </w:r>
    </w:p>
    <w:p w:rsidR="00FE0907" w:rsidRDefault="00FE0907" w:rsidP="00FE0907">
      <w:pPr>
        <w:pStyle w:val="TextoNormal"/>
      </w:pPr>
      <w:r>
        <w:t>Por providencia de 31 de mayo siguiente, la Sección acordó tener por personada y parte en el procedimiento a la Procuradora doña Alicia Casado Deleito en nombre y representación de doña Alicia Soriano de Arpe, acusar recibo a la Sección 14ª de la Audiencia Provincial de Madrid de las actuaciones remitidas y dar vista de las mismas a las partes personadas y al Ministerio Fiscal, al objeto de que formularan las alegaciones que estimasen oportunas, conforme determina el art. 52.1 LOTC.</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representación de doña Alicia Soriano de Arpe, en su escrito de alegaciones manifestó que, tal como ya había señalado en su anterior escrito de personación registrado en este Tribunal el 5 de marzo de 1990, en el recurso de amparo planteado concurre la causa de inadmisibilidad prevista en el art. 44.1 a) LOTC, pues contra el Auto impugnado cabía interponer recurso de apelación, de acuerdo con lo previsto en el art. 381 L.E.C. Por tanto, como quiera que la parte recurrente no ha utilizado todos los recursos que podía interponer contra el Auto en cuestión, el recurso debe ser desestimado. </w:t>
      </w:r>
    </w:p>
    <w:p w:rsidR="00FE0907" w:rsidRDefault="00FE0907" w:rsidP="00FE0907">
      <w:pPr>
        <w:pStyle w:val="TextoNormal"/>
      </w:pPr>
      <w:r>
        <w:t xml:space="preserve">Se añade que, aun cuando no se deba ya entrar en su análisis, en cuanto al fondo del asunto no se han producido las vulneraciones de derechos fundamentales que se denuncian, ya que a lo largo del procedimiento no se ha producido situación alguna contraria al principio de igualdad, pues a ambas partes se dio la oportunidad de subsanar defectos cuando con ello no se causaba perjuicio para la tramitación del proceso, lo que no era factible en el supuesto que ha dado lugar al recurso de amparo, una vez que la subsanación del defecto no era ya posible atendiendo al plazo legal para recurrir, sin perjuicio de que de haberse otorgado ese plazo se habría perjudicado a la parte demandada y a la vez vulnerado el principio de seguridad jurídica. </w:t>
      </w:r>
    </w:p>
    <w:p w:rsidR="00FE0907" w:rsidRDefault="00FE0907" w:rsidP="00FE0907">
      <w:pPr>
        <w:pStyle w:val="TextoNormal"/>
      </w:pPr>
      <w:r>
        <w:t xml:space="preserve">En cuanto a la pretendida vulneración del derecho a la tutela judicial efectiva, no puede alegarse que la no resolución de un recurso en materia probatoria, tenga influencia notoria o no en la resolución del pleito, sea motivo de recurso de amparo, ya que siempre existe la posibilidad de reproducir los medios de prueba no practicados en primera instancia en la fase correspondiente del recurso de apelación. </w:t>
      </w:r>
    </w:p>
    <w:p w:rsidR="00FE0907" w:rsidRDefault="00FE0907" w:rsidP="00FE0907">
      <w:pPr>
        <w:pStyle w:val="TextoNormal"/>
      </w:pPr>
      <w:r>
        <w:t>Concluye suplicando de la Sala sea dictada Sentencia deses timando el recurso de amparo.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6</w:t>
      </w:r>
      <w:r>
        <w:t xml:space="preserve">. El Ministerio Fiscal ha interesado la estimación del recurso por vulnerar la resolución judicial recurrida el derecho fundamental a la tutela judicial efectiva consagrado en el art. 24.1 de la Constitución. </w:t>
      </w:r>
    </w:p>
    <w:p w:rsidR="00FE0907" w:rsidRDefault="00FE0907" w:rsidP="00FE0907">
      <w:pPr>
        <w:pStyle w:val="TextoNormal"/>
      </w:pPr>
      <w:r>
        <w:t xml:space="preserve">Señala en su escrito de alegaciones que, de acuerdo con reiterada doctrina de este Tribunal, la causa legal que impide el acceso al recurso tiene que estar recogida y regulada en un precepto legal y ser interpretada sin formalismos enervantes, ni desviaciones de la finalidad del requisito ni del contenido del art. 24.1 de la Constitución. </w:t>
      </w:r>
    </w:p>
    <w:p w:rsidR="00FE0907" w:rsidRDefault="00FE0907" w:rsidP="00FE0907">
      <w:pPr>
        <w:pStyle w:val="TextoNormal"/>
      </w:pPr>
      <w:r>
        <w:t xml:space="preserve">No es ese, sin embargo, el caso de la resolución impugnada, dado que la inadmisión del recurso de reposición se ha basado en la falta de firma del Procurador en el escrito de interposición del citado recurso atendiendo a una interpretación del art. 3 L.E.C. que no se adecua a la doctrina constitucional. La falta de firma en el escrito de interposición del recurso de reposición no significa, en efecto, que falte la representación, sino que falta simplemente un dato material que sólo constituye una prueba de esa realidad, de manera que el órgano judicial debe abrir un plazo para que pueda subsanarse esa falta o defecto mediante la firma del profesional. Todo ello impide, con fundamento en los arts. 24.1 de la Constitución y 11.3 L.O.P.J. que pueda imponerse una sanción desproporcionada a una irregularidad procesal constitutiva de una omisión subsanable como la que ha motivado la decisión judicial y la subsiguiente solicitud de amparo, sin olvidar que si se admite como subsanable la no aportación del documento que contiene el poder del Procurador (arts. 6 y 1710.1 L.E.C.), es lógico y consecuente que sea posible esa subsanación cuando falta la firma del Procurador pero está acreditada la existencia del poder. </w:t>
      </w:r>
    </w:p>
    <w:p w:rsidR="00FE0907" w:rsidRDefault="00FE0907" w:rsidP="00FE0907">
      <w:pPr>
        <w:pStyle w:val="TextoNormal"/>
      </w:pPr>
      <w:r>
        <w:t xml:space="preserve">En suma, la interpretación que el órgano judicial ha dado a la falta del requisito de la firma, inadmitiendo el recurso sin abrir plazo para la subsanación, es una interpretación formalista y enervante que produce una sanción desproporcionada a la naturaleza de la falta, constituyendo así una violación del derecho fundamental a la tutela judicial efectiva. </w:t>
      </w:r>
    </w:p>
    <w:p w:rsidR="00FE0907" w:rsidRDefault="00FE0907" w:rsidP="00FE0907">
      <w:pPr>
        <w:pStyle w:val="TextoNormal"/>
      </w:pPr>
      <w:r>
        <w:t>Siendo, pues, procedente el otorgamiento del amparo por vulnerar la resolución judicial impugnada el art. 24.1 de la Constitución, resulta ya innecesario el examen de la presunta violación del art. 14 del mismo texto fundamental.</w:t>
      </w:r>
    </w:p>
    <w:p w:rsidR="00FE0907" w:rsidRDefault="00FE0907" w:rsidP="00FE0907">
      <w:pPr>
        <w:pStyle w:val="TextoNormal"/>
      </w:pPr>
    </w:p>
    <w:p w:rsidR="00FE0907" w:rsidRDefault="00FE0907" w:rsidP="00FE0907">
      <w:pPr>
        <w:pStyle w:val="TextoNormal"/>
      </w:pPr>
      <w:r w:rsidRPr="00FE0907">
        <w:rPr>
          <w:rStyle w:val="NumeroAFNegritaCaracter"/>
        </w:rPr>
        <w:t>7</w:t>
      </w:r>
      <w:r>
        <w:t>. La representación actora no ha presentado escrito alguno de alegaciones.</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28 de febrero de 1992, se señaló para deliberación y fallo de la presente Sentencia el día 9 de marzo siguiente, quedando concluida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Con carácter previo, y a los efectos de precisar los hechos de los que trae causa la presente demanda de amparo, es preciso señalar que del examen de las actuaciones resulta que, presentada por el ahora recurrente demanda de separación conyugal suplicando del Juzgado, entre otros extremos, se acordase la separación y la concesión al padre de la guarda y custodia de su hija, por providencia de 27 de junio de 1989, el Juez denegó una de las diligencias de prueba propuestas por el actor, declarando, en concreto, impertinente el medio de prueba solicitado consistente en la exploración de la menor.</w:t>
      </w:r>
    </w:p>
    <w:p w:rsidR="00FE0907" w:rsidRDefault="00FE0907" w:rsidP="00FE0907">
      <w:pPr>
        <w:pStyle w:val="TextoNormal"/>
      </w:pPr>
      <w:r>
        <w:t xml:space="preserve">Frente a dicha providencia, la representación actora interpuso recurso de reposición al amparo del art. 567 L.E.C., si bien, por nueva providencia de 10 de julio siguiente, se acordó no haber lugar a acordar sobre dicho recurso por no haber firma de Procurador. Y </w:t>
      </w:r>
      <w:r>
        <w:lastRenderedPageBreak/>
        <w:t>contra esta segunda providencia se interpuso recurso de reposición que por Auto de 1 de septiembre de 1989 fue desestimado, acordándose no reponer la providencia recurrida e indicando en el cuarto de sus fundamentos jurídicos que "contra este Auto, en virtud de lo establecido en el art.  377 de la L.E.C. no cabe recurso alguno".</w:t>
      </w:r>
    </w:p>
    <w:p w:rsidR="00FE0907" w:rsidRDefault="00FE0907" w:rsidP="00FE0907">
      <w:pPr>
        <w:pStyle w:val="TextoNormal"/>
      </w:pPr>
    </w:p>
    <w:p w:rsidR="00FE0907" w:rsidRDefault="00FE0907" w:rsidP="00FE0907">
      <w:pPr>
        <w:pStyle w:val="TextoNormal"/>
      </w:pPr>
      <w:r w:rsidRPr="00FE0907">
        <w:rPr>
          <w:rStyle w:val="NumeroAFNegritaCaracter"/>
        </w:rPr>
        <w:t>2</w:t>
      </w:r>
      <w:r>
        <w:t>. La representación de la parte demandada entiende sin embargo que dicho Auto era recurrible en apelación, y que al no haberse hecho así se había inobservado el requisito establecido en el art. 44.1 a) LOTC.</w:t>
      </w:r>
    </w:p>
    <w:p w:rsidR="00FE0907" w:rsidRDefault="00FE0907" w:rsidP="00FE0907">
      <w:pPr>
        <w:pStyle w:val="TextoNormal"/>
      </w:pPr>
      <w:r>
        <w:t>Ante la taxativa indicación que en el Auto se hiciera sobre la inexistencia de recurso alguno, aun cuando esa indicación pudiese haber sido inexacta, su estricta observancia por el recurrente no puede acarrearle el perjuicio dimanante de una inadmisión a trámite del recurso de amparo por falta de agotamiento de la vía judicial previa, ni determinar ahora la desestimación del recurso sin adoptar un pronunciamiento sobre el fondo de la cuestión.</w:t>
      </w:r>
    </w:p>
    <w:p w:rsidR="00FE0907" w:rsidRDefault="00FE0907" w:rsidP="00FE0907">
      <w:pPr>
        <w:pStyle w:val="TextoNormal"/>
      </w:pPr>
      <w:r>
        <w:t>De acuerdo al reiterado criterio de este Tribunal, esa indicación inexacta puede explicar que la parte adopte una actuación procesal equivocada, no exclusivamente atribuible a su negligencia o impericia, dada la indudable autoridad inherente a la comunicación judicial (entre otras y por todas, STC 36/1989, fundamento jurídico 3º). Por ello, sin entrar en la viabilidad o no de ese recurso de apelación, hemos de entender que la indicación del órgano judicial, seguida puntualmente por el recurrente, pudo llevarlo a considerar inviable cualquier otro recurso y estimar agotada la vía judicial previa al recurso de amparo, sin incurrir, a la luz de las circunstancias expresadas, en una actuación negligente o carente de toda pericia.</w:t>
      </w:r>
    </w:p>
    <w:p w:rsidR="00FE0907" w:rsidRDefault="00FE0907" w:rsidP="00FE0907">
      <w:pPr>
        <w:pStyle w:val="TextoNormal"/>
      </w:pPr>
    </w:p>
    <w:p w:rsidR="00FE0907" w:rsidRDefault="00FE0907" w:rsidP="00FE0907">
      <w:pPr>
        <w:pStyle w:val="TextoNormal"/>
      </w:pPr>
      <w:r w:rsidRPr="00FE0907">
        <w:rPr>
          <w:rStyle w:val="NumeroAFNegritaCaracter"/>
        </w:rPr>
        <w:t>3</w:t>
      </w:r>
      <w:r>
        <w:t>. La cuestión de fondo planteada por el solicitante de amparo sobre la que debe centrarse la atención no es otra que la posible lesión del derecho fundamental a la tutela judicial efectiva como consecuencia del rechazo, sin pronunciamiento alguno sobre el mismo, del recurso interpuesto contra la providencia que declaró impertinente un determinado medio de prueba.</w:t>
      </w:r>
    </w:p>
    <w:p w:rsidR="00FE0907" w:rsidRDefault="00FE0907" w:rsidP="00FE0907">
      <w:pPr>
        <w:pStyle w:val="TextoNormal"/>
      </w:pPr>
      <w:r>
        <w:t>Se alega, asimismo, la vulneración del principio de igualdad, porque a la parte contraria se le habría dado oportunidad de subsanar la falta de firma de la Procuradora en algunos escritos, pero tal alegación puede rechazarse sin necesidad de un especial examen. Si la actuación judicial fue ajustada a las normas que regulan el desarrollo del proceso y, por tanto, conforme a Derecho, la invocación del principio de igualdad -que es posible efectuar sólo desde la legalidad, como reiteradamente hemos señalado- carecería ya de todo fundamento constitucional, pues lo que cuestionaría más bien sería la legalidad de aquellas decisiones que no son objeto de impugnación en este proceso. Aparte de ello, el órgano judicial razona suficientemente la falta de identidad de los supuestos en que la pretendida desigualdad se apoya, pues en los otros casos la omisión pudo ser subsanada dentro de plazo, al contrario de lo ocurrido en el presente supuesto.</w:t>
      </w:r>
    </w:p>
    <w:p w:rsidR="00FE0907" w:rsidRDefault="00FE0907" w:rsidP="00FE0907">
      <w:pPr>
        <w:pStyle w:val="TextoNormal"/>
      </w:pPr>
      <w:r>
        <w:t>Por ello, hemos de limitar nuestro análisis a la pretendida infracción del art. 24.1 de la Constitución.</w:t>
      </w:r>
    </w:p>
    <w:p w:rsidR="00FE0907" w:rsidRDefault="00FE0907" w:rsidP="00FE0907">
      <w:pPr>
        <w:pStyle w:val="TextoNormal"/>
      </w:pPr>
    </w:p>
    <w:p w:rsidR="00FE0907" w:rsidRDefault="00FE0907" w:rsidP="00FE0907">
      <w:pPr>
        <w:pStyle w:val="TextoNormal"/>
      </w:pPr>
      <w:r w:rsidRPr="00FE0907">
        <w:rPr>
          <w:rStyle w:val="NumeroAFNegritaCaracter"/>
        </w:rPr>
        <w:t>4</w:t>
      </w:r>
      <w:r>
        <w:t>. La vulneración del derecho a la tutela judicial efectiva se imputa al Auto que se impugna en cuanto confirma la providencia que resolvió no acordar sobre el recurso de reposición del actor, por no constar en el mismo la firma de la procuradora, no habiéndose así pronunciado el órgano judicial sobre el fondo de dicho recurso.</w:t>
      </w:r>
    </w:p>
    <w:p w:rsidR="00FE0907" w:rsidRDefault="00FE0907" w:rsidP="00FE0907">
      <w:pPr>
        <w:pStyle w:val="TextoNormal"/>
      </w:pPr>
      <w:r>
        <w:lastRenderedPageBreak/>
        <w:t>Se invoca en la demanda y también en el escrito de alegaciones del Ministerio Fiscal, la reiteradísima doctrina respecto al alcance de la omisión o falta de firma tanto del Abogado como del Procurador (por todas, como más reciente, la STC 16/1992).  De acuerdo a dicha doctrina, en el ámbito del derecho a la tutela judicial efectiva se comprende por natural extensión el derecho al recurso y a las diversas instancias judiciales legalmente previstas, para cuyo acceso han de cumplirse los requisitos y presupuestos legalmente establecidos, más intensos en materia de recursos, que como tales no pueden considerarse un obstáculo al ejercicio del derecho fundamental de acceso a la justicia. Sólo cuando esas exigencias obstaculicen de modo excesivo e irrazonable aquel ejercicio, es cuando la inadmisión del recurso puede resultar desmesurada y vulneradora del derecho fundamental en juego (STC 87/1986).</w:t>
      </w:r>
    </w:p>
    <w:p w:rsidR="00FE0907" w:rsidRDefault="00FE0907" w:rsidP="00FE0907">
      <w:pPr>
        <w:pStyle w:val="TextoNormal"/>
      </w:pPr>
      <w:r>
        <w:t>La exigencia de interpretación favorable al derecho fundamental de los requisitos y formas de las secuencias procesales en especial los que abren el acceso a los recursos legalmente establecidos, y de asegurar una debida proporcionalidad entre el defecto incurrido y la sanción que se deriva del mismo, no puede conducir al desconocimiento e ineficacia total de los presupuestos procesales establecidos por las leyes para la admisión de los recursos, ni dejar a la disponibilidad o arbitrio de las partes el modo de su cumplimiento (STC 29/1985). El cumplimiento de las formalidades requeridas por la ley es también una exigencia constitucional, pues "no responden al capricho puramente ritual del legislador, sino a la necesidad de dotar al proceso de ciertas formalidades objetivas en garantía de los derechos e intereses legítimos de las partes que intervienen en el proceso" (STC 16/1992).</w:t>
      </w:r>
    </w:p>
    <w:p w:rsidR="00FE0907" w:rsidRDefault="00FE0907" w:rsidP="00FE0907">
      <w:pPr>
        <w:pStyle w:val="TextoNormal"/>
      </w:pPr>
      <w:r>
        <w:t>En el presente caso hemos de examinar, por consiguiente, si puede considerarse desmesurada la decisión del órgano judicial de no pronunciarse sobre el contenido del recurso de reposición.</w:t>
      </w:r>
    </w:p>
    <w:p w:rsidR="00FE0907" w:rsidRDefault="00FE0907" w:rsidP="00FE0907">
      <w:pPr>
        <w:pStyle w:val="TextoNormal"/>
      </w:pPr>
    </w:p>
    <w:p w:rsidR="00FE0907" w:rsidRDefault="00FE0907" w:rsidP="00FE0907">
      <w:pPr>
        <w:pStyle w:val="TextoNormal"/>
      </w:pPr>
      <w:r w:rsidRPr="00FE0907">
        <w:rPr>
          <w:rStyle w:val="NumeroAFNegritaCaracter"/>
        </w:rPr>
        <w:t>5</w:t>
      </w:r>
      <w:r>
        <w:t>. A tal efecto resulta relevante destacar, en primer lugar, la existencia de un grave defecto procesal, debido a la negligencia profesional de la representación de la parte, como es la falta de firma de la Procurador en el escrito del recurso.  Se trata de un defecto procesal indubitado, sin que pueda defenderse una interpretación conforme a la Constitución que pudiera llevar a la inexigencia de dicha firma.  No se plantea aquí pues, tanto un problema de "formalismo enervante" en la exigencia del cumplimiento del requisito, sino que lo que se cuestiona es el no haber permitido la subsanación del defecto en un momento en que el órgano judicial lo estimó tardío.</w:t>
      </w:r>
    </w:p>
    <w:p w:rsidR="00FE0907" w:rsidRDefault="00FE0907" w:rsidP="00FE0907">
      <w:pPr>
        <w:pStyle w:val="TextoNormal"/>
      </w:pPr>
      <w:r>
        <w:t>En efecto, el órgano judicial ha reconocido la subsanabilidad del defecto e incluso ha tratado de dar ocasión para subsanarlo, pues consta en las actuaciones que se le envió una nota a la Procuradora para que se personase urgentemente en el Juzgado, que transcurrieron varios días antes de que se dictase la providencia inadmitiendo el recurso de reposición, aunque en la demanda se afirma apodícticamente, sin darse razones sobre ello, que no conoció personalmente de dicha nota, sino tardíamente.</w:t>
      </w:r>
    </w:p>
    <w:p w:rsidR="00FE0907" w:rsidRDefault="00FE0907" w:rsidP="00FE0907">
      <w:pPr>
        <w:pStyle w:val="TextoNormal"/>
      </w:pPr>
      <w:r>
        <w:t>El órgano judicial trató de que el defecto pudiera subsanarse, de modo que la demanda podría dirigirse más bien a impugnar la forma peculiar mediante la que se trató de lograr esa subsanación, una nota de comparecencia urgente en el Juzgado en relación con dicho asunto. Como tal, la forma de dicha comunicación no puede por sí misma considerarse como un obstáculo para la subsanación, sin que se hayan expuesto las razones por las que esa comunicación llegó tardíamente a conocimiento "personal" de la Procuradora, lo que da a entender que ese retraso en el conocimiento no se imputa directamente a la negligencia u omisión del órgano judicial.</w:t>
      </w:r>
    </w:p>
    <w:p w:rsidR="00FE0907" w:rsidRDefault="00FE0907" w:rsidP="00FE0907">
      <w:pPr>
        <w:pStyle w:val="TextoNormal"/>
      </w:pPr>
      <w:r>
        <w:lastRenderedPageBreak/>
        <w:t>En todo caso, esa subsanación no tuvo lugar y se solicita precisamente en la vía del recurso frente a la providencia que inadmitió el recurso de reposición. El Auto aquí impugnado justifica la confirmación de la providencia invocando el principio de seguridad jurídica y la imposibilidad de subsanar ya tardíamente el defecto, una vez transcurrido el plazo legal para recurrir, y en perjuicio de las otras partes del proceso.  No es pues la insubsanabilidad del defecto lo que sirve de justificación a la decisión del Juez, sino el no haberlo subsanado a tiempo.</w:t>
      </w:r>
    </w:p>
    <w:p w:rsidR="00FE0907" w:rsidRDefault="00FE0907" w:rsidP="00FE0907">
      <w:pPr>
        <w:pStyle w:val="TextoNormal"/>
      </w:pPr>
      <w:r>
        <w:t>Esta imputación del carácter tardío de la posible subsanación es lo que ha de enjuiciarse desde el punto de vista de su compatibilidad con el derecho reconocido en el art. 24.1 C.E., debiendose recordar que la no subsanación del defecto procesal en el plazo conferido a tal efecto, convierte a aquel en firme e insubsanable, y no resulta contrario a la tutela judicial en este tipo de recursos interlocutorios hacer coincidir el plazo de subsanación con el plazo de recurso, cuando dentro del mismo esa subsanación hubiera sido posible, como puede entenderse que ha ocurrido en el presente caso. Pero aún, de no entenderse así, y se aceptara la tesis de la recurrente, de que no se le dio ocasión para subsanar, tampoco ello bastaría para estimar lesionado el derecho fundamental, y estimar la demanda, en función de la proporcionalidad entre el defecto y las consecuencias que se derivan de la inadmisión del recurso de reposición.</w:t>
      </w:r>
    </w:p>
    <w:p w:rsidR="00FE0907" w:rsidRDefault="00FE0907" w:rsidP="00FE0907">
      <w:pPr>
        <w:pStyle w:val="TextoNormal"/>
      </w:pPr>
    </w:p>
    <w:p w:rsidR="00FE0907" w:rsidRDefault="00FE0907" w:rsidP="00FE0907">
      <w:pPr>
        <w:pStyle w:val="TextoNormal"/>
      </w:pPr>
      <w:r w:rsidRPr="00FE0907">
        <w:rPr>
          <w:rStyle w:val="NumeroAFNegritaCaracter"/>
        </w:rPr>
        <w:t>6</w:t>
      </w:r>
      <w:r>
        <w:t>. A tal efecto, resulta especialmente relevante, también en conexión con la naturaleza y el carácter subsidiario del recurso de amparo, el efectivo alcance de la supuesta infracción procesal denunciada en la demanda.</w:t>
      </w:r>
    </w:p>
    <w:p w:rsidR="00FE0907" w:rsidRDefault="00FE0907" w:rsidP="00FE0907">
      <w:pPr>
        <w:pStyle w:val="TextoNormal"/>
      </w:pPr>
      <w:r>
        <w:t>La jurisprudencia constitucional que invocan el recurrente y el Ministerio Fiscal en relación con el acceso a los recursos y su transcendencia constitucional, ha sido formulada en supuestos de acceso a recursos de casación, suplicación, apelación o similares, de modo que la constitucionalización del derecho al recurso debe conectarse con la protección constitucional del acceso "a las diversas instancias judiciales previstas en las leyes" (STC 87/1986). Esta doctrina no puede generalizarse y extenderse sin más a todas y cada una de las impugnaciones, remedios e incidentes que se den en el curso del procedimiento judicial, de forma que cualquier infracción eventual de una norma de procedimiento, en relación a los mismos, transcienda del ámbito de la legalidad ordinaria, que corresponde aplicar en exclusiva al órgano judicial, y alcance directamente transcendencia constitucional, bajo la cobertura genérica del derecho a la tutela judicial efectiva del art.  24.1 C.E. .</w:t>
      </w:r>
    </w:p>
    <w:p w:rsidR="00FE0907" w:rsidRDefault="00FE0907" w:rsidP="00FE0907">
      <w:pPr>
        <w:pStyle w:val="TextoNormal"/>
      </w:pPr>
      <w:r>
        <w:t>No es necesario insistir, en que el Tribunal Constitucional no es una instancia de revisión que permita el control jurídico de las decisiones judiciales, en función de su corrección desde el punto de vista legal. El desarrollo del procedimiento, la fijación y valoración del supuesto de hecho, la interpretación de la legalidad ordinaria y su aplicación al caso concreto son competencia de los jueces ordinarios y su control y revisión no corresponde a este Tribunal, salvo la existencia de una violación de un derecho fundamental específico y en relación además con esa violación específica.  El trazado de las fronteras entre la legalidad ordinaria y el derecho fundamental, resulta menos claro en relación a las garantías sustanciales del procedimiento que para asegurar un juicio justo configura como derechos fundamentales el art. 24.  C.E..  Ello implica que determinadas decisiones judiciales que aplican normas procesales pueden tener trascendencia constitucional, y, en consecuencia, revisables en este proceso de amparo, en cuanto que constituyan lesiones específicas de esas garantías constitucionalizadas, pero estos "quebrantamientos de forma" con transcendencia constitucional han de considerarse como la excepción a la regla general de la competencia exclusiva de los Tribunales en la aplicación de la legislación material y procesal.</w:t>
      </w:r>
    </w:p>
    <w:p w:rsidR="00FE0907" w:rsidRDefault="00FE0907" w:rsidP="00FE0907">
      <w:pPr>
        <w:pStyle w:val="TextoNormal"/>
      </w:pPr>
      <w:r>
        <w:lastRenderedPageBreak/>
        <w:t>Desde esta perspectiva,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sin que pueda darse igual transcendencia a la pérdida de un remedio interlocutorio, como el recurso de reposición contemplado en este supuesto.</w:t>
      </w:r>
    </w:p>
    <w:p w:rsidR="00FE0907" w:rsidRDefault="00FE0907" w:rsidP="00FE0907">
      <w:pPr>
        <w:pStyle w:val="TextoNormal"/>
      </w:pPr>
      <w:r>
        <w:t>No resulta en el presente caso desmesurada, de modo evidente y palmario, la pérdida de este recurso al no existir desproporción entre la gravedad del defecto y la consecuencia que se hace derivar del mismo.</w:t>
      </w:r>
    </w:p>
    <w:p w:rsidR="00FE0907" w:rsidRDefault="00FE0907" w:rsidP="00FE0907">
      <w:pPr>
        <w:pStyle w:val="TextoNormal"/>
      </w:pPr>
      <w:r>
        <w:t>La consecuencia vinculada al defecto procesal cuya subsanación tardía no fue posibilitada por el órgano judicial, sólo ha determinado que uno de los medios de prueba propuesto por el recurrente quedara definitivamente rechazado en la instancia, pero lo cierto es que con ello no se cerró la posibilidad de que idéntica pretensión pudiera ser reproducida, en su caso, en la segunda instancia, tal como dispone el art.  567, pf.  segundo, de la L.E.C..  E, incluso, cabe añadir que esa denegación, en el momento procesal mismo en el que se accedió al recurso de amparo, no podía considerarse ya como definitivamente constitutiva de una efectiva y real vulneración del derecho fundamental a la tutela judicial efectiva sin que, en ningún caso, pueda producirse indefensión (art. 24.1 C.E.), pues las consecuencias anudadas al rechazo del recurso de reposición planteado no son autónomas, ni pueden desvincularse del sentido del fallo de la Sentencia final, por cuanto si éste fuera favorable a la pretensión actora no se habría producido, a pesar de la infracción procesal, lesión efectiva del derecho fundamental ahora invocado, y aun cuando no lo fuese, siempre cabría reproducir, como antes hemos dicho, la solicitud de prueba en la segunda instancia, aparte de que el vicio procesal que aquí se denuncia, pudo haberse hecho valer también contra la Sentencia de instancia desestimatoria (STC 43/1988).</w:t>
      </w:r>
    </w:p>
    <w:p w:rsidR="00FE0907" w:rsidRDefault="00FE0907" w:rsidP="00FE0907">
      <w:pPr>
        <w:pStyle w:val="TextoNormal"/>
      </w:pPr>
      <w:r>
        <w:t>De este modo, no puede imputarse al órgano judicial una infracción procesal de relevancia constitucional constitutiva de lesión del derecho consagrado en el art. 24.1 C.E., al no poderse considerar como "desmesurada" o desproporcionada en relación al defecto del escrito de la parte, la decisión de inadmisión del recurso por la falta de subsanación a tiempo del defecto de la falta de firma de la Procuradora, en relación además a una eventual infracción procesal producida con ocasión de un recurso interlocutorio de las características ya vistas, que sólo potencialmente podría dar lugar a la lesión del derecho a la tutela judicial sin indefensión.</w:t>
      </w:r>
    </w:p>
    <w:p w:rsidR="00FE0907" w:rsidRDefault="00FE0907" w:rsidP="00FE0907">
      <w:pPr>
        <w:pStyle w:val="TextoNormal"/>
      </w:pPr>
      <w:r>
        <w:t>Por todo lo cual, procede la desestimación del presente recurso.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5" w:name="SENTENCIA_1992_42"/>
      <w:r>
        <w:lastRenderedPageBreak/>
        <w:t>SENTENCIA 42/1992, de 30 de marzo de 1992</w:t>
      </w:r>
    </w:p>
    <w:bookmarkEnd w:id="45"/>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ECLI:ES:TC:1992:42</w:t>
      </w:r>
    </w:p>
    <w:p w:rsidR="00FE0907" w:rsidRDefault="00FE0907" w:rsidP="00FE0907">
      <w:pPr>
        <w:pStyle w:val="SntesisDescriptiva"/>
      </w:pPr>
    </w:p>
    <w:p w:rsidR="00FE0907" w:rsidRDefault="00FE0907" w:rsidP="00FE0907">
      <w:pPr>
        <w:pStyle w:val="SntesisDescriptiva"/>
      </w:pPr>
      <w:r>
        <w:t>Recurso de amparo 2.123/1989. Contra Sentencia del Tribunal Supremo que declaró inapelable Sentencia contencioso-administrativa recaída en procedimiento sobre autorización para suspender contrato de trabajo.</w:t>
      </w:r>
    </w:p>
    <w:p w:rsidR="00FE0907" w:rsidRDefault="00FE0907" w:rsidP="00FE0907">
      <w:pPr>
        <w:pStyle w:val="SntesisDescriptiva"/>
      </w:pPr>
    </w:p>
    <w:p w:rsidR="00FE0907" w:rsidRDefault="00FE0907" w:rsidP="00FE0907">
      <w:pPr>
        <w:pStyle w:val="SntesisAnaltica"/>
      </w:pPr>
      <w:r>
        <w:t>Supuesta vulneración del derecho a la tutela judicial efectiva: derecho a los recursos</w:t>
      </w:r>
    </w:p>
    <w:p w:rsidR="00FE0907" w:rsidRDefault="00FE0907" w:rsidP="00FE0907">
      <w:pPr>
        <w:pStyle w:val="SntesisAnaltica"/>
      </w:pPr>
    </w:p>
    <w:p w:rsidR="00FE0907" w:rsidRDefault="00FE0907" w:rsidP="00FE0907">
      <w:pPr>
        <w:pStyle w:val="Extracto"/>
      </w:pPr>
      <w:r>
        <w:t>1.</w:t>
      </w:r>
      <w:r>
        <w:tab/>
        <w:t>Este Tribunal ha declarado que «resulta incuestionable que el cumplimiento de los requisitos procesales es un tema de orden público cuyo control, en modo alguno, puede negarse al Tribunal superior que tiene la competencia para conocer y resolver los recursos que ante el mismo se interpongan, ya que no está vinculado por las decisiones que haya adoptado, en tal materia, el órgano judicial inferior cuya resolución es objeto del recurso... » (STC 113/1990) [F.J. 3].</w:t>
      </w:r>
    </w:p>
    <w:p w:rsidR="00FE0907" w:rsidRDefault="00FE0907" w:rsidP="00FE0907">
      <w:pPr>
        <w:pStyle w:val="Extracto"/>
      </w:pPr>
    </w:p>
    <w:p w:rsidR="00FE0907" w:rsidRDefault="00FE0907" w:rsidP="00FE0907">
      <w:pPr>
        <w:pStyle w:val="Extracto"/>
      </w:pPr>
      <w:r>
        <w:t>2.</w:t>
      </w:r>
      <w:r>
        <w:tab/>
        <w:t>Con independencia de si la vía adecuada para poner de manifiesto a las partes la concurrencia de una posible causa de inadmisión de carácter formal es la prevista en el art. 43.2 de la Ley de la Jurisdicción Contencioso-Administrativa, cuestión de estricta legalidad ordinaria que queda fuera de la competencia de este Tribunal, es evidente que, al utilizarla, el Tribunal Supremo ha dado efectividad precisamente al derecho fundamental a la tutela judicial efectiva, al dar oportunidad a las partes para que alegaran lo que estimaran conveniente sobre una cuestión, la posible inapelabilidad de la Sentencia de instancia, que no había sido suscitada por la parte alegada, habiendo presentado, efectivamente, las alegaciones correspondientes la sociedad demandante, por lo que en manera alguna se le ha producido indefensión con relevancia jurídico-constitucional [F. J. 4].</w:t>
      </w:r>
    </w:p>
    <w:p w:rsidR="00FE0907" w:rsidRDefault="00FE0907" w:rsidP="00FE0907">
      <w:pPr>
        <w:pStyle w:val="Extracto"/>
      </w:pPr>
    </w:p>
    <w:p w:rsidR="00FE0907" w:rsidRDefault="00FE0907" w:rsidP="00FE0907">
      <w:pPr>
        <w:pStyle w:val="Extracto"/>
      </w:pPr>
      <w:r>
        <w:t>3.</w:t>
      </w:r>
      <w:r>
        <w:tab/>
        <w:t>Este Tribunal, ante una supuesta vulneración del derecho a la tutela judicial efectiva, debe limitarse a enjuiciar si la resolución adoptada por el órgano judicial está jurídicamente motivada y no resulta arbitraria, irrazonada o irrazonable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2.123/89, promovido por Hulleras del Norte S.A., representada por el Procurador de los Tribunales don Rafael Ortíz de Solozarno y Arbex, y asistida del Letrado don Jaime Ruiz de Velasco Martínez de Ercilla, contra la Sentencia de la Sección Segunda de la Sala Tercera del Tribunal Supremo, de 28 de julio de 1989, recaída en el recurso de apelación núm. 2.657/87. Han sido partes el Ministerio Fiscal y el Abogado del Estado, y Ponente el Magistrado don Alvaro Rodríguez Bereijo,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el Registro General de este Tribunal el día 27 de octubre de 1989, don Rafael Ortíz de Solozarno y Arbex, Procurador de los Tribunales, en nombre y representación de Hulleras del Norte, S.A., interpuso recurso de amparo contra la Sentencia de la Sección Segunda de la Sala Tercera del Tribunal Supremo de 28 de julio de 1989, por la que se declaraba la inapelabilidad de la Sentencia de la Sala de lo Contencioso-Administrativo de la antigua Audiencia Territorial de Oviedo de 4 de octubre de 1986, recaída en el recurso núm. 1.033/85, sobre autorización para suspender contrato de trabajo de 288 trabajadores.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los siguientes hechos: </w:t>
      </w:r>
    </w:p>
    <w:p w:rsidR="00FE0907" w:rsidRDefault="00FE0907" w:rsidP="00FE0907">
      <w:pPr>
        <w:pStyle w:val="TextoNormal"/>
      </w:pPr>
      <w:r>
        <w:t xml:space="preserve">A) La Empresa Nacional Hulleras del Norte, S.A. (en lo sucesivo HUNOSA), solicitó de la Dirección Provincial de Trabajo de Oviedo, la suspensión de los contratos de trabajo de 288 trabajadores de su plantilla, como consecuencia de una gran avería que se produjo en el pozo Entiego el día 9 de noviembre de 1985. </w:t>
      </w:r>
    </w:p>
    <w:p w:rsidR="00FE0907" w:rsidRDefault="00FE0907" w:rsidP="00FE0907">
      <w:pPr>
        <w:pStyle w:val="TextoNormal"/>
      </w:pPr>
      <w:r>
        <w:t xml:space="preserve">La Dirección Provincial de Trabajo de Oviedo mediante Resolución de 13 de marzo de 1985, desestimó la petición, siendo confirmada en alzada por la Resolución de la Dirección General de Trabajo de 27 de septiembre de 1985. </w:t>
      </w:r>
    </w:p>
    <w:p w:rsidR="00FE0907" w:rsidRDefault="00FE0907" w:rsidP="00FE0907">
      <w:pPr>
        <w:pStyle w:val="TextoNormal"/>
      </w:pPr>
      <w:r>
        <w:t xml:space="preserve">B) Contra las referidas Resoluciones, se formuló recurso contencioso-administrativo ante la Sala de lo Contencioso-Administrativo de la Audiencia Territorial de Oviedo, que fue registrado con el núm. 1.033/85 siguiéndose los trámites del procedimiento ordinario, recayendo Sentencia desestimatoria el día 4 de octubre de 1986. Interpuesto recurso de apelación, es admitido en ambos efectos, personándose dentro de plazo la parte recurrente ante la Sala Tercera del Tribunal Supremo, incoándose el correspondiente rollo de apelación con el num. 2.657/87. </w:t>
      </w:r>
    </w:p>
    <w:p w:rsidR="00FE0907" w:rsidRDefault="00FE0907" w:rsidP="00FE0907">
      <w:pPr>
        <w:pStyle w:val="TextoNormal"/>
      </w:pPr>
      <w:r>
        <w:t xml:space="preserve">Mediante providencia de 20 de marzo de 1987 de la Sección Segunda de la Sala Tercera del Tribunal Supremo, se tiene por personada y parte a la solicitante de amparo, concediéndole un plazo de veinte días para presentar escrito de alegaciones, evacuando dicho trámite en el plazo conferido. </w:t>
      </w:r>
    </w:p>
    <w:p w:rsidR="00FE0907" w:rsidRDefault="00FE0907" w:rsidP="00FE0907">
      <w:pPr>
        <w:pStyle w:val="TextoNormal"/>
      </w:pPr>
      <w:r>
        <w:t xml:space="preserve">C) Por providencia de la referida Sala de 22 de junio de 1988 se señaló día y hora para deliberación y fallo del recurso. Mediante providencia de 3 de noviembre de 1988, la Sala de conformidad con el art. 43.2 de la L.J.C.A., con suspensión del término para dictar Sentencia, somete a la consideración de las partes la cuestión relativa a la inapelabilidad de la Sentencia objeto de recurso si se estimare que se trataba de una cuestión de personal comprendida en el supuesto del art. 94.1 a) de la citada Ley, alegando la entidad demandante </w:t>
      </w:r>
      <w:r>
        <w:lastRenderedPageBreak/>
        <w:t xml:space="preserve">en amparo que no se estaba ante una cuestión de personal, mientras que el Abogado del Estado manifestó que se declarara mal admitido el recurso de apelación. </w:t>
      </w:r>
    </w:p>
    <w:p w:rsidR="00FE0907" w:rsidRDefault="00FE0907" w:rsidP="00FE0907">
      <w:pPr>
        <w:pStyle w:val="TextoNormal"/>
      </w:pPr>
      <w:r>
        <w:t>La Sala, el día 28 de julio de 1989, dictó Sentencia declarando la inapelabilidad de la Sentencia recurrida, por aplicación del art. 94.1 a) de la L.J.C.A, al haber considerado, de acuerdo con reiterada jurisprudencia, que la suspensión de relaciones laborales de 288 de trabajadores por causa de fuerza mayor, es una cuestión de personal al servicio de particulares.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sociedad recurrente en amparo imputa a la Sentencia impugnada la lesión del derecho fundamental a la tutela judicial efectiva, sin indefensión, garantizado en el art. 24.1 C.E., por tres motivos. </w:t>
      </w:r>
    </w:p>
    <w:p w:rsidR="00FE0907" w:rsidRDefault="00FE0907" w:rsidP="00FE0907">
      <w:pPr>
        <w:pStyle w:val="TextoNormal"/>
      </w:pPr>
      <w:r>
        <w:t xml:space="preserve">El primero porque la Sala del Tribunal Supremo carecía de competencia para plantear cuestión de inapelabilidad, en un recurso de apelación admitido en ambos efectos, sustanciado en todas sus partes y por lo tanto concluso, pendiente de señalamiento para votación y fallo, sin que la parte apelada entendiera mal admitida la apelación, ni en el momento procesal oportuno lo planteara. </w:t>
      </w:r>
    </w:p>
    <w:p w:rsidR="00FE0907" w:rsidRDefault="00FE0907" w:rsidP="00FE0907">
      <w:pPr>
        <w:pStyle w:val="TextoNormal"/>
      </w:pPr>
      <w:r>
        <w:t xml:space="preserve">En segundo lugar, porque la Sala no estaba facultada para plantear la cuestión de inapelabilidad en un recurso de apelación, al amparo del art. 43.2 de la Ley de la Jurisdicción Contencioso-Administrativa, ya que dicho precepto sólo permite plantear a las partes otros motivos susceptibles de fundar el recurso o la oposición, para mejor resolver lo sometido a su conocimiento, dentro de los límites de las pretensiones y alegaciones de fundamentación del recurso y oposición de las mismas partes, para mejor dictar Sentencia sobre el fondo. </w:t>
      </w:r>
    </w:p>
    <w:p w:rsidR="00FE0907" w:rsidRDefault="00FE0907" w:rsidP="00FE0907">
      <w:pPr>
        <w:pStyle w:val="TextoNormal"/>
      </w:pPr>
      <w:r>
        <w:t xml:space="preserve">Por último, se entiende que también se ha vulnerado el art. 24.1 C.E., porque la cuestión de inapelabilidad planteada no es una cuestión de personal, dado que en manera alguna se refiere a sueldos, haberes, gratificaciones, retribuciones, concursos u oposiciones de funcionarios u otro tipo de cuestiones de personal, sino que el tema de fondo del recurso es el de si procede o no la suspensión de 288 contratos de trabajo por caso fortuito, asimilable a la fuerza mayor, a la que se refiere el art. 45.1 i) del Estatuto de los Trabajadores. </w:t>
      </w:r>
    </w:p>
    <w:p w:rsidR="00FE0907" w:rsidRDefault="00FE0907" w:rsidP="00FE0907">
      <w:pPr>
        <w:pStyle w:val="TextoNormal"/>
      </w:pPr>
      <w:r>
        <w:t xml:space="preserve">En virtud de lo expuesto suplíca, que se dicte Sentencia otorgando el amparo y declarando la nulidad de la Sentencia recurrida, retrotrayéndose las actuaciones al momento inmediatamente anterior de dictarla, reconociendo el derecho de la sociedad solicitante de amparo a que el recurso contencioso-administrativo no sea declarado inadmisible. </w:t>
      </w:r>
    </w:p>
    <w:p w:rsidR="00FE0907" w:rsidRDefault="00FE0907" w:rsidP="00FE0907">
      <w:pPr>
        <w:pStyle w:val="TextoNormal"/>
      </w:pPr>
      <w:r>
        <w:t>Finalmente, a tenor del art. 56 de la LOTC solicita que se acuerde la suspensión de la ejecución de la Sentencia de la Sala de lo Contencioso-Administrativo de la Audiencia Territorial de Oviedo de 4 de octubre de 1986, declarada firme por la Sentencia impugnada.</w:t>
      </w:r>
    </w:p>
    <w:p w:rsidR="00FE0907" w:rsidRDefault="00FE0907" w:rsidP="00FE0907">
      <w:pPr>
        <w:pStyle w:val="TextoNormal"/>
      </w:pPr>
    </w:p>
    <w:p w:rsidR="00FE0907" w:rsidRDefault="00FE0907" w:rsidP="00FE0907">
      <w:pPr>
        <w:pStyle w:val="TextoNormal"/>
      </w:pPr>
      <w:r w:rsidRPr="00FE0907">
        <w:rPr>
          <w:rStyle w:val="NumeroAFNegritaCaracter"/>
        </w:rPr>
        <w:t>4</w:t>
      </w:r>
      <w:r>
        <w:t>. Una vez acreditada la fecha de notificación de la Sentencia recurrida por la entidad demandante, la Seccción Cuarta mediante providencia de 29 de enero de 1990 acordó admitir a trámite la demanda de amparo formulada, así como a tenor del art. 51 de la LOTC, requerir a la Sala Tercera del Tribunal Supremo y a la Sala de lo Contencioso-Administrativo de la Audiencia Territorial de Oviedo, para que en el plazo de diez días remitieran certificación o fotocopia adverada de las actuaciones correspondientes al presente recurso de amparo; interesándose al propio tiempo del último órgano judicial que se emplazase a quienes fueron parte en el procedimiento para que en el plazo de diez días pudieran comparecer en este proceso, haciéndose constar en dicho emplazamiento la exclusión de quienes quisieran coadyuvar con la entidad recurrente o formular cualquier im</w:t>
      </w:r>
      <w:r>
        <w:lastRenderedPageBreak/>
        <w:t>pugnación y les hubiera transcurrido el plazo para recurrir. Y mediante providencia de igual fecha que la anterior se acuerda formar la correspondiente pieza separada para la sustanciación del incidente de suspensión, recayendo Auto de la Sala Segunda de 26 de febrero de 1990 denegando la suspensión solicitada.</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día 21 de febrero de 1990 presentó escrito el Abogado del Estado personándose. </w:t>
      </w:r>
    </w:p>
    <w:p w:rsidR="00FE0907" w:rsidRDefault="00FE0907" w:rsidP="00FE0907">
      <w:pPr>
        <w:pStyle w:val="TextoNormal"/>
      </w:pPr>
      <w:r>
        <w:t xml:space="preserve">La Sección Cuarta, por providencia de 18 de junio de 1990, acordó acusar recibo a los órganos judiciales de las actuaciones remitidas, tener por comparecido al Abogado del Estado, y dar vista de las actuaciones a la sociedad solicitante de amparo, al Abogado del Estado y al Ministerio Fiscal para que en el plazo de veinte días pudieran presentar las alegaciones que estimaran pertinentes, de conformidad con el art. 52.1 de la LOTC. </w:t>
      </w:r>
    </w:p>
    <w:p w:rsidR="00FE0907" w:rsidRDefault="00FE0907" w:rsidP="00FE0907">
      <w:pPr>
        <w:pStyle w:val="TextoNormal"/>
      </w:pPr>
      <w:r>
        <w:t xml:space="preserve">El día 28 de junio de 1990, el Procurador don Rafael Ortíz de Solozarno y Arbex, en nombre y representación de la sociedad recurrente, presentó escrito de alegaciones ratificándose en las manifestaciones efectuadas en la demanda de amparo. </w:t>
      </w:r>
    </w:p>
    <w:p w:rsidR="00FE0907" w:rsidRDefault="00FE0907" w:rsidP="00FE0907">
      <w:pPr>
        <w:pStyle w:val="TextoNormal"/>
      </w:pPr>
      <w:r>
        <w:t xml:space="preserve">Por su parte, el Abogado del Estado presentó escrito de alegaciones, el día 12 de julio, interesando la desestimación del recurso de amparo. </w:t>
      </w:r>
    </w:p>
    <w:p w:rsidR="00FE0907" w:rsidRDefault="00FE0907" w:rsidP="00FE0907">
      <w:pPr>
        <w:pStyle w:val="TextoNormal"/>
      </w:pPr>
      <w:r>
        <w:t xml:space="preserve">Comienza el Abogado del Estado recordando la doctrina del Tribunal Constitucional sobre que el art. 24.1 C.E. no comporta el derecho a obtener siempre una resolución sobre el fondo en vía de recurso, para a continuación pasar a examinar las argumentaciones de la sociedad recurrente. </w:t>
      </w:r>
    </w:p>
    <w:p w:rsidR="00FE0907" w:rsidRDefault="00FE0907" w:rsidP="00FE0907">
      <w:pPr>
        <w:pStyle w:val="TextoNormal"/>
      </w:pPr>
      <w:r>
        <w:t xml:space="preserve">En cuanto a la inexistencia de la competencia de la Sala Tercera del Tribunal Supremo para declarar la inapelabilidad de un recurso ya admitido previamente, manifiesta el Abogado del Estado que no supone vulneración alguna del art. 24.1 C.E., ya que no se infringe el ordenamiento jurídico, pues a la vista de los arts. 98 y 100.2 de la Ley de la Jurisdicción, la competencia para declarar la admisión del recurso de apelación corresponde al Tribunal inferior, y, por tanto, no puede existir duda sobre la competencia del Tribunal superior para revisarla, como consecuencia natural de su superioridad jerárquica. Ambos aspectos, la naturaleza de materia de orden público y la plenitud de conocimiento del Tribunal superior, han sido admitidos con claridad en la STC 113/1990. </w:t>
      </w:r>
    </w:p>
    <w:p w:rsidR="00FE0907" w:rsidRDefault="00FE0907" w:rsidP="00FE0907">
      <w:pPr>
        <w:pStyle w:val="TextoNormal"/>
      </w:pPr>
      <w:r>
        <w:t xml:space="preserve">El segundo motivo de amparo, es que la Sala Tercera del Tribunal Supremo no podía plantear la cuestión de inapelabilidad al amparo del art. 43 de la Ley de la L.J.C.A., que sólo se refiere a cuestiones de fondo, y según el Abogado del Estado no tiene ninguna consistencia ya que el mencionado precepto incluye ciertamente la admisibilidad de recurso, pero, sobre todo, no tiene ninguna relación de la posible inadecuación de este procedimiento con una eventual violación del art. 24.1 C.E., sino por el contrario, la finalidad de este trámite fue permitir a las partes alegar sobre una cuestión que no se había suscitado, al haberse admitido el recurso y no haberse discutido tal admisión por la parte apelada, todo ello para evitar cualquier sospecha de indefensión. </w:t>
      </w:r>
    </w:p>
    <w:p w:rsidR="00FE0907" w:rsidRDefault="00FE0907" w:rsidP="00FE0907">
      <w:pPr>
        <w:pStyle w:val="TextoNormal"/>
      </w:pPr>
      <w:r>
        <w:t>Finalmente, para el Abogado del Estado también hay que desestimar el tercer motivo de amparo, basado en que el objeto del recurso contencioso-administrativo no era una cuestión de personal por lo que se ha infringido el art. 94.1 a) de la L.J.C.A. que excluye del recurso de apelación tales materias, pues según la doctrina del Tribunal Constitucional, estamos ante una cuestión de legalidad ordinaria, y además la interpretación realizada del mencionado precepto por el Tribunal Supremo es totalmente razonable y ajustada al texto legal, señalándose en este punto diversas Sentencias del Tribunal Supremo en que en supuestos similares llega a la misma solución.</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6</w:t>
      </w:r>
      <w:r>
        <w:t xml:space="preserve">. El Ministerio Fiscal presentó escrito de alegaciones el día 13 de julio de 1990 interesando igualmente la desestimación del amparo. </w:t>
      </w:r>
    </w:p>
    <w:p w:rsidR="00FE0907" w:rsidRDefault="00FE0907" w:rsidP="00FE0907">
      <w:pPr>
        <w:pStyle w:val="TextoNormal"/>
      </w:pPr>
      <w:r>
        <w:t xml:space="preserve">Señala en primer término el Ministerio Fiscal la incompetencia del Tribunal Constitucional para declarar si nos encontramos o no ante una cuestión de personal, debiendo ceñirse el presente recurso de amparo a dilucidar si cabe dictar una Sentencia de inadmisión del recurso de apelación, cuando el mismo ha sido tramitado ya hasta la fase de deliberación y fallo, máxime, teniendo en cuenta que el procedimiento seguido en primera instancia fue el ordinario y no el de personal. </w:t>
      </w:r>
    </w:p>
    <w:p w:rsidR="00FE0907" w:rsidRDefault="00FE0907" w:rsidP="00FE0907">
      <w:pPr>
        <w:pStyle w:val="TextoNormal"/>
      </w:pPr>
      <w:r>
        <w:t xml:space="preserve">En cuanto al primero de los extremos enunciados, recuerda el Ministerio Fiscal la doctrina de este Tribunal en el ATC 501/1988, por lo que una vez que el Tribunal Supremo entiende que falta uno de los requisitos de admisibilidad del recurso debe declarar la desestimación del mismo, en cualquier momento procesal en que se encuentre la causa, no sufriendo con ello la tutela judicial efectiva, pues existe una resolución fundada en Derecho. Y es que el mencionado derecho fundamental, no crea recursos inexistentes (ATC 25/1987), siendo misión exclusiva de los órganos jurisdiccionales interpretar los requisitos legalmente establecidos para el acceso a los recursos. </w:t>
      </w:r>
    </w:p>
    <w:p w:rsidR="00FE0907" w:rsidRDefault="00FE0907" w:rsidP="00FE0907">
      <w:pPr>
        <w:pStyle w:val="TextoNormal"/>
      </w:pPr>
      <w:r>
        <w:t xml:space="preserve">Analiza seguidamente el Ministerio Fiscal la imputación de indefensión a la Sentencia recurrida, recordando que el concepto de indefensión procesal no coincide con el constitucional (STC 155/1988), no existiendo en el caso que nos ocupa la pretendida indefensión, pues el Tribunal Supremo abrió un trámite de audiencia en el que las partes pudieron exponer -y de hecho así lo hicieron- cuanto a su derecho convenía. </w:t>
      </w:r>
    </w:p>
    <w:p w:rsidR="00FE0907" w:rsidRDefault="00FE0907" w:rsidP="00FE0907">
      <w:pPr>
        <w:pStyle w:val="TextoNormal"/>
      </w:pPr>
      <w:r>
        <w:t>Tampoco, aduce el Ministerio Fiscal, el hecho de tramitarse en primera instancia el proceso por las normas ordinarias, y no por las de personal, otorga un derecho al recurso de apelación previsto para el procedimiento contencioso-administrativo ordinario ya que lo que determina la existencia o no del recurso de apelación no es el procedimiento seguido, sino la materia sobre la que el recurso versa, y así se deduce del propio tenor literal del art. 94.1 a) del L.J.C.A. Y en todo caso, concluye el Ministerio Fiscal, el hecho de que en primera instancia se haya seguido el procedimiento ordinario no supone mas que un plus de garantías, que en ninguna caso otorga derechos indebidos. Ninguna indefensión, pues, se ha causado a la recurrente.</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la Sala Segunda de 12 de marzo de 1992, se señaló para la deliberación y votación del presente recurso de amparo el día 25 del mismo mes y año quedando concluído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sociedad demandante en amparo impugna la Sentencia de la Sala Tercera del Tribunal Supremo de 28 de julio de 1989, por la que se declaró la inapelabilidad de la Sentencia dictada por la Audiencia Territorial de Oviedo de 4 de octubre de 1986, por tratarse de una cuestión de personal [art.  94.1 a) de la L.J.C.A.]. En la demanda se denuncia la vulneración del derecho a la tutela judicial efectiva, sin que pueda producirse indefensión, reconocido en el art. 24.1 C.E., por tres distintos motivos: El primero, porque la Sala del Tribunal Supremo carecía de competencia para plantear cuestión de inapelabilidad después de admitido el recurso de apelación en ambos efectos y pendiente de señalamiento para votación y fallo.  El segundo, por el empleo del art. 43.2 de la L.J.C.A realizado por la Sala para poner de manifiesto la posible existencia de una causa formal de desestima</w:t>
      </w:r>
      <w:r>
        <w:lastRenderedPageBreak/>
        <w:t>ción del recurso de apelación, cuando el mencionado precepto se refiere a motivos de fondo que puedan fundar el recurso o la oposición. Y finalmente, se considera conculcado el art.  24.1 C.E.  al haberse declarado la inapelabilidad de la Sentencia de instancia por tratarse de una cuestión de personal.</w:t>
      </w:r>
    </w:p>
    <w:p w:rsidR="00FE0907" w:rsidRDefault="00FE0907" w:rsidP="00FE0907">
      <w:pPr>
        <w:pStyle w:val="TextoNormal"/>
      </w:pPr>
    </w:p>
    <w:p w:rsidR="00FE0907" w:rsidRDefault="00FE0907" w:rsidP="00FE0907">
      <w:pPr>
        <w:pStyle w:val="TextoNormal"/>
      </w:pPr>
      <w:r w:rsidRPr="00FE0907">
        <w:rPr>
          <w:rStyle w:val="NumeroAFNegritaCaracter"/>
        </w:rPr>
        <w:t>2</w:t>
      </w:r>
      <w:r>
        <w:t>. Es doctrina de este Tribunal que el contenido del derecho fundamental a la tutela judicial efectiva comprende el de obtener una resolución fundada en Derecho, que podrá ser de inadmisión cuando concurra alguna causa legal para ello y así lo acuerde el Juez o Tribunal en aplicación razonada de la misma (SSTC 69/1984, 6/1986, 100/1986 y 124/1988, entre otras).  El art.  24.1 C.E.  incluye también el derecho al acceso a los recursos, siempre que se ejerciten en los supuestos y con los requisitos previstos legalmente, debiendo ser interpretados éstos por los órganos judiciales en la manera que resulte más favorable a la efectividad del derecho fundamental (SSTC 46/1989, 80/1989 y 113/1990). Por lo que el art. 24.1 C.E.  no comporta que en vía de recurso se obtenga siempre una resolución sobre el fondo del asunto, sino que los Tribunales de una manera motivada pueden declarar la inadmisibilidad de un recurso al concurrir una de las causas legalmente previstas para ello.</w:t>
      </w:r>
    </w:p>
    <w:p w:rsidR="00FE0907" w:rsidRDefault="00FE0907" w:rsidP="00FE0907">
      <w:pPr>
        <w:pStyle w:val="TextoNormal"/>
      </w:pPr>
      <w:r>
        <w:t>Teniendo en cuenta la anterior doctrina pasamos a examinar las quejas constitucionales denunciadas en la demanda de amparo, sin perjuicio de poner de manifiesto que respecto a las dos primeras se puede apreciar la falta de agotamiento de la vía judicial [art. 44.1 a) de la LOTC], ya que las mismas se habrían producido, en todo caso, con la providencia de 3 de noviembre de 1988 de la Sala Tercera del Tribunal Supremo, por la que se puso de manifiesto a las partes, a tenor del art. 43.2 de la L.J.C.A., la posible inapelabilidad de la Sentencia de instancia, pues contra ella cabía recurso de súplica según el art.  92 de la mencionada Ley, que no fue formulado por la sociedad demandante; aunque, como analizaremos a continuación, también procede desestimarlas en cuanto al fondo.</w:t>
      </w:r>
    </w:p>
    <w:p w:rsidR="00FE0907" w:rsidRDefault="00FE0907" w:rsidP="00FE0907">
      <w:pPr>
        <w:pStyle w:val="TextoNormal"/>
      </w:pPr>
    </w:p>
    <w:p w:rsidR="00FE0907" w:rsidRDefault="00FE0907" w:rsidP="00FE0907">
      <w:pPr>
        <w:pStyle w:val="TextoNormal"/>
      </w:pPr>
      <w:r w:rsidRPr="00FE0907">
        <w:rPr>
          <w:rStyle w:val="NumeroAFNegritaCaracter"/>
        </w:rPr>
        <w:t>3</w:t>
      </w:r>
      <w:r>
        <w:t>. El primer motivo de amparo es la pretendida vulneración del art.  24.1 C.E. porque la Sala del Tribunal Supremo no podía de oficio, sin haber sido planteado por la parte apelada, en un procedimiento señalado para votación y fallo, declarar la inapelabilidad de un recurso admitido en ambos efectos por el Tribunal de instancia.</w:t>
      </w:r>
    </w:p>
    <w:p w:rsidR="00FE0907" w:rsidRDefault="00FE0907" w:rsidP="00FE0907">
      <w:pPr>
        <w:pStyle w:val="TextoNormal"/>
      </w:pPr>
      <w:r>
        <w:t>Este Tribunal ha declarado que "resulta incuestionable que el cumplimiento de los requisitos procesales es un tema de orden público cuyo control, en modo alguno, puede negarse al Tribunal superior que tiene la competencia para conocer y resolver los recursos que ante el mismo se interpongan, ya que no esta vinculado por las decisiones que haya adoptado, en tal materia, el órgano judicial inferior cuya resolución es objeto del recurso..."(STC 113/1990, fundamento jurídico 2º).  Y en este sentido no puede reprocharse a un Tribunal superior que declare mal admitido un recurso de apelación cuando este lo había sido por el Tribunal de instancia," ya que el cumplimiento de los requisitos procesales es cuestión de orden público, de carácter imperativo , y escapa al poder de disposición del propio órgano judicial que inicialmente lo admitió" (ATC 344/1988).</w:t>
      </w:r>
    </w:p>
    <w:p w:rsidR="00FE0907" w:rsidRDefault="00FE0907" w:rsidP="00FE0907">
      <w:pPr>
        <w:pStyle w:val="TextoNormal"/>
      </w:pPr>
      <w:r>
        <w:t>En el supuesto que nos ocupa, si bien es cierto como afirma la entidad recurrente, que conforme al art. 100.2 de la Ley de la Juridicción si la parte apelada hubiese entendido admitida indebidamente la apelación por el Tribunal inferior, debería haberlo hecho constar en el escrito de personación, en cuyo caso se le habría dado vista a aquella, por término de tres días y la Sala hubiese resuelto mediante Auto.  Esto no significa que si la causa de inadmisibilidad del recurso no ha sido suscitada por la parte apelada, no pueda ser apreciada de oficio por el Tribunal ad quem, en este caso el Tribunal Supremo, pues éste, co</w:t>
      </w:r>
      <w:r>
        <w:lastRenderedPageBreak/>
        <w:t>mo hemos dicho anteriormente, tiene plena competencia para examinar si concurren los supuestos en que el Legislador ha configurado el recurso, asi como los requisitos formales.</w:t>
      </w:r>
    </w:p>
    <w:p w:rsidR="00FE0907" w:rsidRDefault="00FE0907" w:rsidP="00FE0907">
      <w:pPr>
        <w:pStyle w:val="TextoNormal"/>
      </w:pPr>
      <w:r>
        <w:t>Tampoco es atendible la objeción manifestada por la entidad recurrente de que no se puede apreciar la causa de inadmisibilidad de un recurso cuando está pendiente de votación y fallo, ya que "la inexistencia de uno de los requisitos exigidos legalmente para que un recurso sea admisible puede apreciarse en el trámite previsto legalmente al efecto o en una fase posterior, resolviéndose, incluso, sobre dicho extremo en Sentencia" (ATC 501/1988).</w:t>
      </w:r>
    </w:p>
    <w:p w:rsidR="00FE0907" w:rsidRDefault="00FE0907" w:rsidP="00FE0907">
      <w:pPr>
        <w:pStyle w:val="TextoNormal"/>
      </w:pPr>
    </w:p>
    <w:p w:rsidR="00FE0907" w:rsidRDefault="00FE0907" w:rsidP="00FE0907">
      <w:pPr>
        <w:pStyle w:val="TextoNormal"/>
      </w:pPr>
      <w:r w:rsidRPr="00FE0907">
        <w:rPr>
          <w:rStyle w:val="NumeroAFNegritaCaracter"/>
        </w:rPr>
        <w:t>4</w:t>
      </w:r>
      <w:r>
        <w:t>. En conexión con el motivo de amparo anterior, se alega también por la entidad recurrente el uso indebido del art.  43.2 de la Ley de la Jurisdicción Contencioso-Administrativa por parte del Tribunal Supremo, ya que aquél tiene por finalidad poner de manifiesto la posible existencia de una causa de fondo de la demanda o de la oposición a la misma, pero no motivos formales, por lo que ha resultado lesionado el art. 24.1 C.E.</w:t>
      </w:r>
    </w:p>
    <w:p w:rsidR="00FE0907" w:rsidRDefault="00FE0907" w:rsidP="00FE0907">
      <w:pPr>
        <w:pStyle w:val="TextoNormal"/>
      </w:pPr>
      <w:r>
        <w:t>Con independencia de si la vía adecuada para poner de manifiesto a las partes la concurrencia de una posible causa de inadmisión de caracter formal es la prevista en el art. 43.2 de la Ley de la Jurisdicción Contencioso-Administrativa, cuestión de estricta legalidad ordinaria que queda fuera de la competencia de este Tribunal, es evidente que, al utilizarla, el Tribunal Supremo ha dado efectividad precisamente al derecho fundamental a la tutela judicial efectiva, al dar oportunidad a las partes para que alegaran lo que estimaran conveniente sobre una cuestión, la posible inapelabilidad de la Sentencia de instancia, que no había sido suscitada por la parte apelada, habiendo presentado efectivamente las alegaciones correspondientes la sociedad demandante, por lo que en manera alguna se le ha producido indefensión con relevancia jurídico-constitucional (por todas, SSTC 155/1988, fundamento jurídico 4º, y 112/1989, fundamento jurídico 2º).</w:t>
      </w:r>
    </w:p>
    <w:p w:rsidR="00FE0907" w:rsidRDefault="00FE0907" w:rsidP="00FE0907">
      <w:pPr>
        <w:pStyle w:val="TextoNormal"/>
      </w:pPr>
    </w:p>
    <w:p w:rsidR="00FE0907" w:rsidRDefault="00FE0907" w:rsidP="00FE0907">
      <w:pPr>
        <w:pStyle w:val="TextoNormal"/>
      </w:pPr>
      <w:r w:rsidRPr="00FE0907">
        <w:rPr>
          <w:rStyle w:val="NumeroAFNegritaCaracter"/>
        </w:rPr>
        <w:t>5</w:t>
      </w:r>
      <w:r>
        <w:t>. Finalmente nos resta por analizar el tercer motivo de amparo, fundado, al igual que los anteriores, en la conculcación del art. 24.1 C.E., debido a que, a juicio de la entidad recurrente, el objeto del recurso contencioso-administrativo no era una cuestión de personal, y por tanto no estaba incluído en el supuesto del art. 94.  1 a) de la L.J.C.A., que excluye el recurso de apelación en esta materia.</w:t>
      </w:r>
    </w:p>
    <w:p w:rsidR="00FE0907" w:rsidRDefault="00FE0907" w:rsidP="00FE0907">
      <w:pPr>
        <w:pStyle w:val="TextoNormal"/>
      </w:pPr>
      <w:r>
        <w:t>Pero, asi planteada, la cuestión carece de relevancia constitucional ciñéndose a un problema de mera legalidad ordinaria de selección e interpretación de la norma aplicable que corresponde decidir en exclusiva a los Jueces y Tribunales (art.  117.3 C.E.), sin que el Tribunal Constitucional pueda revisar tal apreciación con base en la pura y simple disconformidad del justiciable (ATC 195/1984 y STC 210/1991, fundamento jurídico 5º) debiendo limitarse este Tribunal, ante una supuesta vulneración del derecho a la tutela judicial efectiva, a enjuiciar si la resolución adoptada por el órgano judicial está jurídicamente motivada y no resulta arbitraria, irrazonada o irrazonable.</w:t>
      </w:r>
    </w:p>
    <w:p w:rsidR="00FE0907" w:rsidRDefault="00FE0907" w:rsidP="00FE0907">
      <w:pPr>
        <w:pStyle w:val="TextoNormal"/>
      </w:pPr>
      <w:r>
        <w:t>En el caso que nos ocupa, la Sala Tercera del Tribunal Supremo ha estimado de manera razonada y razonable, de acuerdo con reiterada jurisprudencia, que la suspensión de relaciones laborales de trabajadores de la plantilla de HUNOSA por causa de fuerza mayor, es una cuestión de personal al servicio de particulares, subsumible en el supuesto del art. 94.1 a) de la L.J.C.A., que excluye el recurso de apelación.</w:t>
      </w:r>
    </w:p>
    <w:p w:rsidR="00FE0907" w:rsidRDefault="00FE0907" w:rsidP="00FE0907">
      <w:pPr>
        <w:pStyle w:val="TextoNormal"/>
      </w:pPr>
      <w:r>
        <w:t>Sin que el hecho de que en la instancia se haya tramitado el recurso contencioso-administrativo por el procedimiento ordinario, y no por el procedimiento especial en materia de personal, implique -como pone de relieve el Ministerio Fiscal- que se pueda formular recurso de apelación, pues el haber dado al procedimiento un trámite indebido no con</w:t>
      </w:r>
      <w:r>
        <w:lastRenderedPageBreak/>
        <w:t>cede dicha posibilidad, permaneciendo inalterable el objeto del recurso contencioso-administrativo.  Por todo ello la demanda de amparo debe ser desestimada.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la Empresa Nacional Hulleras del Norte, S.A.  (HUNOSA).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6" w:name="SENTENCIA_1992_43"/>
      <w:r>
        <w:lastRenderedPageBreak/>
        <w:t>SENTENCIA 43/1992, de 30 de marzo de 1992</w:t>
      </w:r>
    </w:p>
    <w:bookmarkEnd w:id="46"/>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ECLI:ES:TC:1992:43</w:t>
      </w:r>
    </w:p>
    <w:p w:rsidR="00FE0907" w:rsidRDefault="00FE0907" w:rsidP="00FE0907">
      <w:pPr>
        <w:pStyle w:val="SntesisDescriptiva"/>
      </w:pPr>
    </w:p>
    <w:p w:rsidR="00FE0907" w:rsidRDefault="00FE0907" w:rsidP="00FE0907">
      <w:pPr>
        <w:pStyle w:val="SntesisDescriptiva"/>
      </w:pPr>
      <w:r>
        <w:t>Recurso de amparo 582/1990. Contra Sentencia del Tribunal Superior de Justicia de Cataluña, dictada en recurso contencioso-administrativo, así como contra Auto de la propia Sala desestimatoria del recurso de aclaración.</w:t>
      </w:r>
    </w:p>
    <w:p w:rsidR="00FE0907" w:rsidRDefault="00FE0907" w:rsidP="00FE0907">
      <w:pPr>
        <w:pStyle w:val="SntesisDescriptiva"/>
      </w:pPr>
    </w:p>
    <w:p w:rsidR="00FE0907" w:rsidRDefault="00FE0907" w:rsidP="00FE0907">
      <w:pPr>
        <w:pStyle w:val="SntesisAnaltica"/>
      </w:pPr>
      <w:r>
        <w:t>Vulneración del derecho a la tutela judicial efectiva: inadmisión indebida del recurso de alzada</w:t>
      </w:r>
    </w:p>
    <w:p w:rsidR="00FE0907" w:rsidRDefault="00FE0907" w:rsidP="00FE0907">
      <w:pPr>
        <w:pStyle w:val="SntesisAnaltica"/>
      </w:pPr>
    </w:p>
    <w:p w:rsidR="00FE0907" w:rsidRDefault="00FE0907" w:rsidP="00FE0907">
      <w:pPr>
        <w:pStyle w:val="Extracto"/>
      </w:pPr>
      <w:r>
        <w:t>1.</w:t>
      </w:r>
      <w:r>
        <w:tab/>
        <w:t>La posible discordancia entre la realidad fáctica cuya existencia afirma el solicitante de amparo y los hechos de los que parte la Sentencia impugnada, no corresponde, en principio, a este Tribunal depurarla, pues, como reiteradamente hemos señalado, el Tribunal Constitucional no es una tercera instancia, ni puede la jurisdicción constitucional entrar a conocer de los hechos que dieron lugar al proceso en el que se produjo la alegada lesión de derechos fundamentales [art. 44.1 b) LOTC]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582/90, interpuesto por don Antonio Bartra Surribas, representado por el Procurador don José Luis Pinto Marabotto y asistido del Letrado don Félix Velasco Marseñach, contra la Sentencia dictada por la Sección Segunda de la Sala de lo Contencioso-Administrativo del Tribunal Superior de Justicia de Cataluña, en fecha 14 de diciembre de 1989. Han sido parte el Abogado del Estado y el Ministerio Fiscal y Ponente don Miguel Rodríguez-Piñero y Bravo-Ferrer,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El día 8 de marzo de 1990 tuvo entrada en el Registro General de este Tribunal un escrito por virtud del cual el Procurador de los Tribunales don José Luis Pinto Marabotto, </w:t>
      </w:r>
      <w:r>
        <w:lastRenderedPageBreak/>
        <w:t>actuando en nombre y representación de don Antonio Bartra Surribas, interpuso recurso de amparo contra la Sentencia de la Sección Segunda de la Sala de lo Contencioso-Administrativo del Tribunal Superior de Justicia de Cataluña de 14 de diciembre de 1989, dictada en autos de recurso contencioso-administrativo núm. 304/89, así como contra el Auto de la propia Sala de 2 de febrero de 1990 desestimatorio del recurso de aclaración, por considerar que dichas resoluciones han infringido el art. 24.1 de la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los que trae causa la demanda de amparo son, en síntesis, los siguientes: </w:t>
      </w:r>
    </w:p>
    <w:p w:rsidR="00FE0907" w:rsidRDefault="00FE0907" w:rsidP="00FE0907">
      <w:pPr>
        <w:pStyle w:val="TextoNormal"/>
      </w:pPr>
      <w:r>
        <w:t xml:space="preserve">a) El demandante de amparo interpuso recurso contencioso-administrativo ante el Tribunal Superior de Justicia de Cataluña contra la desestimación presunta por silencio del recurso de alzada deducido en fecha 6 de mayo de 1988 contra la Resolución de 14 de marzo de 1988, de la Dirección Técnica de la Mutualidad Nacional de Previsión de la Administración Local (MUNPAL), por la que se le fijaba un haber regulador a efectos de pensión de 86.846 pesetas y un haber regulador a efectos de mejoras de 61.110 pesetas. De otra parte, dicho recurso de alzada fue, no obstante, resuelto expresamente por Resolución del Ministerio de Administraciones Públicas de fecha 3 de mayo de 1989, razón por la cual, el recurrente procedió a ampliar por escrito de 17 de marzo de 1989 el recurso contencioso-administrativo en tramitación contra dicha Resolución expresa desestimatoria. </w:t>
      </w:r>
    </w:p>
    <w:p w:rsidR="00FE0907" w:rsidRDefault="00FE0907" w:rsidP="00FE0907">
      <w:pPr>
        <w:pStyle w:val="TextoNormal"/>
      </w:pPr>
      <w:r>
        <w:t xml:space="preserve">b) Del indicado recurso conoció la Sección Segunda de la Sala de lo Contencioso-Administrativo del citado Tribunal, dictándose Sentencia en 14 de diciembre de 1989 por la que se declaró inadmisible el recurso, pues habiendo sido notificada la Resolución de 14 de marzo de 1988 el día 20 de abril siguiente, el recurso de alzada fue interpuesto ante la Oficina de Correos el día 9 de mayo, una vez finalizado el plazo de quince días previsto en la Ley de Procedimiento Administrativo, por lo que la Resolución devino firme en vía administrativa. </w:t>
      </w:r>
    </w:p>
    <w:p w:rsidR="00FE0907" w:rsidRDefault="00FE0907" w:rsidP="00FE0907">
      <w:pPr>
        <w:pStyle w:val="TextoNormal"/>
      </w:pPr>
      <w:r>
        <w:t xml:space="preserve">c) El demandante de amparo solicitó aclaración de la Sentencia, pues la fecha de interposición del recurso de alzada no lo fue el día 9 de mayo, como se afirma en aquélla, sino el día 6, ni tampoco en una oficina de Correos, sino en la Delegación Provincial de Barcelona de la MUNPAL. </w:t>
      </w:r>
    </w:p>
    <w:p w:rsidR="00FE0907" w:rsidRDefault="00FE0907" w:rsidP="00FE0907">
      <w:pPr>
        <w:pStyle w:val="TextoNormal"/>
      </w:pPr>
      <w:r>
        <w:t>Mediante Auto de 2 de febrero de 1990, se declaró no haber lugar a la aclaración solicitada, pues consta "en el expediente administrativo que el recurso de alzada dirigido al Ministerio para las Administraciones Públicas fue presentado en la oficina de Barcelona el 9 de mayo de 1988 (sello de la oficina, Registro de entrada 2.954), sin que aparezca la certificación de su envío por el servicio de Correos en la forma adecuada en el artículo 66 de la Ley de Procedimiento Administrativo".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lo sustancial, alega el recurrente como fundamento del amparo que solicita, que la Sentencia que impugna ha vulnerado su derecho a obtener la tutela judicial efectiva, infringiendo así el art. 24.1 de la C.E. </w:t>
      </w:r>
    </w:p>
    <w:p w:rsidR="00FE0907" w:rsidRDefault="00FE0907" w:rsidP="00FE0907">
      <w:pPr>
        <w:pStyle w:val="TextoNormal"/>
      </w:pPr>
      <w:r>
        <w:t xml:space="preserve">En efecto, el Tribunal sentenciador, a su juicio, no ha desplegado la actividad juzgadora con el rigor, profundidad y certeza que él tiene derecho a exigir a fin de obtener la constitucional tutela efectiva, ya que, tanto en la Sentencia, como en el Auto de aclaración, el Tribunal ha incurrido en errores notorios sobre la fecha de interposición del recurso de alzada, que lo fue el día 6 de mayo de 1988 y no, como erróneamente se afirma, el día 9 de mayo. Invoca en apoyo de su pretensión la doctrina contenida en la STC 201/1987. </w:t>
      </w:r>
    </w:p>
    <w:p w:rsidR="00FE0907" w:rsidRDefault="00FE0907" w:rsidP="00FE0907">
      <w:pPr>
        <w:pStyle w:val="TextoNormal"/>
      </w:pPr>
      <w:r>
        <w:lastRenderedPageBreak/>
        <w:t>Concluye la demanda con el suplico de que, con estimación del recurso, se le otorgue el amparo solicitado y, anulando la Sentencia y el Auto impugnados, se retrotraigan las actuaciones al momento anterior a dictar sentencia, a fin de que se dicte otra por la que se resuelva el litigio planteado, entrando a conocer del fondo del asunto.</w:t>
      </w:r>
    </w:p>
    <w:p w:rsidR="00FE0907" w:rsidRDefault="00FE0907" w:rsidP="00FE0907">
      <w:pPr>
        <w:pStyle w:val="TextoNormal"/>
      </w:pPr>
    </w:p>
    <w:p w:rsidR="00FE0907" w:rsidRDefault="00FE0907" w:rsidP="00FE0907">
      <w:pPr>
        <w:pStyle w:val="TextoNormal"/>
      </w:pPr>
      <w:r w:rsidRPr="00FE0907">
        <w:rPr>
          <w:rStyle w:val="NumeroAFNegritaCaracter"/>
        </w:rPr>
        <w:t>4</w:t>
      </w:r>
      <w:r>
        <w:t>. Tras la apertura del trámite previsto en el art. 50.3 de la LOTC y formuladas las alegaciones que el solicitante de amparo y el Ministerio Fiscal estimaron pertinentes acerca de la posible concurrencia de la causa de inadmisibilidad prevista por el art. 50.1 c) de la LOTC, la Sección Tercera, por providencia de 2 de julio de 1990, acordó la admisión a trámite de la demanda, solicitando del órgano judicial la remisión de las actuaciones y el emplazamiento de quienes hubieren sido parte en la vía judicial previa.</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providencia de 10 de septiembre de 1990 se acu só recibo de las actuaciones remitidas a la Sala de lo Contencioso-Administrativo del Tribunal Superior de Justicia de Cataluña, se tuvo por comparecido en el proceso al Abogado del Estado y se acordó dar vista de las actuaciones a la parte recurrente, al Abogado del Estado y al Ministerio Fiscal para que en el plazo común de veinte días pudiesen formular las alegaciones que estimasen pertinentes.</w:t>
      </w:r>
    </w:p>
    <w:p w:rsidR="00FE0907" w:rsidRDefault="00FE0907" w:rsidP="00FE0907">
      <w:pPr>
        <w:pStyle w:val="TextoNormal"/>
      </w:pPr>
    </w:p>
    <w:p w:rsidR="00FE0907" w:rsidRDefault="00FE0907" w:rsidP="00FE0907">
      <w:pPr>
        <w:pStyle w:val="TextoNormal"/>
      </w:pPr>
      <w:r w:rsidRPr="00FE0907">
        <w:rPr>
          <w:rStyle w:val="NumeroAFNegritaCaracter"/>
        </w:rPr>
        <w:t>6</w:t>
      </w:r>
      <w:r>
        <w:t>. Por medio de escrito presentado el 5 de octubre de 1990, el recurrente presentó sus alegaciones en las que dio por reiteradas las alegaciones contenidas en sus anteriores escritos de demanda de amparo y posteriores alegaciones con ocasión del trámite del art. 50.1 c) LOTC.</w:t>
      </w:r>
    </w:p>
    <w:p w:rsidR="00FE0907" w:rsidRDefault="00FE0907" w:rsidP="00FE0907">
      <w:pPr>
        <w:pStyle w:val="TextoNormal"/>
      </w:pPr>
    </w:p>
    <w:p w:rsidR="00FE0907" w:rsidRDefault="00FE0907" w:rsidP="00FE0907">
      <w:pPr>
        <w:pStyle w:val="TextoNormal"/>
      </w:pPr>
      <w:r w:rsidRPr="00FE0907">
        <w:rPr>
          <w:rStyle w:val="NumeroAFNegritaCaracter"/>
        </w:rPr>
        <w:t>7</w:t>
      </w:r>
      <w:r>
        <w:t>. Por su parte, el Abogado del Estado, en escrito presentado el 3 de octubre de 1990, suplicó de este Tribunal la denegación total del amparo solicitado, por cuanto, de una parte, "concurre la causa de inadmisión (ahora de desestimación) del recurso de amparo prevista en el art. 50.1 b) de la LOTC" (sic!), ya que en el escrito en que la aclaración se pide no se hace referencia a la pretendida violación del art. 24.1 de la C.E.", a fin de advertir "tempestivamente al órgano judicial del riesgo de entender en forma contraria el art. 24 de la C.E., cuando ello pudiera causar la ulterior invalidez del procedimiento", siendo esa "la finalidad que persigue la previsto en el art. 44.1 c) de la LOTC"; y de otro lado, porque no se ha infringido el art. 24 de la C.E., ya que el error que, con actitud comprensiva, imputa el recurrente a la Sentencia ha sido provocado por el mismo, una vez que en su escrito formalizador de la demanda en el proceso contencioso-administrativo expresó que el recurso de alzada fue presentado el 9 de mayo de 1988 y no el 6 de mayo del mismo año, de manera que "el órgano jurisdiccional que, con arreglo al art. 93.1 de la LJCA, ha de resolver sobre las cuestiones planteadas por los interesados y aquellas otras derivadas del expediente, tomó en cuenta las circunstancias fácticas expuestas por el recurrente", lo que determinó que "el órgano jurisdiccional inadmitiese, por extemporáneo, el recurso contencioso-administrativo". Por todo ello, "parece que la equivocada expresión de los hechos por el recurrente no puede servirle ahora de fundamento para justificar el pretendido error sufrido (por el órgano judicial), máxime cuando no acredita de modo fehaciente la existencia de tal error, limitándose a acompañar al escrito en el que solicita la aclaración una simple fotocopia del que denomina recurso de alzada sin eficacia probatoria alguna". En definitiva, concluyó el Abogado del Estado, "el demandante de amparo no ha actuado con la diligencia debida".</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Ministerio Fiscal, en escrito presentado el 28 de septiembre de 1990, tras señalar que la cuestión planteada gira alrededor de un mero problema de fecha, consistente en determinar si el escrito interponiendo el recurso de alzada contra la recurrida Resolución administrativa fue presentado el día 6 de mayo, en cuyo caso habría sido pertinente, o si, por el contrario, lo fue el día 9 del mismo mes, ya que, de ser así, se habría rebasado el plazo de quince días para recurrir en alzada y la inadmisión del recurso contencioso-administrativo decretada por la Sentencia que se impugna en ninguna infracción del art. 24.1 de la C.E. habría incurrido. </w:t>
      </w:r>
    </w:p>
    <w:p w:rsidR="00FE0907" w:rsidRDefault="00FE0907" w:rsidP="00FE0907">
      <w:pPr>
        <w:pStyle w:val="TextoNormal"/>
      </w:pPr>
      <w:r>
        <w:t xml:space="preserve">Pues bien, puntualizó seguidamente el Ministerio Fiscal que en las actuaciones judiciales remitidas no se encuentra el expediente administrativo, por lo que no se ha podido disponer del escrito original de alzada, si bien en las mismas hay elementos suficientes para entender que la fecha fué, como insiste el demandante, la del 6 de mayo. En efecto, la propia Administración resolvió (tardíamente) el recurso de alzada en el que se dice que dicha alzada se habría "interpuesto en tiempo y forma", reconociéndose, pues, que el recurso era tempestivo, lo que bastaría para concluir que se interpuso debidamente y que, por tanto, el acto administrativo recurrido no era "consentido" (art. 40.a] LJCA). Y, además, es muy discutible la afirmación de la Sentencia de que el acto recurrido devino firme, "sin que a ello sea óbice la Resolución expresa del citado recurso". </w:t>
      </w:r>
    </w:p>
    <w:p w:rsidR="00FE0907" w:rsidRDefault="00FE0907" w:rsidP="00FE0907">
      <w:pPr>
        <w:pStyle w:val="TextoNormal"/>
      </w:pPr>
      <w:r>
        <w:t>Añadió el Ministerio Fiscal que, si bien, para disipar cualquier duda, sería oportuno reclamar el expediente administrativo, parece claro que la inadmisión del recurso contencioso-administrativo se ha apoyado en un error patente, razón por la cual la Sentencia ha incurrido en vulneración del derecho a la tutela judicial efectiva reconocido en el art. 24.1 C.E., procediendo, en consecuencia, el otorgamiento del amparo interesado.</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11 de noviembre de 1991, la Sección Cuarta de este Tribunal acordó se interesase de la Oficina Provincial en Barcelona de la MUNPAL la comunicación de "la fecha en la cual fue presentado ante la misma por el solicitante de amparo un escrito de fecha 5 de mayo de 1988, dirigido al Excmo. Sr. Ministro para las Administraciones Públicas, por virtud del cual interponía recurso de alzada contra Resolución de la MUNPAL -Dirección Técnica- de fecha de salida 14 de marzo de 1988 y registro de salida núm. 107798-E por el que se le notificaba la cuantía mensual de su pensión de jubilación".</w:t>
      </w:r>
    </w:p>
    <w:p w:rsidR="00FE0907" w:rsidRDefault="00FE0907" w:rsidP="00FE0907">
      <w:pPr>
        <w:pStyle w:val="TextoNormal"/>
      </w:pPr>
    </w:p>
    <w:p w:rsidR="00FE0907" w:rsidRDefault="00FE0907" w:rsidP="00FE0907">
      <w:pPr>
        <w:pStyle w:val="TextoNormal"/>
      </w:pPr>
      <w:r w:rsidRPr="00FE0907">
        <w:rPr>
          <w:rStyle w:val="NumeroAFNegritaCaracter"/>
        </w:rPr>
        <w:t>10</w:t>
      </w:r>
      <w:r>
        <w:t>. Por escrito de 3 de diciembre de 1991, que tuvo entrada en el Registro de este Tribunal el día 18 siguiente, la Directora de la Oficina Provincial de Barcelona de la MUNPAL, comunicó que el referido escrito "tuvo entrada en esta Oficina Provincial el día 9 de mayo de 1988, registro de entrada núm. 2.954".</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la Sección Cuarta de este Tribunal de 7 de enero de 1992, se acordó dar vista del anterior escrito a las partes personadas en el procedimiento para que formulasen las alegaciones que estimasen pertinentes en el plazo de cinco días.</w:t>
      </w:r>
    </w:p>
    <w:p w:rsidR="00FE0907" w:rsidRDefault="00FE0907" w:rsidP="00FE0907">
      <w:pPr>
        <w:pStyle w:val="TextoNormal"/>
      </w:pPr>
    </w:p>
    <w:p w:rsidR="00FE0907" w:rsidRDefault="00FE0907" w:rsidP="00FE0907">
      <w:pPr>
        <w:pStyle w:val="TextoNormal"/>
      </w:pPr>
      <w:r w:rsidRPr="00FE0907">
        <w:rPr>
          <w:rStyle w:val="NumeroAFNegritaCaracter"/>
        </w:rPr>
        <w:t>12</w:t>
      </w:r>
      <w:r>
        <w:t xml:space="preserve">. La representación actora, en su escrito presentado el 13 de enero de 1992, señaló que "el contenido del escrito de la Mutualidad Nacional de Previsión de la Administración Local, de fecha de salida 3 de diciembre de 1991 (...) es absolutamente falso", por cuanto "la falsedad de tal afirmación no sólo obra acreditada mediante el documento núm. tres anexo al escrito de interposición del presente recurso de amparo, sino que, además, obra el </w:t>
      </w:r>
      <w:r>
        <w:lastRenderedPageBreak/>
        <w:t>original sellado por la propia Mutualidad en el expediente administrativo que la misma aportó a los autos de recurso contencioso-administrativo núm. 304 del año 1989, tramitado por la Sección Segunda de la Sala de lo Contencioso-Administrativo del Tribunal Superior de Justicia de Cataluña, así como la copia que quedó en poder de mi representado...". Y tras señalar que "tal falsedad cometida en un procedimiento judicial por un funcionario público, reviste especial gravedad y reviste caracteres de un delito grave de falsedad previsto y penado en el art. 302, núm. 4, del Código Penal", dada la controversia existente sobre la fecha de presentación del recurso de alzada y lo determinante de dicho dato para la Resolución del presente recurso de amparo, suplicó de este Tribunal se acordase requerir "a la Mutualidad Nacional de Previsión de la Administración Local para que remita el original del escrito de interposición de recurso de alzada, que se dice sellado en fecha 9 de mayo de 1988, así como se requiera a la Sala Segunda de lo Contencioso-Administrativo del Tribunal Superior de Justicia de Cataluña, autos de recurso núm. 304 del año 1989, para que remita el original de copia sellada por la MUNPAL del escrito de interposición de recurso de alzada, dejando testimonio en autos, que se anexó en su día de documento núm. DOS al escrito de interposición del citado recurso contencioso-administrativo".</w:t>
      </w:r>
    </w:p>
    <w:p w:rsidR="00FE0907" w:rsidRDefault="00FE0907" w:rsidP="00FE0907">
      <w:pPr>
        <w:pStyle w:val="TextoNormal"/>
      </w:pPr>
    </w:p>
    <w:p w:rsidR="00FE0907" w:rsidRDefault="00FE0907" w:rsidP="00FE0907">
      <w:pPr>
        <w:pStyle w:val="TextoNormal"/>
      </w:pPr>
      <w:r w:rsidRPr="00FE0907">
        <w:rPr>
          <w:rStyle w:val="NumeroAFNegritaCaracter"/>
        </w:rPr>
        <w:t>13</w:t>
      </w:r>
      <w:r>
        <w:t>. El Abogado del Estado, en escrito presentado el 13 de enero, alegó, en lo sustancial, que del escrito presentado ante este Tribunal por la Oficina Provincial de la Mutualidad Nacional de Previsión de la Administración Local resulta que la presentación del recurso de alzada frente al acto administrativo recurrido se interpuso el día 9 de mayo de 1988 y, por tanto, fuera del plazo de quince días previsto por el art. 122.4 de la Ley de Procedimiento Administrativo, de manera que los hechos que se relatan en las resoluciones recurridas responden a la realidad, sin que ninguna indefensión hayan originado.</w:t>
      </w:r>
    </w:p>
    <w:p w:rsidR="00FE0907" w:rsidRDefault="00FE0907" w:rsidP="00FE0907">
      <w:pPr>
        <w:pStyle w:val="TextoNormal"/>
      </w:pPr>
    </w:p>
    <w:p w:rsidR="00FE0907" w:rsidRDefault="00FE0907" w:rsidP="00FE0907">
      <w:pPr>
        <w:pStyle w:val="TextoNormal"/>
      </w:pPr>
      <w:r w:rsidRPr="00FE0907">
        <w:rPr>
          <w:rStyle w:val="NumeroAFNegritaCaracter"/>
        </w:rPr>
        <w:t>14</w:t>
      </w:r>
      <w:r>
        <w:t>. Por su parte, el Ministerio Fiscal, rectificando el sentido de anteriores alegaciones, manifestó la procedencia de una sentencia desestimatoria del recurso de amparo, pues a la vista de la comunicación remitida por la Oficina Provincial de Barcelona de la MUNPAL no hay más remedio que aceptar como hiciera la Sala en la Sentencia recurrida, que el día 9 de mayo de 1988 fue la fecha de presentación del recurso de alzada y no el día 6 de mayo, con lo que se evidencia que no ha existido ningún error imputable al órgano judicial, siendo correcta la causa de inadmisión acordada.</w:t>
      </w:r>
    </w:p>
    <w:p w:rsidR="00FE0907" w:rsidRDefault="00FE0907" w:rsidP="00FE0907">
      <w:pPr>
        <w:pStyle w:val="TextoNormal"/>
      </w:pPr>
    </w:p>
    <w:p w:rsidR="00FE0907" w:rsidRDefault="00FE0907" w:rsidP="00FE0907">
      <w:pPr>
        <w:pStyle w:val="TextoNormal"/>
      </w:pPr>
      <w:r w:rsidRPr="00FE0907">
        <w:rPr>
          <w:rStyle w:val="NumeroAFNegritaCaracter"/>
        </w:rPr>
        <w:t>15</w:t>
      </w:r>
      <w:r>
        <w:t>. Por providencia de 23 de enero de 1992, la Sección Cuarta de este Tribunal acordó se dirigiera comunicación al Ministerio para las Administraciones Públicas interesando la remisión del escrito original de fecha 5 de mayo de 1988 de interposición del recurso de alzada o, en su defecto, fotocopia debidamente adverada del mismo, ya que tiene dudas esta Sala acerca de la fecha exacta en que tuvo entrada dicho escrito en el registro correspondiente.</w:t>
      </w:r>
    </w:p>
    <w:p w:rsidR="00FE0907" w:rsidRDefault="00FE0907" w:rsidP="00FE0907">
      <w:pPr>
        <w:pStyle w:val="TextoNormal"/>
      </w:pPr>
    </w:p>
    <w:p w:rsidR="00FE0907" w:rsidRDefault="00FE0907" w:rsidP="00FE0907">
      <w:pPr>
        <w:pStyle w:val="TextoNormal"/>
      </w:pPr>
      <w:r w:rsidRPr="00FE0907">
        <w:rPr>
          <w:rStyle w:val="NumeroAFNegritaCaracter"/>
        </w:rPr>
        <w:t>16</w:t>
      </w:r>
      <w:r>
        <w:t>. Mediante escrito de 3 de marzo de 1992, el Subdirector General de Recursos del Ministerio para las Administraciones Públicas remitió una serie de documentos, entre los que figura fotocopia no adverada del escrito de interposición del recurso de amparo por el ahora solicitante de amparo.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17</w:t>
      </w:r>
      <w:r>
        <w:t>. Por providencia de 5 de marzo siguiente, la Sección acordó unir a las actuaciones los documentos remitidos y dar vista de los mismos a las partes y al Ministerio Fiscal para que alegasen lo que estimaran pertinentes.</w:t>
      </w:r>
    </w:p>
    <w:p w:rsidR="00FE0907" w:rsidRDefault="00FE0907" w:rsidP="00FE0907">
      <w:pPr>
        <w:pStyle w:val="TextoNormal"/>
      </w:pPr>
    </w:p>
    <w:p w:rsidR="00FE0907" w:rsidRDefault="00FE0907" w:rsidP="00FE0907">
      <w:pPr>
        <w:pStyle w:val="TextoNormal"/>
      </w:pPr>
      <w:r w:rsidRPr="00FE0907">
        <w:rPr>
          <w:rStyle w:val="NumeroAFNegritaCaracter"/>
        </w:rPr>
        <w:t>18</w:t>
      </w:r>
      <w:r>
        <w:t xml:space="preserve">. La representación actora señaló que es de ver en la copia del recurso de alzada remitida, que el sello de entrada del mismo en la Oficina provincial de Barcelona consta como de fecha 9 de mayo de 1988 y, a la vez, el sello de entrada en las Oficinas de la Mutualidad de Madrid que también consta es de 10 de mayo de 1988, es decir, un día después de su presunta presentación en Barcelona, lo cual es del todo imposible, pues el tránsito del correo entre ambas ciudades supone que cualquier carta tarda en llegar de dos a tres días. </w:t>
      </w:r>
    </w:p>
    <w:p w:rsidR="00FE0907" w:rsidRDefault="00FE0907" w:rsidP="00FE0907">
      <w:pPr>
        <w:pStyle w:val="TextoNormal"/>
      </w:pPr>
      <w:r>
        <w:t xml:space="preserve">Asimismo, en esa documentación aparece copia de la Resolución expresa del recurso de alzada, de cuya lectura se desprende inequívocamente que el Ministerio para las Administraciones Públicas no consideró, pese a existir un informe de la MUNPAL en tal sentido, que el recurso fuese extemporáneo, sino, al contrario, presentado "en tiempo y forma", sin que en su fundamentación jurídica se considere la posible inadmisibilidad del recurso por extemporaneidad en su interposición. </w:t>
      </w:r>
    </w:p>
    <w:p w:rsidR="00FE0907" w:rsidRDefault="00FE0907" w:rsidP="00FE0907">
      <w:pPr>
        <w:pStyle w:val="TextoNormal"/>
      </w:pPr>
      <w:r>
        <w:t>Por todo ello, la representación actora, ante la falta de precisión sobre la fecha real de presentación del escrito, concluyó sus alegaciones suplicando de este Tribunal que, como medio de dilucidar la cuestión, acordase solicitar de la Dirección Técnica de la MUNPAL la remisión del original del Libro Registro de Entrada de escritos de la Oficina Provincial de Barcelona de dicha Mutualidad, relativo al año 1988, sin que sea sustituible la remisión de tal original por la de copias testimoniadas.</w:t>
      </w:r>
    </w:p>
    <w:p w:rsidR="00FE0907" w:rsidRDefault="00FE0907" w:rsidP="00FE0907">
      <w:pPr>
        <w:pStyle w:val="TextoNormal"/>
      </w:pPr>
    </w:p>
    <w:p w:rsidR="00FE0907" w:rsidRDefault="00FE0907" w:rsidP="00FE0907">
      <w:pPr>
        <w:pStyle w:val="TextoNormal"/>
      </w:pPr>
      <w:r w:rsidRPr="00FE0907">
        <w:rPr>
          <w:rStyle w:val="NumeroAFNegritaCaracter"/>
        </w:rPr>
        <w:t>19</w:t>
      </w:r>
      <w:r>
        <w:t>. El Abogado del Estado evacuó el traslado conferido alegando, en lo sustancial, que a la vista de los documentos remitidos, entre los que figura una copia del escrito que contiene el recurso de alzada que, según resulta del sello estampado en el ángulo superior derecho de su primer folio, fue presentado en la Oficia Provincial de Barcelona el 9 de mayo de 1988, se confirma la inexistencia de error alguno en la resolución judicial impugnada al declarar inadmisible el recurso contencioso-administrativo.</w:t>
      </w:r>
    </w:p>
    <w:p w:rsidR="00FE0907" w:rsidRDefault="00FE0907" w:rsidP="00FE0907">
      <w:pPr>
        <w:pStyle w:val="TextoNormal"/>
      </w:pPr>
    </w:p>
    <w:p w:rsidR="00FE0907" w:rsidRDefault="00FE0907" w:rsidP="00FE0907">
      <w:pPr>
        <w:pStyle w:val="TextoNormal"/>
      </w:pPr>
      <w:r w:rsidRPr="00FE0907">
        <w:rPr>
          <w:rStyle w:val="NumeroAFNegritaCaracter"/>
        </w:rPr>
        <w:t>20</w:t>
      </w:r>
      <w:r>
        <w:t>. El Ministerio Fiscal manifestó en su escrito de alegaciones que dada la discrepancia existente en orden a la determinación de la fecha de presentación del recurso y dado que no se ha dispuesto ni del escrito original (no fotocopia) en el que tiene que constar el sello de entrada, ni tampoco la copia que se le selló al interesado al presentar su escrito con el sello original (no fotocopia), si persisten dudas acerca de la fecha podría intentarse obtener uno u otro escrito original, oficiando en el primer caso a la oficina de Barcelona (ya se ha hecho con el MAP) para que remita, de conservarlo, el escrito original; y requiriendo, en el segundo, al interesado para que presente de tenerla, la copia de su escrito en el que conste el sello original de entrada.</w:t>
      </w:r>
    </w:p>
    <w:p w:rsidR="00FE0907" w:rsidRDefault="00FE0907" w:rsidP="00FE0907">
      <w:pPr>
        <w:pStyle w:val="TextoNormal"/>
      </w:pPr>
    </w:p>
    <w:p w:rsidR="00FE0907" w:rsidRDefault="00FE0907" w:rsidP="00FE0907">
      <w:pPr>
        <w:pStyle w:val="TextoNormal"/>
      </w:pPr>
      <w:r w:rsidRPr="00FE0907">
        <w:rPr>
          <w:rStyle w:val="NumeroAFNegritaCaracter"/>
        </w:rPr>
        <w:t>21</w:t>
      </w:r>
      <w:r>
        <w:t>. Por providencia de 12 de marzo de 1992, se señala para deliberación y votación de la presente Sentencia el día 25 de marzo siguiente, quedando conclusa el día de la fecha.</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lesión de derecho fundamental a la tutela judicial efectiva (art. 24.1 C.E.)  que la representación actora imputa a la Sentencia de la Sección Segunda de la Sala de lo Contencioso-Administrativo del Tribunal Superior de Justicia de Cataluña y que determina la solicitud de amparo, se fundamenta en la indebida apreciación de la Sentencia al estimar concurrente en el recurso contencioso-administrativo -interpuesto contra la Resolución que fijó el haber regulador del recurrente a efectos de pensión por jubilación y a efectos de mejoras- la causa de inadmisión prevista en el art. 82 c) de la Ley de Jurisdicción Contencioso-Administrativa (en adelante, LJCA) en relación con el art. 40 a) de la misma Ley, por cuanto la Resolución impugnada si fue recurrida en tiempo y forma en la vía administrativa, al haberse presentado el escrito de recurso de alzada el día 6 de mayo de 1988 y no, tal como afirma la Sentencia y el posterior Auto dictado en aclaración, el día 9 de mayo del mismo año.</w:t>
      </w:r>
    </w:p>
    <w:p w:rsidR="00FE0907" w:rsidRDefault="00FE0907" w:rsidP="00FE0907">
      <w:pPr>
        <w:pStyle w:val="TextoNormal"/>
      </w:pPr>
      <w:r>
        <w:t>La respuesta que deba darse a la cuestión así planteada parece quedar, pues, en principio, condicionada por la determinación previa de un hecho concreto, consistente en si el referido recurso de alzada fue presentado uno u otro día, pues, ciertamente, de haberlo sido el día 6 de mayo la Sentencia habría denegado el acceso a la jurisdicción para la revisión de la Resolución en atención a una causa inexistente, lo que, por ello mismo, permitiría imputar a aquella la lesión del derecho fundamental que se denuncia.</w:t>
      </w:r>
    </w:p>
    <w:p w:rsidR="00FE0907" w:rsidRDefault="00FE0907" w:rsidP="00FE0907">
      <w:pPr>
        <w:pStyle w:val="TextoNormal"/>
      </w:pPr>
    </w:p>
    <w:p w:rsidR="00FE0907" w:rsidRDefault="00FE0907" w:rsidP="00FE0907">
      <w:pPr>
        <w:pStyle w:val="TextoNormal"/>
      </w:pPr>
      <w:r w:rsidRPr="00FE0907">
        <w:rPr>
          <w:rStyle w:val="NumeroAFNegritaCaracter"/>
        </w:rPr>
        <w:t>2</w:t>
      </w:r>
      <w:r>
        <w:t>. No obstante, de inmediato debe señalarse que si la vulneración del derecho fundamental a la tutela judicial efectiva por la Sentencia que se impugna únicamente dependiese del referido extremo, la demanda de amparo habría encontrado serios obstáculos a su propia viabilidad procesal. Téngase presente, en efecto, que la posible discordancia entre la realidad fáctica cuya existencia afirma el solicitante de amparo y los hechos de los que parte la Sentencia impugnada, no corresponde, en principio, a este Tribunal depurarla, pues, como reiteradamente hemos señalado, el Tribunal Constitucional no es una tercera instancia, ni puede la jurisdicción constitucional entrar a conocer de los hechos que dieron lugar al proceso en el que se produjo la alegada lesión de derechos fundamentales (art. 44.1 b] LOTC). Por tanto, dado que en la vía de amparo constitucional ha de darse por probada la veracidad y la validez de los documentos de la litis, de manera que la veracidad o exactitud de la documentación aportada con el expediente administrativo debe ser depurada antes de acudir al amparo constitucional, bien cuestionando la validez probatoria de tales documentos oficiales en el seno del mismo proceso contencioso-administrativo (en los términos que regulan los arts.  511, 598 y 606 y concordantes de la Ley de Enjuiciamiento Civil), o bien, en su caso, entablando una acción criminal por falsedad (art. 514 de la misma ley procesal), resulta palmario que, en el presente supuesto, debe estarse a lo inequívocamente declarado por la Sentencia y, ya con alguna mayor precisión, por el propio Auto de aclaración, al concluir este último, de manera taxativa, que consta en el expediente que "el recurso de alzada dirigido al Ministerio para las Administraciones Públicas fue presentado en la Oficina Provincial de Barcelona el 9 de mayo de 1988 (sello de la Oficina, Registro de entrada 2.954) ...".</w:t>
      </w:r>
    </w:p>
    <w:p w:rsidR="00FE0907" w:rsidRDefault="00FE0907" w:rsidP="00FE0907">
      <w:pPr>
        <w:pStyle w:val="TextoNormal"/>
      </w:pPr>
      <w:r>
        <w:t xml:space="preserve">Es cierto que el recurrente ha aportado -y aportó con el escrito de interposición del recurso contencioso-administrativo, según consta en las actuaciones remitidas por el órgano judicial- una fotocopia del referido recurso de alzada en la que figura estampillado un sello de registro de entrada de la Oficina Provincial de Barcelona de la MUNPAL con la fecha 6 </w:t>
      </w:r>
      <w:r>
        <w:lastRenderedPageBreak/>
        <w:t>de mayo de 1988, pero no lo es menos que fue el órgano judicial el que conoció y tuvo a la vista el expediente administrativo, en el que, como se declara y no se ha discutido en momento alguno, figuraba el pertinente documento, sin que haya indicio alguno de error por parte de la Sala en la afirmación de que la fecha que en el mismo consta es la de 9 mayo de 1988, máxime cuando, a requerimiento de este Tribunal, la Administración ha aportado igualmente copia de dicho recurso en el que, figurando el mismo sello, consta ese día como fecha de entrada y asimismo, también a requerimiento nuestro, la Directora Provincial de la Mutualidad en Barcelona ha comunicado en el mismo sentido que el referido recurso de alzada tuvo entrada en la Oficina Provincial el día 9 de mayo de 1988, registro de entrada 2.954.</w:t>
      </w:r>
    </w:p>
    <w:p w:rsidR="00FE0907" w:rsidRDefault="00FE0907" w:rsidP="00FE0907">
      <w:pPr>
        <w:pStyle w:val="TextoNormal"/>
      </w:pPr>
      <w:r>
        <w:t>De este modo, como ya se ha expuesto más arriba, no estando llamado este Tribunal a depurar la veracidad o no de uno u otro documento, que ya fueron aportados al correspondiente proceso contencioso-administrativo y examinados por el órgano judicial, a lo por éste declarado en su Sentencia y posterior Auto de aclaración debe estarse en este momento, tomando, pues, como un hecho insusceptible de revisión en esta sede, y sin perjuicio del posible ejercicio de otras acciones por el ahora recurrente si así procediesen, el que la presentación del recurso de alzada lo fue el día 9 de mayo de 1988.</w:t>
      </w:r>
    </w:p>
    <w:p w:rsidR="00FE0907" w:rsidRDefault="00FE0907" w:rsidP="00FE0907">
      <w:pPr>
        <w:pStyle w:val="TextoNormal"/>
      </w:pPr>
    </w:p>
    <w:p w:rsidR="00FE0907" w:rsidRDefault="00FE0907" w:rsidP="00FE0907">
      <w:pPr>
        <w:pStyle w:val="TextoNormal"/>
      </w:pPr>
      <w:r w:rsidRPr="00FE0907">
        <w:rPr>
          <w:rStyle w:val="NumeroAFNegritaCaracter"/>
        </w:rPr>
        <w:t>3</w:t>
      </w:r>
      <w:r>
        <w:t>. La conclusión alcanzada no conduce, sin embargo, a la desestimación del recurso de amparo planteado, pues, aun cuando el recurso de alzada fuera presentado en la fecha que indica la Sentencia impugnada, ello, por sí sólo, no descarta que la causa de inadmisión haya sido apreciada incorrectamente y que, por tanto, no haya podido incurrir en la lesión del derecho fundamental por la que ahora se solicita amparo.</w:t>
      </w:r>
    </w:p>
    <w:p w:rsidR="00FE0907" w:rsidRDefault="00FE0907" w:rsidP="00FE0907">
      <w:pPr>
        <w:pStyle w:val="TextoNormal"/>
      </w:pPr>
      <w:r>
        <w:t>En efecto, habiéndose denunciado la vulneración del derecho a la tutela judicial efectiva por razón de la indebida inadmisión del recurso contencioso-administrativo al amparo de los arts. 82 c) y 40 a) de la LJCA, es preciso examinar seguidamente si la apreciación por el órgano judicial del carácter firme y consentido de la Resolución administrativa impugnada, por no haber sido recurrida en vía administrativa en tiempo y forma, fue o no correcta, atendiendo para ello a los propios hechos declarados en la Sentencia. Y es que, como hemos señalado en ocasiones anteriores, si bien la determinación del alcance de las normas procesales y la precisión de los requisitos de procedibilidad pertenece, en principio, al ámbito y márgenes de interpretación de la legalidad ordinaria, lo cierto es que la inadmisión basada en un motivo inexistente constituye no sólo una ilegalidad, sino también una inconstitucionalidad que afecta al derecho fundamental que reconoce y garantiza el art. 24.1 C.E., y por ello, este Tribunal puede y debe comprobar la razonabilidad de la aplicación efectuada de la causa de inadmisión tenida en cuenta, analizando a tal fin si la interpretación efectuada es arbitraria o infundada, especialmente por haberse producido un error patente (por todas, STC 201/87, fundamentos jurídicos 5º y ss., con cita de otras más).</w:t>
      </w:r>
    </w:p>
    <w:p w:rsidR="00FE0907" w:rsidRDefault="00FE0907" w:rsidP="00FE0907">
      <w:pPr>
        <w:pStyle w:val="TextoNormal"/>
      </w:pPr>
      <w:r>
        <w:t>La razonabilidad de la decisión judicial que se impugna suscita serios reparos desde la consideración del derecho fundamental a la tutela judicial efectiva si se tiene presente que el órgano judicial, que inadmitió, como hemos visto, el recurso contencioso-administrativo en atención a la extemporaneidad de la interposición del recurso de alzada, no ha tenido en cuenta, sin embargo, que con anterioridad a que las actuaciones judiciales quedasen conclusas y se procediese al señalamiento para votación y fallo de la Sentencia, la Administración -en concreto, el Ministro para las Administraciones Públicas- resolvió sobre el referido recurso de alzada -concretamente, por Resolución de 2 de marzo de 1989, procediendo, por lo demás, el recurrente, por escrito de 17 de marzo de 1989, a ampliar el obje</w:t>
      </w:r>
      <w:r>
        <w:lastRenderedPageBreak/>
        <w:t>to del recurso contencioso-administrativo en tramitación-, y que dicha Resolución (tardía) del recurso de alzada, si bien fue, ciertamente, desestimatoria, lo fue por razones de fondo, declarándose expresamente en la misma que el recurso de alzada fue "interpuesto en tiempo y forma".</w:t>
      </w:r>
    </w:p>
    <w:p w:rsidR="00FE0907" w:rsidRDefault="00FE0907" w:rsidP="00FE0907">
      <w:pPr>
        <w:pStyle w:val="TextoNormal"/>
      </w:pPr>
      <w:r>
        <w:t>Así las cosas, habiendo resuelto de manera expresa la Administración el recurso de alzada, no sólo sin advertir incumplimiento alguno de los requisitos formales exigibles para entrar en la resolución del fondo de la cuestión, sino señalando expresamente que su interposición lo fué en tiempo y forma, resulta manifiesto que la decisión judicial de declarar inadmisible el recurso contencioso-administrativo, por haber adquirido firmeza el acto administrativo al apreciar que la alzada interpuesta contra el mismo fue extemporánea, entraña una aplicación formalista y excesivamente rigurosa que conduce a una sanción tan grave y desporporcionada como es cerrar el paso a la obtención por el recurrente de un pronunciamiento sobre el fondo, sin advertir que la propia Administración no encontró razón formal alguna para rechazar la admisibilidad del recurso de alzada y además, superando su anterior silencio resolvió de manera expresa mediante acto que dio lugar a que el recurrente ampliase su recurso contencioso a éste último; circunstancias ambas que vician la resolución judicial que motiva el amparo de incompatibilidad con el principio de interpretación más favorable a la efectividad del derecho fundamental invocado por el demandante y, por consiguiente disconforme con la garantía que, en este sentido, establece el art. 24.1 C.E.</w:t>
      </w:r>
    </w:p>
    <w:p w:rsidR="00FE0907" w:rsidRDefault="00FE0907" w:rsidP="00FE0907">
      <w:pPr>
        <w:pStyle w:val="TextoNormal"/>
      </w:pPr>
      <w:r>
        <w:t>En definitiva, el órgano judicial, no debió estimar que el acto impugnado había quedado consentido por no haber sido recurrido en tiempo, una vez que la Administración competente para conocer previamente del recurso de alzada expresamente rechazó esa extemporaneidad, viniendo de esta forma el acto posterior de la Administración a imposibilitar la posterior calificación de éste como acto firme y consentido y, por tanto, a imposibilitar la inadmisión del recurso contencioso-administrativo, razón por la cual, al no haberlo hecho así, puede concluirse, desde esta perspectiva, que la Sentencia impugnada ha privado indebidamente al recurrente del derecho fundamental a la tutela judicial efectiva.</w:t>
      </w:r>
    </w:p>
    <w:p w:rsidR="00FE0907" w:rsidRDefault="00FE0907" w:rsidP="00FE0907">
      <w:pPr>
        <w:pStyle w:val="TextoNormal"/>
      </w:pPr>
      <w:r>
        <w:t>La existencia de esta infracción constitucional por el Auto impugnado hace innecesario entrar a examinar si la aplicación efectuada de la causa de inadmisión de extemporaneidad ha sido arbitraria o infundada, producto de un error patente, por haberse computado como día inhábil el 2 de mayo de 1988, festivo en Madrid, sede del órgano administrativo competente para conocer del mismo, aunque dicho recurso se hubiese presentado en la oficina provincial de la Mutualidad en Barcelona, localidad en que ese día era hábil.</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interpuesto por don Antonio Bartra Surribas y, en consecuencia, anular la Sentencia de la Sección Segunda de la Sala de lo Contencioso-Administrativo del Tribunal Superior de Justicia de Cataluña de 14 de diciembre de 1989, dictada en autos de recurso contencioso-administrativo núm.  304/89, a fin de que dicte otra nueva en la que se pronuncie sobre el fondo de la pretensión deducida.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marzo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7" w:name="SENTENCIA_1992_44"/>
      <w:r>
        <w:lastRenderedPageBreak/>
        <w:t>SENTENCIA 44/1992, de 2 de abril de 1992</w:t>
      </w:r>
    </w:p>
    <w:bookmarkEnd w:id="47"/>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ECLI:ES:TC:1992:44</w:t>
      </w:r>
    </w:p>
    <w:p w:rsidR="00FE0907" w:rsidRDefault="00FE0907" w:rsidP="00FE0907">
      <w:pPr>
        <w:pStyle w:val="SntesisDescriptiva"/>
      </w:pPr>
    </w:p>
    <w:p w:rsidR="00FE0907" w:rsidRDefault="00FE0907" w:rsidP="00FE0907">
      <w:pPr>
        <w:pStyle w:val="SntesisDescriptiva"/>
      </w:pPr>
      <w:r>
        <w:t>Recurso de inconstitucionalidad 614/1986. Planteado por el Gobierno de la Nación contra determinados preceptos de la Ley 1/1986, de 25 de febrero, del Parlamento de Cataluña de Regulación de la Pesca Marítima</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Se reitera doctrina anterior de este Tribunal en relación con la pesca marítima [F.J. 1].</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inconstitucionalidad núm. 614/86, interpuesto por el Abogado del Estado, en la representación que legalmente ostenta, contra determinados preceptos de la Ley 1/1986, de 25 de febrero, del Parlamento de Cataluña de Regulación de la Pesca Marítima (arts. 4.1, 9.2, 10, 11 y 23 y por conexión con éstos los arts. 2, 3 a], b] y c]). Han comparecido el Parlamento de Cataluña, por medio de su Presidente, y el Consejo Ejecutivo de la Generalidad de Cataluña, a través del Abogado que ostenta su representación y defensa, don Ramón Gorbs i Turbany, y ha sido Magistrado Ponente, don Miguel Rodríguez-Piñero y Bravo-Ferrer,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Por escrito que tiene su entrada en este Tribunal el 7 de junio de 1986, el Abogado del Estado interpone recurso de inconstitucionalidad contra la Ley 1/1986, de 25 de febrero del Parlamento de Cataluña sobre la pesca marítima de Cataluña (D.O.G.C. núm. 658 de 7 de marzo) y concretamente contra sus arts. 4.1, 9.2, 10, 11 y 23, y por conexión con </w:t>
      </w:r>
      <w:r>
        <w:lastRenderedPageBreak/>
        <w:t>los anteriores, contra los arts. 2 y 3.a), b) y c) de la misma Ley por entender que vulneran el bloque de la constitucionalidad, y específicamente el art. 149.1.19 C.E, y los arts. 9.17 y 10.1.7 del Estatuto de Autonomía de Cataluña. Desde ese momento, se hace invocación expresa del art. 161.2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Según el Abogado del Estado, la pesca marítima en su totalidad está atribuida a la competencia exclusiva del Estado, no obstante la competencia de las Comunidades Autónomas en la ordenación del sector pesquero, exclusivamente en relación a las aguas interiores. Para delimitar la distinción entre pesca y ordenación del sector pesquero, se propone entender como "ordenación" la potestad de dictar normas referentes a la pesca, mientras que "pesca" se convierte en el resto de las actuaciones públicas referidas a la extracción, habiéndose de distinguir entre pesca marítima y ordenación del sector pesquero en aguas exteriores y en aguas interiores, correspondiendo a las Comunidades Autónomas todas las ordenaciones pesqueras no marítimas y la parte que les corresponde de la marítima de acuerdo con la legislación estatal. El art. 149.1.19 C.E. es claro y de acuerdo con él han de interpretarse los preceptos estatutarios. </w:t>
      </w:r>
    </w:p>
    <w:p w:rsidR="00FE0907" w:rsidRDefault="00FE0907" w:rsidP="00FE0907">
      <w:pPr>
        <w:pStyle w:val="TextoNormal"/>
      </w:pPr>
      <w:r>
        <w:t xml:space="preserve">Subsidiariamente se ofrece una segunda interpretación de la distribución competencial en la que la pesca marítima y la ordenación del sector pesquero serían conceptos diferenciados dentro de la pesca en aguas exteriores, en la primera materia la competencia sería exclusiva del Estado , mientras que en la ordenación del sector pesquero la competencia estatal sería la de dictar bases, y la autonómica de desarrollo y ejecución, según el art. 10.1.7 EAC. Pesca marítima sería aquel núcleo de actividad que por su objeto no es susceptible de compartimiento entre el Estado y las Comunidades Autónomas al ser regulación directa de la actividad extractiva de recursos pesqueros móviles, mientras el resto de la ordenación del sector (distribución, comercialización, recursos fijos, etc.) que pueda acotarse territorialmente, sería competencia, en cuanto a desarrollo y ejecución, de las Comunidades Autónomas; para evitar la expoliación del mar y una explotación racional de la pesca, es necesario regular caladeros, establecer normas sobre el recurso pesquero (número y tamaño de peces), y el esfuerzo pesquero (número, tonelada y característica de los barcos), actividad que no puede ser territorializada, que requiere un tratamiento homogeneo, y que corresponde al Estado, como regulación directa de la extracción. </w:t>
      </w:r>
    </w:p>
    <w:p w:rsidR="00FE0907" w:rsidRDefault="00FE0907" w:rsidP="00FE0907">
      <w:pPr>
        <w:pStyle w:val="TextoNormal"/>
      </w:pPr>
      <w:r>
        <w:t xml:space="preserve">La Ley catalana contiene una regulación exhaustiva de la pesca. Si se acepta la primera de las interpretaciones, toda la Ley es inconstitucional, salvo que se aplique en aguas interiores, y en otro caso si se acepta una competencia de desarrollo de la Comunidad Autónoma en materia de ordenación del sector pesquero en aguas exteriores, diversos preceptos de la ley, desbordan las competencias autonómicas al regular directamente la actividad extractiva. </w:t>
      </w:r>
    </w:p>
    <w:p w:rsidR="00FE0907" w:rsidRDefault="00FE0907" w:rsidP="00FE0907">
      <w:pPr>
        <w:pStyle w:val="TextoNormal"/>
      </w:pPr>
      <w:r>
        <w:t xml:space="preserve">En primer término, el art. 9.2, que permiten impedir cualquier actividad industrial o extractiva por razón de su riqueza piscícola, el art. 10, en sus apartados b)), c)) d) y f), que regulan clarísimamente la actividad extractiva (zonas y períodos de veda, limitaciones de capturas, actividad pesquera), el art. 11.1 (capacidad de capturas), y el art. 11.3 (planes experimentales de desarrollo). </w:t>
      </w:r>
    </w:p>
    <w:p w:rsidR="00FE0907" w:rsidRDefault="00FE0907" w:rsidP="00FE0907">
      <w:pPr>
        <w:pStyle w:val="TextoNormal"/>
      </w:pPr>
      <w:r>
        <w:t xml:space="preserve">En segundo lugar, los arts. 4.1, 10 a), e) g) y 11.2, regulan directamente el esfuerzo pesquero y por tanto la extracción, y sometimiento el de la actividad pesquera a licencia, fijación del número de unidades de barcos y sus características, regulación de aparejos y métodos de pesca, impidiendo cualquier consideración unitaria del Estado del recursos económico único y móvil, y evidentemente la regulación de la pesca marítima. Pero aun, si no fuera así, todo lo regulado por estos preceptos es claramente básico, que corresponde </w:t>
      </w:r>
      <w:r>
        <w:lastRenderedPageBreak/>
        <w:t xml:space="preserve">establecer al Estado. A ello no empece el Real Decreto 665/1984, de 3 de febrero de traspasos a Cataluña en materia de ordenación del sector pesquero. </w:t>
      </w:r>
    </w:p>
    <w:p w:rsidR="00FE0907" w:rsidRDefault="00FE0907" w:rsidP="00FE0907">
      <w:pPr>
        <w:pStyle w:val="TextoNormal"/>
      </w:pPr>
      <w:r>
        <w:t>En conexión con los anteriores se impugnan los arts. 2, 3 b), c) y d) y 23. El art. 2, en cuanto incluye en el ámbito de la Ley la actividad extractiva, competencia del Estado, que luego se va a concretar en las regulaciones concretas impugnadas; el art. 3, b), c) y d), en cuanto regulan el esfuerzo pesquero y el recurso pesquero, que luego van a concretarse también en las medidas reguladoras concretamente de estos conceptos; y el art. 23, en cuanto que regula la inspección de la actividad pesquera como tal.</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18 de junio de 1986 la Sección acordó: admitir a trámite el recurso; dar traslado de la demanda al Congreso de los Diputados, al Senado, así como al Parlamento y al Consejo Ejecutivo de la Generalidad de Cataluña, de acuerdo a lo establecido en el art. 34.1 LOTC; y declarar la suspensión de la vigencia y aplicación de los preceptos legales impugnados, según el art. 161.2 C.E. y el art. 30 de la LOTC, desde la fecha de interposición del recurso. Mediante Auto de 30 de octubre de 1986, el Pleno acordó mantener la suspensión de los artículos recurridos inicialmente acordada de manera automática y a solicitud del Gobierno.</w:t>
      </w:r>
    </w:p>
    <w:p w:rsidR="00FE0907" w:rsidRDefault="00FE0907" w:rsidP="00FE0907">
      <w:pPr>
        <w:pStyle w:val="TextoNormal"/>
      </w:pPr>
    </w:p>
    <w:p w:rsidR="00FE0907" w:rsidRDefault="00FE0907" w:rsidP="00FE0907">
      <w:pPr>
        <w:pStyle w:val="TextoNormal"/>
      </w:pPr>
      <w:r w:rsidRPr="00FE0907">
        <w:rPr>
          <w:rStyle w:val="NumeroAFNegritaCaracter"/>
        </w:rPr>
        <w:t>4</w:t>
      </w:r>
      <w:r>
        <w:t>. Se ha personado el Senado, a través de su Presidente, ofreciendo su colaboración.</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Presidente del Parlamento de Cataluña, en nombre y representación del mismo, formula escrito de alegaciones en el que se sostiene que la principal cuestión controvertida en el presente recurso es el alcance de la competencia de la Generalidad de Cataluña en materia de pesca marítima fuera de las aguas interiores, tratándose de demostrar que la Generalidad carece de competencia alguna en la materia, sobre la base de que el legislador se ha expresado defectuosamente y ha errado el legislador estatutario, el legislador autonómico y las Comisiones Mixtas de transferencias. Sin embargo, esta tesis no es la que se defiende en realidad, puesto que se impugnan sólo algunos artículos, dado que de acuerdo a los preceptos constitucionales y estatutarios y la jurisprudencia constitucional, no hay duda de que las Comunidades Autónomas del art. 151 C.E., tienen competencia en materia de pesca marítima y de ordenación del sector pesquero. </w:t>
      </w:r>
    </w:p>
    <w:p w:rsidR="00FE0907" w:rsidRDefault="00FE0907" w:rsidP="00FE0907">
      <w:pPr>
        <w:pStyle w:val="TextoNormal"/>
      </w:pPr>
      <w:r>
        <w:t>Demostrada la competencia de desarrollo legislativo de la Generalidad, la cuestión debatida se reduce a establecer si ha habido o no infracción de la legislación básica del Estado, no admitiéndose la reserva de la competencia exclusiva del Estado en la regulación directa de la actividad extractiva, pues la Constitución no ha establecido una clara diferenciación entre los conceptos de pesca marítima y de ordenación del sector pesquero. No existiendo una legislación de bases en sentido formal, la posible infracción de las bases estatales sólo puede ser por incompatibilidad con la modulación de competencias, habiéndose traspasado a la Generalidad de Cataluña una serie de funciones y servicios en materia de ordenación del sector pesquero, de elaboración y ejecución de planes de pesca, de asignación del número de licencias, cupos y permisos temporales de pesca, así como en relación con la construcción de buques de pesca, la conservación y mejora de recursos pesqueros, y el establecimiento de vedas y reglamentaciones de artes. La lógica del Derecho vigente no es la de la exclusión de las Comunidades Autónomas, sino la de la colaboración de éstas con el Estado, de este modo la determinación del contingente de licencias por el Estado, no impide su concesión por la Comunidad Autónoma. No se cita ninguna norma estatal sobre la que apoyar la supuesta norma básica excluyente de la competencia auto</w:t>
      </w:r>
      <w:r>
        <w:lastRenderedPageBreak/>
        <w:t xml:space="preserve">nómica, siendo compatible la competencia autonómica con la estatal (STC 44/1984). No puede deducirse la existencia de bases negativas, de una normativa que no niega sino afirma la competencia autonómica. No cabe importar al sistema constitucional español la teoría norteamericana de la preemption. La legislación básica no prohibe cualquier regulación autonómica sobre extracción de recursos pesqueros o "esfuerzo pesquero", y como este es el único argumento referido a la inconstitucionalidad de los artículos impugnados, parece demostrada perfectamente su constitucionalidad. </w:t>
      </w:r>
    </w:p>
    <w:p w:rsidR="00FE0907" w:rsidRDefault="00FE0907" w:rsidP="00FE0907">
      <w:pPr>
        <w:pStyle w:val="TextoNormal"/>
      </w:pPr>
      <w:r>
        <w:t>En cuanto al art. 9.2, no incide sobre la pesca sino en otras actividades que podrían perjudicarla, y halla su fundamento en el art. 10.6 EAC, en cuanto normas adicionales de protección, que no son irrazonables o desproporcionadas (STC 69/1982).</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Consejo Ejecutivo de la Generalidad de Cataluña rechaza, en primer lugar, los argumentos contenidos en la alegación primera de la demanda, para centrarse luego en el objeto de la Ley, la pesca marítima y la ordenación del sector pesquero, competencia autonómica que encuentra su fundamento en el art. 149.1.19 C.E. La competencia autonómica en relación con la pesca marítima resulta de la Constitución y de los Estatutos. El objeto de la ley viene constituido por la regulación de la pesca, la cría y recogida del marisco y la acuicultura, por un lado, y, por otro, la ordenación del sector pesquero para conseguir la racional explotación de los recursos marinos renovables, lo que entra dentro de la competencia de desarrollo legislativo y ejecución en materia de ordenación del sector pesquero (art. 10.1.7 EAC), partiendo de la identificación entre los conceptos de pesca marítima y ordenación del sector pesquero: siendo al respecto relevante el contenido de las transferencias realizadas a Cataluña en esta materia, que inciden de lleno tanto en la pesca marítima, como actividad de extracción, como en la ordenación del sector. La competencia estatal sobre pesca marítima recaerá en todo lo que no esté incluido en las competencias transferidas o que, incluidas en las mismas, requiera de una normación básica a la que las Comunidades Autónomas con competencia de desarrollo legislativo y ejecución en la materia deban sujetar su ejercicio, sin excindir un ámbito material que el bloque de constitucionalidad ha configurado como único. </w:t>
      </w:r>
    </w:p>
    <w:p w:rsidR="00FE0907" w:rsidRDefault="00FE0907" w:rsidP="00FE0907">
      <w:pPr>
        <w:pStyle w:val="TextoNormal"/>
      </w:pPr>
      <w:r>
        <w:t xml:space="preserve">En función de ello, el desbordamiento de las competencias autonómicas argumentado por la actora no se produce en absoluto, los preceptos impugnados se circunscriben al concepto de ordenación del sector pesquero, y si afectan a la pesca marítima lo hacen porque esa ordenación, según se ha dicho, se refiere a la pesca marítima, circunstancia que no puede ser origen de inconstitucionalidad alguna. </w:t>
      </w:r>
    </w:p>
    <w:p w:rsidR="00FE0907" w:rsidRDefault="00FE0907" w:rsidP="00FE0907">
      <w:pPr>
        <w:pStyle w:val="TextoNormal"/>
      </w:pPr>
      <w:r>
        <w:t xml:space="preserve">El art. 9.2 de la Ley impugnada, es una manifestación inequívoca de medidas de conservación y mejoras de recursos que se incardinan en la ordenación del sector pesquero, aunque haya de subordinarse a la legislación básica del Estado. </w:t>
      </w:r>
    </w:p>
    <w:p w:rsidR="00FE0907" w:rsidRDefault="00FE0907" w:rsidP="00FE0907">
      <w:pPr>
        <w:pStyle w:val="TextoNormal"/>
      </w:pPr>
      <w:r>
        <w:t xml:space="preserve">Sin perjuicio de que la unidad y movilidad del caladero nacional puede requerir un tratamiento uniforme, el encomendar al Consejo Ejecutivo el art. 10 [apartados b), c), d) y f)] el establecimiento de zonas y periodos de veda, de limitaciones y capacidad de captura, y de zonas y horario de actividad pesquera, entra dentro del marco de la ordenación del sector pesquero y se ajusta a la funciones transferidas a la Generalidad; y esa uniformidad deberá ser garantizada a través de las normas básicas dictadas por el Estado. </w:t>
      </w:r>
    </w:p>
    <w:p w:rsidR="00FE0907" w:rsidRDefault="00FE0907" w:rsidP="00FE0907">
      <w:pPr>
        <w:pStyle w:val="TextoNormal"/>
      </w:pPr>
      <w:r>
        <w:t>En cuanto a la impugnación de los arts. 4.1, 10, apartados a), e) y g), y 11.2, la libertad de "vinculación" viene garantizada por el art. 1 de la Ley y el Real Decreto 665/1984, que se remite a los convenios y acuerdos internacionales, y no constituye ninguna medida tributaria como las que contempla el art. 157.2 C.E. En conexión con los anteriores preceptos, se impugnan los arts. 2, 3 a) b) y c) y 23, con una escasa argumentación que demues</w:t>
      </w:r>
      <w:r>
        <w:lastRenderedPageBreak/>
        <w:t xml:space="preserve">tra la escasa convicción que se sustenta en la demanda, lo que incide también en la discordancia existente entre los preceptos impugnados en las alegaciones y los incluidos en el suplico, pues, mientras que en éste se incluyen los apartados a), b) y c) del art. 3, en la alegación tres se alude a los apartados b), c) y d) de ese mismo artículo, sin que la lacónica argumentación permita aclarar con certeza si quería ser impugnado el apartado a) o el d). Por lo que se refiere al art. 2, las actividades que inciden en la extracción de recursos marítimos, licencias, construcción de buques, características de éstos, y conservación y mejora de aquellos recursos, están comprendidas en el concepto de ordenación del sector pesquero y son actividades de pesca marítima. Al igual que la regulación del esfuerzo pesquero y del recurso pesquero en el art. 3, sucediendo lo propio con la inspección de las actividades pesqueras objeto de regulación en el art. 23, por lo que esos preceptos no vulneran la competencia exclusiva en favor del Estado del art. 149.1.1 C.E., que es sin perjuicio de las competencias que en la ordenación del sector se han atribuido en su Estatuto a Cataluña (art. 10.1.7 EAC). </w:t>
      </w:r>
    </w:p>
    <w:p w:rsidR="00FE0907" w:rsidRDefault="00FE0907" w:rsidP="00FE0907">
      <w:pPr>
        <w:pStyle w:val="TextoNormal"/>
      </w:pPr>
      <w:r>
        <w:t>En cuanto al carácter básico de las materias reguladas por los preceptos impugnados, la consideración de básicas únicamente podrá ser atribuida a aquellas materias que objetivamente sean susceptibles de una regulación normativa uniforme y de vigencia en toda la Nación, pero no aquellas cuyas peculiaridades específicas exijan un tratamiento singular y diferenciado, como ocurre con el ecosistema marino de las costas catalanas y sus especiales características, como se comprueba en el Real Decreto 2.349/1984, que contempla una diversidad de regímenes diferenciados para los distintos sectores del área marítima nacional, siendo insuficiente la hipótesis de cuales deberían ser las bases estatales para demostrar la incompetencia autonómica en esta materia.</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31 de marzo de 1992, se señaló el día 2 de abril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Objeto de impugnación en el presente recurso es la Ley 1/1986, de 25 de febrero, del Parlamento de Cataluña sobre regulación de la pesca marítima, que el Abogado del Estado recurre en relación con determinados preceptos de la misma.</w:t>
      </w:r>
    </w:p>
    <w:p w:rsidR="00FE0907" w:rsidRDefault="00FE0907" w:rsidP="00FE0907">
      <w:pPr>
        <w:pStyle w:val="TextoNormal"/>
      </w:pPr>
      <w:r>
        <w:t>Tanto el Abogado del Estado como las representaciones del Parlamento y de la Generalidad de Cataluña dedican buena parte de sus escritos a defender determinadas interpretaciones de las respectivas competencias estatales y de la Comunidad Autónoma sobre la pesca marítima y la ordenación del sector pesquero, partiendo de muy diferentes lecturas del alcance que debe concederse al art.  149.1.19 C.E. y al art.  10.7 del Estatuto de Autonomía de Cataluña.  No resulta, sin embargo, necesario entrar a analizar detenidamente esas argumentaciones, puesto que, posteriormente a la formulación del presente recurso, este Tribunal ha tenido ocasión de pronunciarse, precisamente en distintos conflictos positivos de competencia también entre la Generalidad de Cataluña y el Gobierno de la Nación, sobre la delimitación de competencias existente entre el Estado y la Comunidad de Cataluña en materia de pesca y ordenación del sector pesquero.</w:t>
      </w:r>
    </w:p>
    <w:p w:rsidR="00FE0907" w:rsidRDefault="00FE0907" w:rsidP="00FE0907">
      <w:pPr>
        <w:pStyle w:val="TextoNormal"/>
      </w:pPr>
      <w:r>
        <w:t xml:space="preserve">En efecto, en las SSTC 56/1989 y 147/1991, el Tribunal sentó una doctrina constitucional que permite rechazar, con expresa remisión a los razonamientos contenidos en ambas Sentencias, en primer lugar, la tesis mantenida por el Abogado del Estado en la alegación primera de la demanda, relativa a la inexistencia de competencia autonómica alguna en </w:t>
      </w:r>
      <w:r>
        <w:lastRenderedPageBreak/>
        <w:t>toda la actividad pesquera en aguas exteriores. Pero también de esas Sentencias se deducen algunas conclusiones de indudable relevancia para enjuiciar las impugnaciones y las alegaciones que en esta controversia constitucional las partes vierten: la imposibilidad de aceptar la tesis de la absoluta indiferenciación de los conceptos "pesca marítima" y "ordenación del sector pesquero" según el art.  10.7 del Estatuto, tesis que defiende sobre todo la representación del Parlamento de Cataluña y que debe ser rechazada en virtud de las razones que ya se dieron en el último párrafo de la letra B) del fundamento jurídico 4 de la STC 147/1991; tampoco se puede pretender que prevalezca en derecho una presunta voluntad, fruto del acuerdo entre sendas Administraciones públicas formalizado en los Decretos de transferencias, sobre el sentido objetivo de las normas constitucionales y estatutarias (de nuevo, conforme a lo expuesto en la STC 147/1991, fundamento jurídico 4º, letra E y en todas las resoluciones precedentes que allí se citan); es también una cuestión resuelta cuál es el contenido y la forma posible de las normas estatales básicas en la materia (Ibídem, letras c] y d]).</w:t>
      </w:r>
    </w:p>
    <w:p w:rsidR="00FE0907" w:rsidRDefault="00FE0907" w:rsidP="00FE0907">
      <w:pPr>
        <w:pStyle w:val="TextoNormal"/>
      </w:pPr>
    </w:p>
    <w:p w:rsidR="00FE0907" w:rsidRDefault="00FE0907" w:rsidP="00FE0907">
      <w:pPr>
        <w:pStyle w:val="TextoNormal"/>
      </w:pPr>
      <w:r w:rsidRPr="00FE0907">
        <w:rPr>
          <w:rStyle w:val="NumeroAFNegritaCaracter"/>
        </w:rPr>
        <w:t>2</w:t>
      </w:r>
      <w:r>
        <w:t>. Esto sentado, debe bastar con recordar ahora, sucintamente, para la resolución de esta acción directa de inconstitucionalidad que, de acuerdo con las mencionadas SSTC 56/1989 y 147/1991, ha de considerarse competencia exclusiva del Estado "la pesca marítima" en aguas exteriores, es decir, la normativa referida a los recursos y zonas donde puede pescarse (fondos, caladeros, distancias, cupos), a los periodos en que puede pescarse (vedas, horas), y a la forma y medios de realización de la actividad extractiva en el mar (artes, medios de pesca).  Y debe, en cambio, considerarse competencia compartida, mediante el empleo de la técnica consistente en la emanación de bases a cargo del Estado y el desarrollo legislativo y la ejecución por la Comunidad Autónoma de Cataluña, la "ordenación del sector pesquero", título que hace referencia a la regulación del sector económico o productivo de la pesca, en todo lo que no sea actividad extractiva directa, sino organización del sector; incluyendo la determinación de quiénes pueden ejercer directamente la pesca, las condiciones que deben reunir tales sujetos integrantes del sector y su forma de organización; por consiguiente, se enmarcan también en este título, competencias referidas a las condiciones profesionales de los pescadores y otros sujetos relacionados con el sector, construcción de buques, registros oficiales, cofradías de pescadores, lonjas de contratación y otras similares.  Al margen de este deslinde teórico queda, obviamente, la competencia autonómica exclusiva sobre pesca en aguas interiores, marisqueo y acuicultura (art.  9.17 del Estatuto), que se invoca en la Exposición de Motivos de la Ley impugnada.</w:t>
      </w:r>
    </w:p>
    <w:p w:rsidR="00FE0907" w:rsidRDefault="00FE0907" w:rsidP="00FE0907">
      <w:pPr>
        <w:pStyle w:val="TextoNormal"/>
      </w:pPr>
      <w:r>
        <w:t>Hemos de partir, en definitiva, del criterio de que son títulos competenciales diferentes, ex art. 149.1.19 C.E., la "pesca" en aguas marítimas exteriores, competencia exclusiva del Estado, y la "ordenación del sector pesquero", que es materia compartida entre el Estado, al que le corresponde la competencia normativa básica, y diversas Comunidades Autónomas, entre ellas la de Cataluña, a las que incumbe el desarrollo legislativo y la ejecución de esas bases (art.  10.17 del Estatuto). La existencia de esta competencia autonómica excluye de antemano que puedan ser aceptadas las reservas formuladas por el Abogado del Estado frente a la Ley en su totalidad, y, al mismo tiempo, esta dualidad competencial determina que la solución del presente recurso requiera analizar cada uno de los preceptos sobre los que se proyecta la impugnación, teniendo en cuenta su concreto contenido, para dilucidar si el legislador catalán ha desconocido el orden constitucional de competencias, ya sea por regular directamente o reservar al ejecutivo autonómico competencias de desarrollo o ejecutivas en materia de pesca, ya sea por desconocer la legislación básica del Estado en materia de ordenación del sector pesquero.</w:t>
      </w:r>
    </w:p>
    <w:p w:rsidR="00FE0907" w:rsidRDefault="00FE0907" w:rsidP="00FE0907">
      <w:pPr>
        <w:pStyle w:val="TextoNormal"/>
      </w:pPr>
    </w:p>
    <w:p w:rsidR="00FE0907" w:rsidRDefault="00FE0907" w:rsidP="00FE0907">
      <w:pPr>
        <w:pStyle w:val="TextoNormal"/>
      </w:pPr>
      <w:r w:rsidRPr="00FE0907">
        <w:rPr>
          <w:rStyle w:val="NumeroAFNegritaCaracter"/>
        </w:rPr>
        <w:t>3</w:t>
      </w:r>
      <w:r>
        <w:t>. A la luz de estos criterios generales, y procediendo a su aplicación a los concretos preceptos impugnados de la Ley catalana reguladora de la pesca marítima, puede señalarse lo siguiente:</w:t>
      </w:r>
    </w:p>
    <w:p w:rsidR="00FE0907" w:rsidRDefault="00FE0907" w:rsidP="00FE0907">
      <w:pPr>
        <w:pStyle w:val="TextoNormal"/>
      </w:pPr>
      <w:r>
        <w:t>A) Invaden la competencia estatal para regular la pesca marítima recogida en el art. 149.1.19 C.E., tal y como ha sido interpretada en las Sentencias reseñadas en el fundamento jurídico anterior, los artículos discutidos por el Abogado del Estado que a continuación se indican.</w:t>
      </w:r>
    </w:p>
    <w:p w:rsidR="00FE0907" w:rsidRDefault="00FE0907" w:rsidP="00FE0907">
      <w:pPr>
        <w:pStyle w:val="TextoNormal"/>
      </w:pPr>
      <w:r>
        <w:t>El art. 9.2 de la Ley concede al Consejo Ejecutivo de la Generalidad la facultad de determinar "masas de agua" en las que no podrá autorizarse la instalación de artes, industrias o aprovechamientos piscícolas, habida cuenta de la importancia de la riqueza piscícola o marisquera. Esta regulación autonómica, encaminada a preservar el recurso natural en ciertas zonas frente a actividades industriales o extractivas, se adentra en la competencia exclusiva del Estado para regular la cuestión en todo el caladero nacional, entre otras razones, dada la misma movilidad del recurso.  Como hemos dicho en la STC 147/1991 (fundamento jurídico 5º) "sólo desde una ordenación unitaria del caladero nacional pueden fijarse criterios efectivos de protección de un recurso natural necesariamente móvil y, por ello, dificilmente separable entre comunidades Autónomas limítrofes".  La contención del esfuerzo pesquero y la explotación nacional de los recursos requiere de un conjunto de medidas "que sólo unitariamente contempladas cobran sentidos y garantizan su eficacia" (Ibidem).</w:t>
      </w:r>
    </w:p>
    <w:p w:rsidR="00FE0907" w:rsidRDefault="00FE0907" w:rsidP="00FE0907">
      <w:pPr>
        <w:pStyle w:val="TextoNormal"/>
      </w:pPr>
      <w:r>
        <w:t>De igual modo, el art.  10 de la Ley -que significativamente se sitúa en el Título II, Capítulo segundo intitulado "de los recursos marinos"- atribuye al órgano ejecutivo autonómico la potestad de emanar reglamentos que regulen distintos extremos con el fin de mantener una "utilización racional de los recursos marinos renovables" y de obtener un llamado "rendimiento sostenido óptimo"; entre estos extremos se señalan expresamente en la Ley junto a otros: las características de las artes, mallas, aparejos, instrumentos y equipos de pesca (letra a]); las zonas, periodos y modalidades de veda (letra b]); limitaciones de capturas en función de la talla, sexo, peso y otros factores de las especies (letra c]) o en función de cada unidad de pesca según la modalidad pesquera (letra d]); extremos todos ellos que inciden en la competencia estatal para preservar el recurso marino y ordenar, en consecuencia, su extracción.</w:t>
      </w:r>
    </w:p>
    <w:p w:rsidR="00FE0907" w:rsidRDefault="00FE0907" w:rsidP="00FE0907">
      <w:pPr>
        <w:pStyle w:val="TextoNormal"/>
      </w:pPr>
      <w:r>
        <w:t>Intimamente conectado con lo dispuesto en el precitado art.  10, letra d), se encuentran el art.  11, apartado 1º, precepto que otorga a la correspondiente Consejería de la Comunidad Autónoma la facultad de determinar la capacidad de las capturas de acuerdo con "la evolución de los recursos pesqueros"; y el apartado 2º de este artículo que establece unos criterios teóricos orientativos para determinar el esfuerzo pesquero máximo. Las mismas razones que llevaban a la inconstitucionalidad por incompetencia de aquel precepto legal deben predicarse de este en ambos apartados, pues es patente el carácter unitario de la regulación y es la misma la razón de decidir.</w:t>
      </w:r>
    </w:p>
    <w:p w:rsidR="00FE0907" w:rsidRDefault="00FE0907" w:rsidP="00FE0907">
      <w:pPr>
        <w:pStyle w:val="TextoNormal"/>
      </w:pPr>
      <w:r>
        <w:t>Señala también el Abogado del Estado el carácter instrumental respecto de estos preceptos sustantivos de lo establecido en los arts. 2 y 3, apartados a), b), c) y d).  Pues bien, ciertamente, no puede pensarse que el legislador autonómico actúe dentro de su competencia cuando incluye en el ámbito que abarca la Ley recurrida "todas las actividades que inciden en la extracción y producción de los recursos marinos renovables" (art. 2), porque ya se ha dicho que es competencia exclusiva del Estado la regulación del recurso natural.  Este inciso del art. 2, a diferencia del resto del artículo que se refiere a ámbitos y objetos distintos, debe estimarse invasor de la competencia estatal.</w:t>
      </w:r>
    </w:p>
    <w:p w:rsidR="00FE0907" w:rsidRDefault="00FE0907" w:rsidP="00FE0907">
      <w:pPr>
        <w:pStyle w:val="TextoNormal"/>
      </w:pPr>
      <w:r>
        <w:lastRenderedPageBreak/>
        <w:t>Otro tanto cabe decir del art. 3 donde se precisa qué cabe entender por diversos términos y expresiones que la Ley emplea como son: "recursos marinos renovables" (letra a]), "rendimiento sostenible máximo" (letra b]), y "esfuerzo pesquero máximo" (letra c]). Habida cuenta de que la materia, a la que se aplican estos conceptos, pesca marítima en aguas exteriores, cae en el seno de la competencia estatal, tales preceptos legales se adentran aunque sea formalmente en el ámbito de la competencia estatal.  Es no menos patente, empleando esa misma lógica, que, en cambio, puede perfectamente la Generalidad de Cataluña matizar qué deba entenderse por otros conceptos incluidos en el art. 3, letra d] -que aún cuando no ha sido incluido como impugnado en el suplico, si lo ha sido en el cuerpo de la demanda- que caen dentro de su competencia sobre pesca en aguas interiores, marisqueo y acuicultura (art.  9.17 del Estatuto), conceptos cuales son: "depuradora de marisco" (núm. 2º); "granja marina" (núm. 3º) a efectos de acuicultura; "criadero" (núm. 4º) "sementera" (núm.  5º); "vivario" (núm. 6º); "vivero" (núm. 7º); "parque natural de cultivos de mariscos" (núm. 8º).</w:t>
      </w:r>
    </w:p>
    <w:p w:rsidR="00FE0907" w:rsidRDefault="00FE0907" w:rsidP="00FE0907">
      <w:pPr>
        <w:pStyle w:val="TextoNormal"/>
      </w:pPr>
      <w:r>
        <w:t>El art. 4.1 establece que para la práctica de la pesca en cualquiera de sus modalidades, será preciso obtener la correspondiente licencia.  No tiene razón el Parlamento de Cataluña cuando afirma que el precepto carece de virtualidad para lesionar competencia normativa básica alguna del Estado, porque establecer la necesidad de licencia no es lo mismo que fijar un contingente de licencia por parte del Estado. Hemos de reiterar que por pesca marítima ha de entenderse la regulación de la actividad extractiva lo que, como hemos dicho en la STC 56/1989 (fundamento jurídico 8º) incluye el establecimiento de cupos de autorizaciones para pescar y requisitos para obtener tales autorizaciones, materia que debe incluirse dentro del título competencial estatal de pesca marítima, sin que pueda considerarse organización económica del sector sin una protección directa del recurso marítimo a través de un régimen de autorizaciones para ejercer la actividad extractiva.  "La pesca en aguas exteriores, y, más en concreto, las autorizaciones para pescar en tales aguas, es materia que no admite compartimentalización alguna entre las Comunidades Autónomas", y es por ello "materia de la entera competencia del Estado y donde por consiguiente la dicotomía entre, por una parte, bases, y, por otra, desarrollo legislativo y ejecución, carece de relevancia competencial". Por consiguiente, el art.  4.1 de la Ley 1/1986, de Cataluña, invade y desconoce la competencia estatal para regular la pesca marítima (art.  149.1.19 C.E.).</w:t>
      </w:r>
    </w:p>
    <w:p w:rsidR="00FE0907" w:rsidRDefault="00FE0907" w:rsidP="00FE0907">
      <w:pPr>
        <w:pStyle w:val="TextoNormal"/>
      </w:pPr>
      <w:r>
        <w:t>B) Por otro lado, quedan fuera del alcance de la exclusiva competencia estatal sobre pesca marítima en aguas exteriores varios artículos de la Ley también discutidos por el Abogado del Estado y que han de reputarse dictados dentro de las competencias autonómicas en la ordenación del sector pesquero.</w:t>
      </w:r>
    </w:p>
    <w:p w:rsidR="00FE0907" w:rsidRDefault="00FE0907" w:rsidP="00FE0907">
      <w:pPr>
        <w:pStyle w:val="TextoNormal"/>
      </w:pPr>
      <w:r>
        <w:t>No es inconstitucional -pese a su colocación sistemática en el Título II, Capítulo Segundo, referido a los recursos marinos- lo dispuesto en el art.  11.3 de la Ley objeto del recurso que permite a la Consejería correspondiente realizar los planes experimentales que considere más adecuados "para el mejor desarrollo del sector"; siempre y cuando, claro está, este artículo y, en concreto, la cláusula entrecomillada se interprete en la forma que ha venido sosteniéndose por este Tribunal desde la STC 56/1989 y reproduce esta Sentencia, es decir, deslindando entre pesca marítima y ordenación del sector pesquero.</w:t>
      </w:r>
    </w:p>
    <w:p w:rsidR="00FE0907" w:rsidRDefault="00FE0907" w:rsidP="00FE0907">
      <w:pPr>
        <w:pStyle w:val="TextoNormal"/>
      </w:pPr>
      <w:r>
        <w:t xml:space="preserve">El art.  23 de la Ley recurrida afirma que el Departamento de Agricultura, Ganadería y Pesca de la Generalidad de Cataluña "en el marco de sus competencias, ejercerá la inspección de las actividades pesqueras y de las demás actividades de producción natural y artificial, transformadoras y de comercialización en origen y aquellas otras funciones objeto de la presente Ley que no sean encomendadas de manera expresa a otros organismos". </w:t>
      </w:r>
      <w:r>
        <w:lastRenderedPageBreak/>
        <w:t>Cabe pensar que la impugnación del precepto debe restringirse, por razones facilmente deducibles de la lógica de la distribución competencial a su primer inciso, la "inspección de las actividades pesqueras".  Mas sobre esa cuestión, ya tuvo oportunidad de pronunciarse este Tribunal en la STC 113/1983, fundamento jurídico 3º, donde se dijo que, sin perjuicio de la competencia estatal para la vigilancia de costas a los fines propios de la defensa nacional, competencia derivada del art.  149.1.4 CE, y, en consecuencia, para el control del tráfico marítimo incluido el de los buques de pesca, deben corresponder las facultades de inspección y sanción a quien tenga competencias en la materia; y, con carácter general, este mismo criterio sobre las facultades autonómicas de inspección en el seno de sus competencias se ha mantenido en diversas Sentencias sobre distintas materias. La asunción estatutaria por parte de la Generalidad de Cataluña de competencias sobre pesca en aguas interiores, marisqueo y acuicultura (art. 9.17), de un lado, y, de otro, sobre la ordenación del sector pesquero (art.  10.7) impide entender viciada de incompetencia la cláusula legal mencionada, puesto que la referencia excesivamente genérica a "inspección de las actividades pesqueras", viene acompañada expresamente de la referencia a "en el marco de sus competencias", lo cual solo puede ser entendido, a la luz de esta Sentencia y de las precedentes SSTC 56/1989 y 147/1991, como excluyendo la inspección de la pesca marítima en aguas exteriores, que es competencia exclusiva del Estado.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  Estimar en parte el recurso de inconstitucionalidad interpuesto por el Presidente del Gobierno.</w:t>
      </w:r>
    </w:p>
    <w:p w:rsidR="00FE0907" w:rsidRDefault="00FE0907" w:rsidP="00FE0907">
      <w:pPr>
        <w:pStyle w:val="TextoNormal"/>
      </w:pPr>
      <w:r>
        <w:t>2.  Declarar inconstitucionales por venir viciados de incompetencia y, por tanto, nulos los arts.  4.1; 9.2; 10, letras a), b), c) y d); 11, apartados 1º y 2º; y por su conexión con estos: el artículo 2, inciso "actividades que inciden en la extracción y producción de los recursos marinos renovables"; y el art. 3, letras a), b) y c); artículos todos ellos de la Ley 1/1986, de 25 de febrero, del Parlamento de Cataluña, de Regulación de la Pesca Marítima.</w:t>
      </w:r>
    </w:p>
    <w:p w:rsidR="00FE0907" w:rsidRDefault="00FE0907" w:rsidP="00FE0907">
      <w:pPr>
        <w:pStyle w:val="TextoNormal"/>
      </w:pPr>
      <w:r>
        <w:t>3.  Declarar que el art. 11.3 de la citada Ley no es inconstitucional siempre y cuando sea interpretado en la forma señalada en el fundamento jurídico 3, letra B) de esta Sentencia.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8" w:name="SENTENCIA_1992_45"/>
      <w:r>
        <w:lastRenderedPageBreak/>
        <w:t>SENTENCIA 45/1992, de 2 de abril de 1992</w:t>
      </w:r>
    </w:p>
    <w:bookmarkEnd w:id="48"/>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ECLI:ES:TC:1992:45</w:t>
      </w:r>
    </w:p>
    <w:p w:rsidR="00FE0907" w:rsidRDefault="00FE0907" w:rsidP="00FE0907">
      <w:pPr>
        <w:pStyle w:val="SntesisDescriptiva"/>
      </w:pPr>
    </w:p>
    <w:p w:rsidR="00FE0907" w:rsidRDefault="00FE0907" w:rsidP="00FE0907">
      <w:pPr>
        <w:pStyle w:val="SntesisDescriptiva"/>
      </w:pPr>
      <w:r>
        <w:t>Recurso de inconstitucionalidad 365/1987. Promovido por 57 Diputados contra el art. 12.2 de la Ley 8/1986, reguladora del Régimen Electoral por la Comunidad Autónoma de las Islas Baleares</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No se puede pretender en la vía del recurso de inconstitucionalidad la impugnación de una norma que ha dejado de formar parte del ordenamiento jurídico [F.J. 2].</w:t>
      </w:r>
    </w:p>
    <w:p w:rsidR="00FE0907" w:rsidRDefault="00FE0907" w:rsidP="00FE0907">
      <w:pPr>
        <w:pStyle w:val="Extracto"/>
      </w:pPr>
    </w:p>
    <w:p w:rsidR="00FE0907" w:rsidRDefault="00FE0907" w:rsidP="00FE0907">
      <w:pPr>
        <w:pStyle w:val="Extracto"/>
      </w:pPr>
      <w:r>
        <w:t>2.</w:t>
      </w:r>
      <w:r>
        <w:tab/>
        <w:t>Este Tribunal ha tenido ya diversas ocasiones de delimitar las exigencias constitucionales y estatutarias derivadas de la imposición de un sistema de representación proporcional y así hemos establecido que «la adecuada representación proporcional sólo podrá serlo imperfectamente en el margen de una discrecionalidad que la haga flexible» (STC 40/1981), que «la proporcionalidad es, más bien, una orientación o criterio tendencial, porque siempre, mediante su puesta en práctica, quedará modulada o corregida por múltiples factores del sistema electoral» (STC 75/1985) y que «el sistema proporcional puede asumir, en consecuencia, diversas variantes: y no puede excluirse que el legislador autonómico, a la hora de configurar la variante concreta a seguir, en el uso de su libertad de configuración normativa, introduzca correcciones o modulaciones al principio de proporcionalidad. En tanto el legislador autonómico se funde en fines u objetivos legítimos y no cause discriminaciones entre las opciones en presencia, no cabrá aceptar el reproche de inconstitucionalidad de sus normas o de sus aplicaciones en determinados casos, por no seguir unos criterios estrictamente proporcionales» (STC 193/1989) [F.J. 4].</w:t>
      </w:r>
    </w:p>
    <w:p w:rsidR="00FE0907" w:rsidRDefault="00FE0907" w:rsidP="00FE0907">
      <w:pPr>
        <w:pStyle w:val="Extracto"/>
      </w:pPr>
    </w:p>
    <w:p w:rsidR="00FE0907" w:rsidRDefault="00FE0907" w:rsidP="00FE0907">
      <w:pPr>
        <w:pStyle w:val="Extracto"/>
      </w:pPr>
      <w:r>
        <w:t>3.</w:t>
      </w:r>
      <w:r>
        <w:tab/>
        <w:t>Como el propio Texto constitucional demuestra en su art. 68, es compatible el carácter globalmente proporcional de un sistema electoral con el hecho de que, atendiendo a circunstancias especiales, como puede ser la condición insular, haya que otorgar una representación específica y propia a una determinada población, y que por su escasa importancia demográfica e incluso por las necesidades derivadas del propio carácter «proporcional» del sistema se le asigne un único escaño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 xml:space="preserve">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w:t>
      </w:r>
      <w:r>
        <w:lastRenderedPageBreak/>
        <w:t>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inconstitucionalidad 365/87, interpuesto por don Federico Trillo-Figueroa Martínez-Conde, comisionado por 56 Diputados, contra el art. 12.2 de la Ley 8/1986, reguladora del Régimen Electoral para la Comunidad Autónoma de las Islas Baleares. Han comparecido el Abogado del Estado, en la representación que legalmente ostenta y el Parlamento de las Islas Baleares, y ha sido Ponente el Magistrado don Eugenio Díaz Eimil,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este Tribunal el 20 de marzo de 1987, don Federico Trillo-Figueroa Martínez-Conde y 55 Diputados más interpusieron recurso de inconstitucionalidad contra el art. 12.2 de la Ley 8/1986, de 26 de noviembre, reguladora del Régimen Electoral para la Comunidad Autónoma de las Islas Baleares.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recurso se fundamenta en las siguientes alegaciones: </w:t>
      </w:r>
    </w:p>
    <w:p w:rsidR="00FE0907" w:rsidRDefault="00FE0907" w:rsidP="00FE0907">
      <w:pPr>
        <w:pStyle w:val="TextoNormal"/>
      </w:pPr>
      <w:r>
        <w:t xml:space="preserve">a) El art. 12.2, al establecer un solo escaño para el Distrito electoral de Formentera, convierte el sistema proporcional en sistema mayoritario, en contra de lo que establece el art. 152.1 de la C.E., que obliga a "un sistema de representación proporcional que asegure, además, la representación de las diversas zonas del territorio", exigencia que aunque sólo es aplicable a los Estatutos de Autonomía del art. 151. C.E., es sin embargo reproducida por el art. 20.1 del Estatuto de Autonomía para las Islas Baleares que se refiere a "un sistema de representación proporcional que asegurará una adecuada representación de todas las zonas del territorio". El artículo impugnado establece un sistema que no sólo no es proporcional, sino que además no asegura la "adecuada representación" en cuanto que al contar con un sólo escaño solo puede estar representada esa zona por una fuerza política. Para el recurrente estas conclusiones no pueden ser desvirtuadas por el hecho de que la Disposición transitoria segunda, apartado b),del Estatuto de Autonomía para las Islas Baleares otorgue un solo escaño al distrito electoral de Formentera, "por su carácter provisional y transitorio que implica una falta de vinculación a soluciones posteriores". </w:t>
      </w:r>
    </w:p>
    <w:p w:rsidR="00FE0907" w:rsidRDefault="00FE0907" w:rsidP="00FE0907">
      <w:pPr>
        <w:pStyle w:val="TextoNormal"/>
      </w:pPr>
      <w:r>
        <w:t>b) El art. 12.2, en cuanto asigna a la circunscripción electoral de Ibiza 12 escaños, y a la de Menorca, que cuenta con un censo "significativamente menor", 13, produce una evidente discriminación que no encuentra justificación alguna, y supone una vulneración del art. 14 de la Constitución en relación al 23, que no sólo exige una regla de aplicación general e igual a todas las candidaturas, sino que requiere que la propia regla no contenga diferencias discriminatorias y tal carácter tiene el asignar 12 escaños a la Isla de Ibiza, que cuenta con una población de derecho, de 65.014, habitantes, de los que 42.032 son mayo</w:t>
      </w:r>
      <w:r>
        <w:lastRenderedPageBreak/>
        <w:t>res de edad, y 13 a la de Menorca, con 60.056 habitantes de los que 42.105 son mayores de edad.</w:t>
      </w:r>
    </w:p>
    <w:p w:rsidR="00FE0907" w:rsidRDefault="00FE0907" w:rsidP="00FE0907">
      <w:pPr>
        <w:pStyle w:val="TextoNormal"/>
      </w:pPr>
    </w:p>
    <w:p w:rsidR="00FE0907" w:rsidRDefault="00FE0907" w:rsidP="00FE0907">
      <w:pPr>
        <w:pStyle w:val="TextoNormal"/>
      </w:pPr>
      <w:r w:rsidRPr="00FE0907">
        <w:rPr>
          <w:rStyle w:val="NumeroAFNegritaCaracter"/>
        </w:rPr>
        <w:t>3</w:t>
      </w:r>
      <w:r>
        <w:t>. En virtud de lo expuesto, el recurrente solicita que se declare la inconstitucionalidad y consiguiente nulidad del art. 12.2 de la Ley impugnada.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25 de marzo de 1987, la Sección Primera del Tribunal Constitucional acordó antes de decidir sobre la admisión a trámite el recurso, y en aplicación de la doctrina sentada en la STC 42/1985, requerir a los Señores Diputados promoventes para que en el plazo de diez días acrediten fehacientemente su voluntad de recurrir contra la Ley 8/1986 del Parlamento Balear.</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Por nueva providencia de 8 de abril de 1987, la Sección Primera acordó, incorporar el escrito presentado por los demandantes mostrando su voluntad de recurrir, admitir a trámite el recurso de inconstitucionalidad, dar traslado de la demanda y de los documentos presentados al Congreso de los Diputados, al Senado al Consejo de Gobierno y Parlamento de la Comunidad Autónoma, por conducto de sus Presidentes, así como al Gobierno, a través del Ministerio de Justicia, para que se personaran en el procedimiento en el plazo de quince días y formulasen las alegaciones que estimasen pertinentes y publicar la incoación del recurso en el Boletín Oficial del Estado. </w:t>
      </w:r>
    </w:p>
    <w:p w:rsidR="00FE0907" w:rsidRDefault="00FE0907" w:rsidP="00FE0907">
      <w:pPr>
        <w:pStyle w:val="TextoNormal"/>
      </w:pPr>
      <w:r>
        <w:t xml:space="preserve">Mediante escrito de 21 de abril de 1987 el Congreso de los Diputados comunicó su no personación en el recurso y puso a disposición del Tribunal las actuaciones de la Cámara que pudiera precisar. </w:t>
      </w:r>
    </w:p>
    <w:p w:rsidR="00FE0907" w:rsidRDefault="00FE0907" w:rsidP="00FE0907">
      <w:pPr>
        <w:pStyle w:val="TextoNormal"/>
      </w:pPr>
      <w:r>
        <w:t>En escrito de 24 de abril de 1987, el Senado solicitó que se le tuviera por personado y ofreció su colaboración a los efectos del art. 88.1 de la LOTC.</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Presidente del Parlamento de las Islas Baleares, en escrito que tiene su entrada en este Tribunal el 11 de mayo de 1987 solicita la desestimación del recurso y la declaración de conformidad con la Constitución y el Estatuto de Autonomía para las Islas Baleares del art. 12.2. de la Ley 8/1986. </w:t>
      </w:r>
    </w:p>
    <w:p w:rsidR="00FE0907" w:rsidRDefault="00FE0907" w:rsidP="00FE0907">
      <w:pPr>
        <w:pStyle w:val="TextoNormal"/>
      </w:pPr>
      <w:r>
        <w:t>Afirma que el art. 20 y la Disposición transitoria segunda b), del Estatuto de Autonomía y el art. 152 de la C.E. imponen una adecuada representación de todas las zonas del territorio, que se materializa en la atribución de escaños de la Disposición transitoria, teniendo en cuanta que por razones históricas, geográficas y demográficas se hace aconsejable considerar como un único ámbito las islas de Ibiza y Formentera, criterios todos ellos que han sido mantenidos en la Ley electoral, de forma que la atribución de escaños a las Islas se hace fundamentalmente como integrantes de las instituciones comunitarias que son los tres Consejos Insulares de Mallorca, Menorca e Ibiza-Formentera, sin que quepa dudar de la proporcionalidad del sistema que ha de medirse globalmente, y al atribuir un único escaño a Formentera, se ha pretendido salvar su adecuada representación dentro del Consejo Insular Ibiza-Formentera.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Abogado del Estado, en la representación que legalmente ostenta, tras solicitar una prórroga, que le fue concedida por providencia de 6 de mayo de 1987, presentó escrito de alegaciones el 16 de mayo de 1987 en el que formaliza su oposición al recurso y solicita su desestimación, así como que se declare que el art. 12.2 de la Ley recurrida no es contrario a la Constitución. </w:t>
      </w:r>
    </w:p>
    <w:p w:rsidR="00FE0907" w:rsidRDefault="00FE0907" w:rsidP="00FE0907">
      <w:pPr>
        <w:pStyle w:val="TextoNormal"/>
      </w:pPr>
      <w:r>
        <w:lastRenderedPageBreak/>
        <w:t>Señala el representante estatal que no existe la inconstitucionalidad que los recurrentes denuncian, en primer lugar porque el artículo impugnado reproduce la Disposición transitoria,segunda b),del Estatuto de Autonomía, por lo que no puede haber violación alguna del bloque de constitucionalidad, en el sentido expuesto por los recurrentes, que en este extremo se refieren exclusivamente a la presunta infracción del Estatuto de Autonomía, y que si hubiesen efectuado un planteamiento desde la propia Constitución, tampoco hubiera sido aceptable, ya que la proporcionalidad debe predicarse de todo el sistema electoral y no de cada circunscripción. Considera el Abogado del Estado que no siendo objeto del recurso la Disposición Transitoria Segunda del Estatuto, el Tribunal no puede analizar su constitucionalidad, salvo por la vía del art. 35 y ss. de la LOTC. Este mismo dato es aplicable al segundo motivo del recurso, aunque en este punto se denuncia una violación de la propia Constitución, pero el artículo se limita también a reproducir el contenido del Estatuto. En cuanto al fondo del segundo motivo de impugnación destaca que las certificaciones de población con derecho al voto aportadas por los recurrentes acreditan justamente lo contrario de lo que se pretende en el recurso, y que en cualquier caso el Tribunal no debe establecer criterios de cuantificación necesarios para justificar la mayor o menor atribución de escaños, ya que sólo el legislador es competente para determinar el alcance diferencial de las circunstancias de cada circunscripción, siempre que no incurra en la arbitrariedad, arbitrariedad que se pretende de una mecánica e incorrecta aplicación de las cifras del censo.</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31 de marzo se señaló para deliberación y votación del presente recurso el día 2 de abril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Se impugna en el presente Recurso de Inconstitucionalidad el art. 12.2 de la Ley que regula el Régimen Electoral para la Comunidad Autónoma de las Islas Baleares, por el doble motivo de atribuir un único escaño a la circunscripción insular de Formentera, lo que supondría un sistema mayoritario, contrario al art. 20.1 del Estatuto de Autonomía, que reproduce, en el ámbito de la Comunidad Autónoma, la exigencia del art. 152.1 de la C.E.  de un sistema electoral proporcional, y por otorgar 12 escaños a la Isla de Ibiza y 13 a la de Menorca, a pesar de que ésta última, se afirma, cuente con un censo electoral "significativamente menor", lo que supone una evidente discriminación que vulnera el art. 14 en relación con el 23.2 de la Norma fundamental.</w:t>
      </w:r>
    </w:p>
    <w:p w:rsidR="00FE0907" w:rsidRDefault="00FE0907" w:rsidP="00FE0907">
      <w:pPr>
        <w:pStyle w:val="TextoNormal"/>
      </w:pPr>
    </w:p>
    <w:p w:rsidR="00FE0907" w:rsidRDefault="00FE0907" w:rsidP="00FE0907">
      <w:pPr>
        <w:pStyle w:val="TextoNormal"/>
      </w:pPr>
      <w:r w:rsidRPr="00FE0907">
        <w:rPr>
          <w:rStyle w:val="NumeroAFNegritaCaracter"/>
        </w:rPr>
        <w:t>2</w:t>
      </w:r>
      <w:r>
        <w:t>. El análisis del recurso debe comenzar por destacar el hecho, puesto de manifiesto por todos los participantes en el pleito constitucional, de que la Disposición transitoria segunda del propio Estatuto de Autonomía otorga a la Isla de Formentera un único diputado, y establece igualmente una diferencia de un escaño a favor de la Isla de Menorca, en relación a la de Ibiza.</w:t>
      </w:r>
    </w:p>
    <w:p w:rsidR="00FE0907" w:rsidRDefault="00FE0907" w:rsidP="00FE0907">
      <w:pPr>
        <w:pStyle w:val="TextoNormal"/>
      </w:pPr>
      <w:r>
        <w:t>A partir de este dato incontrovertible no se puede, sin embargo, deducir, como afirma el Abogado del Estado, que lo que se pretende es la impugnación del propio Estatuto de Autonomía, y que al no ser objeto del recurso, la única posible vía para analizar la supuesta inconstitucionalidad sería el planteamiento por el Tribunal de una autocuestión de constitucionalidad. El innegable carácter transitorio del precepto estatutario, de aplicación exclusiva a las primeras elecciones autonómicas que se celebraron en 1983, y que es susti</w:t>
      </w:r>
      <w:r>
        <w:lastRenderedPageBreak/>
        <w:t>tuido en su vigencia por la norma formalmente impugnada hace que el planteamiento sea insostenible, ya que no se puede pretender en esta via, la impugnación de una norma que ha dejado de formar parte del ordenamiento jurídico.</w:t>
      </w:r>
    </w:p>
    <w:p w:rsidR="00FE0907" w:rsidRDefault="00FE0907" w:rsidP="00FE0907">
      <w:pPr>
        <w:pStyle w:val="TextoNormal"/>
      </w:pPr>
      <w:r>
        <w:t>Sin embargo de la identidad sustancial existente en la regulación Estatutaria y la prevista en la Ley ahora recurrida es necesario resaltar, al menos, dos conclusiones:</w:t>
      </w:r>
    </w:p>
    <w:p w:rsidR="00FE0907" w:rsidRDefault="00FE0907" w:rsidP="00FE0907">
      <w:pPr>
        <w:pStyle w:val="TextoNormal"/>
      </w:pPr>
      <w:r>
        <w:t>La primera es que el hecho de que no exista innovación normativa de relevancia entre la regulación provisional estatutaria y la ahora impugnada, como ya ha declarado este Tribunal en un tema similar en la STC 193/89, "contribuye a alejar la sospecha de una finalidad que carezca de una justificación objetiva.</w:t>
      </w:r>
    </w:p>
    <w:p w:rsidR="00FE0907" w:rsidRDefault="00FE0907" w:rsidP="00FE0907">
      <w:pPr>
        <w:pStyle w:val="TextoNormal"/>
      </w:pPr>
      <w:r>
        <w:t>La segunda es que la citada Disposición transitoria constituye una interpretación autorizada del alcance que el legislador estatutario daba, aunque con carácter provisional, al art. 20.1 del propio Estatuto, que establece la necesidad de"un sistema de representación proporcional que asegurará una adecuada representación en todas las zonas del territorio". No es posible dudar que el legislador estatutario no solo consideró plenamente compatible la Disposición transitoria segunda con el referido articulo sino que juzgo que precisamente esa distribución de escaños era la realización mas adecuada de esos principios. Por ello, si bien es cierto que la Disposición transitoria no puede tener alcance vinculante para el legislador ordinario, resulta, por el contrario, difícil concebir que el legislador que opta por reproducirla pueda estar actuando en contra del Estatuto.</w:t>
      </w:r>
    </w:p>
    <w:p w:rsidR="00FE0907" w:rsidRDefault="00FE0907" w:rsidP="00FE0907">
      <w:pPr>
        <w:pStyle w:val="TextoNormal"/>
      </w:pPr>
    </w:p>
    <w:p w:rsidR="00FE0907" w:rsidRDefault="00FE0907" w:rsidP="00FE0907">
      <w:pPr>
        <w:pStyle w:val="TextoNormal"/>
      </w:pPr>
      <w:r w:rsidRPr="00FE0907">
        <w:rPr>
          <w:rStyle w:val="NumeroAFNegritaCaracter"/>
        </w:rPr>
        <w:t>3</w:t>
      </w:r>
      <w:r>
        <w:t>. El Estatuto de Autonomía aporta, además, otro dato que conviene ser tomado en consideración; al estructurar territorialmente la Comunidad el art. 18.2 establece al existencia de tres Consejos Insulares, formados por las Islas de Mallorca, Menorca e Ibiza-Formentera, Consejos a los que corresponde el gobierno y administración de las Islas (art. 37) y que están compuestos, según el art. 38.1. "por los Diputados elegidos para el Parlamento , en las Islas de Mallorca, Menorca, Ibiza y Formentera", de forma que si bien se establecen cuatro distritos electorales, como señala el escrito presentado por la presidencia del Parlamento Balear, "razones históricas, geográficas y demográficas hacen aconsejable considerar como un único ámbito las Islas de Ibiza y Formentera, ya que la atribución de escaños a las Islas se hace fundamentalmente como integrantes de las instituciones comunitarias que son los Consejos Insulares, atribuyendose un único escaño a Formentera con la finalidad de salvar su adecuada representación dentro del Consejo Insular Ibiza-Formentera".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En cuanto al problema de fondo planteado, es necesario recordar que este Tribunal ha tenido ya diversas ocasiones de delimitar las exigencias constitucionales y estatutarias derivadas de la imposición de un sistema de representación proporcional y así hemos establecido que "la adecuada representación proporcional sólo podrá serlo imperfectamente en el margen de una discrecionalidad que la haga flexible" (STC 40/1981), que "la proporcionalidad es, más bien una orientación o criterio tendencial, porque siempre, mediante su puesta en práctica quedará modulada o corregida por múltiples factores del sistema electoral" (STC 75/1985) y que "el sistema proporcional puede asumir, en consecuencia, diversas variantes: y no puede excluirse que el legislador autonómico, a la hora de configurar la variante concreta a seguir, en el uso de su libertad de configuración normativa, introduzca correcciones o modulaciones al principio de proporcionalidad. En tanto el legislador autonómico se funde en fines o objetivos legítimos y no cause discriminaciones entre las opciones en presencia, no cabrá aceptar el reproche de inconstitucionalidad de sus normas o </w:t>
      </w:r>
      <w:r>
        <w:lastRenderedPageBreak/>
        <w:t>de sus aplicaciones en determinados casos, por no seguir unos criterios estrictamente proporcionales"(STC 193/1989).</w:t>
      </w:r>
    </w:p>
    <w:p w:rsidR="00FE0907" w:rsidRDefault="00FE0907" w:rsidP="00FE0907">
      <w:pPr>
        <w:pStyle w:val="TextoNormal"/>
      </w:pPr>
    </w:p>
    <w:p w:rsidR="00FE0907" w:rsidRDefault="00FE0907" w:rsidP="00FE0907">
      <w:pPr>
        <w:pStyle w:val="TextoNormal"/>
      </w:pPr>
      <w:r w:rsidRPr="00FE0907">
        <w:rPr>
          <w:rStyle w:val="NumeroAFNegritaCaracter"/>
        </w:rPr>
        <w:t>5</w:t>
      </w:r>
      <w:r>
        <w:t>. A la luz de lo expuesto en los fundamentos jurídicos anteriores resulta evidente la inconsistencia del recurso de inconstitucionalidad planteado. En efecto, el legislador autonómico Balear se vió enfrentado, a la hora de regular los criterios de distribución de escaños entre las distintas Islas, no sólo con la necesidad de conciliar los criterios de proporcionalidad y adecuada representación de cada una de ellas, sino también con el hecho de que los parlamentarios a elegir constituirían no sólo el Parlamento Balear, sino también los diferentes Consejos Insulares, órganos de gobierno y administración de las respectivas Islas.</w:t>
      </w:r>
    </w:p>
    <w:p w:rsidR="00FE0907" w:rsidRDefault="00FE0907" w:rsidP="00FE0907">
      <w:pPr>
        <w:pStyle w:val="TextoNormal"/>
      </w:pPr>
      <w:r>
        <w:t>Desde esta óptica es, en primer lugar, plenamente acorde a los preceptos estatutarios y constitucionales que se otorgue a la Isla de Formentera un único representante, que asegure su representación como tal tanto en el Parlamento como en el Consejo Insular del que forma parte junto a la Isla de Ibiza, sin que ello suponga vulnerar el precepto que impone un sistema proporcional. Como el propio Texto constitucional demuestra en su art. 68, es compatible el carácter globalmente proporcional de un sistema electoral con el hecho de que, atendiendo a circunstancias especiales, como puede ser la condición insular, haya que otorgar una representación especifica y propia a una determinada población, y que por su escasa importancia demográfica e incluso por las necesidades derivadas del propio carácter "proporcional" del sistema se le asigne un único escaño. No resulta por otra parte aceptable, por carecer de la más mínima apoyatura en el Texto constitucional, la interpretación de los recurrentes que parecen identificar la "adecuada representación" con la necesidad de que en cada circunscripción obtengan efectivamente representación dos o más fuerzas políticas.</w:t>
      </w:r>
    </w:p>
    <w:p w:rsidR="00FE0907" w:rsidRDefault="00FE0907" w:rsidP="00FE0907">
      <w:pPr>
        <w:pStyle w:val="TextoNormal"/>
      </w:pPr>
      <w:r>
        <w:t>De igual manera carece de cualquier virtualidad la alegada desproporción entre los escaños asignados a la Isla de Ibiza con los de Menorca, en primer lugar porque en forma alguna se ha demostrado que el censo de esta última sea "significativamente menor", ya que incluso, a partir de los propios datos aportados, si adoptamos como criterio el de residentes mayores de edad sería mayor, por lo que no parecen existir la situación de manifiesta y arbitraria desproporción en el ejercicio del derecho de sufragio entre los ciudadanos de ambas Islas que legitimaría la intervención del Tribunal en uno de los aspectos centrales del sistema electoral que compete definir al legislador, como es el de determinar el número de escaños de cada circunscripción. Pero además, en el presente supuesto, aunque admitiésemos una diferencia de trato entre ambas islas, tendría una explicación razonable y no discriminadora en el hecho de que también a efectos de este cómputo se debe considerar la unidad entre Ibiza y Formentera que forman un único Consejo Insular, unidad por otra parte consagrada por el propio art. 69 de la Constitución, de forma que primero el legislador estatutario y más adelante el ordinario han preferido establecer una igualdad de representación entre los Consejos Insulares de Menorca y de Ibiza-Formentera, aún al coste de consagrar una mínima diferencia de representación entre las Islas de Menorca e Ibiza, en modo alguno ni desproporcionada, por su alcance, ni arbitraria, porque con ello se asegura la "adecuada representación" de la Isla de Formentera.</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 Desestimar el presente recurso de inconstitucionalidad.</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49" w:name="SENTENCIA_1992_46"/>
      <w:r>
        <w:lastRenderedPageBreak/>
        <w:t>SENTENCIA 46/1992, de 2 de abril de 1992</w:t>
      </w:r>
    </w:p>
    <w:bookmarkEnd w:id="49"/>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ECLI:ES:TC:1992:46</w:t>
      </w:r>
    </w:p>
    <w:p w:rsidR="00FE0907" w:rsidRDefault="00FE0907" w:rsidP="00FE0907">
      <w:pPr>
        <w:pStyle w:val="SntesisDescriptiva"/>
      </w:pPr>
    </w:p>
    <w:p w:rsidR="00FE0907" w:rsidRDefault="00FE0907" w:rsidP="00FE0907">
      <w:pPr>
        <w:pStyle w:val="SntesisDescriptiva"/>
      </w:pPr>
      <w:r>
        <w:t>Cuestión de inconstitucionalidad 1.173/1987 1.288/1987 624/1988 1.515/1988 (acumuladas). Promovidas por la Audiencia Territorial de Madrid en relación con el art. 26.3 de la Ley de Madrid 4/1984, de 10 de febrero, sobre Medidas de DisciplinaUrbanística</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Como este Tribunal ha manifestado (así, STC 170/1989), la autonomía local, tal y como se reconoce en los arts. 137 y 140 C.E., goza de una garantía institucional con un contenido mínimo que el legislador debe respetar; más allá de este contenido mínimo, la autonomía local es un concepto jurídico de contenido legal, que permite, por tanto, configuraciones diversas, válidas en cuanto respeten esa garantía institucional [F.J. 2].</w:t>
      </w:r>
    </w:p>
    <w:p w:rsidR="00FE0907" w:rsidRDefault="00FE0907" w:rsidP="00FE0907">
      <w:pPr>
        <w:pStyle w:val="Extracto"/>
      </w:pPr>
    </w:p>
    <w:p w:rsidR="00FE0907" w:rsidRDefault="00FE0907" w:rsidP="00FE0907">
      <w:pPr>
        <w:pStyle w:val="Extracto"/>
      </w:pPr>
      <w:r>
        <w:t>2.</w:t>
      </w:r>
      <w:r>
        <w:tab/>
        <w:t>Si bien este Tribunal ha considerado (STC 4/1981 y otras posteriores) que, en principio, los controles administrativos de legalidad no afectan al núcleo central de la autonomía de las Corporaciones locales, ello no obsta a que el legislador, en ejercicio de una legítima opción política, pueda ampliar el ámbito de la autonomía local, y establecer con carácter general la desaparición de esos controles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y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Centrado"/>
        <w:keepNext/>
      </w:pPr>
      <w:r>
        <w:t xml:space="preserve">En las cuestiones de inconstitucionalidad acumuladas núms. 1.173/87, 1.288/87, 624/88 y 1.515/88, elevadas por la Audiencia Territorial (Sala Tercera de lo Contencioso Administrativo) de Madrid, en relación con el art. 26.3 de la Ley de Madrid 4/1984, de 10 febrero, sobre Medidas de Disciplina Urbanística, por infracción del art. 140 de la Constitución. </w:t>
      </w:r>
    </w:p>
    <w:p w:rsidR="00FE0907" w:rsidRDefault="00FE0907" w:rsidP="00FE0907">
      <w:pPr>
        <w:pStyle w:val="TextoNormal"/>
      </w:pPr>
      <w:r>
        <w:t>Han comparecido en el proceso la Comunidad de Madrid, representada por el Letrado de sus Servicios Jurídicos don Luis Prendes Sanfelíu, y el Gobierno representado por el Letrado del Estado, así como el Fiscal General del Estado. Ha sido Ponente el Magistrado don Luis López Guerra,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La Sala Tercera de lo Contencioso Administrativo de la Audiencia Territorial de Madrid ha planteado varias cuestiones de inconstitucionalidad respecto del art. 26.3 de la Ley de Madrid 4/1984, de 10 febrero, sobre Medidas de Disciplina Urbanística, por infracción del art. 140 Constitución: </w:t>
      </w:r>
    </w:p>
    <w:p w:rsidR="00FE0907" w:rsidRDefault="00FE0907" w:rsidP="00FE0907">
      <w:pPr>
        <w:pStyle w:val="TextoNormal"/>
      </w:pPr>
      <w:r>
        <w:t xml:space="preserve">a) La núm. 1.173/87 fué planteada mediante Auto de 27 julio 1987, recibido el siguiente 3 septiembre, y fue admitida a trámite por providencia de 9 septiembre 1987 de la Sección Cuarta.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Colmenar de Oreja y don Felipe Martín Muñoz (a. 624-85), relativo a treinta y una licencias otorgadas en parcelas de una urbanización, alegadamente sin haberse aprobado el preceptivo Plan Parcial de Ordenación, a pesar de estar clasificadas como suelo de reserva urbana por las Normas subsidiarias en vigor. </w:t>
      </w:r>
    </w:p>
    <w:p w:rsidR="00FE0907" w:rsidRDefault="00FE0907" w:rsidP="00FE0907">
      <w:pPr>
        <w:pStyle w:val="TextoNormal"/>
      </w:pPr>
      <w:r>
        <w:t xml:space="preserve">b) La cuestión de inconstitucionalidad núm. 1.288/87 fué planteada mediante Auto de 31 julio 1987, recibido el siguiente 8 octubre, y admitida a trámite por providencia de 26 octubre 1987 de la Sección Tercera.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Torrelodones y la Sociedad Planificaciones y Promociones Inmobiliarias, S.A., (a. 607-85), relativo a una licencia para construir 78 viviendas y locales comerciales en el conjunto residencial "Los Herrenes" que ha dado lugar a unas obras alegadamente excesivas respecto al aprovechamiento, densidad y ocupación previstos por el Plan Especial de Reforma Interior que rige la zona. </w:t>
      </w:r>
    </w:p>
    <w:p w:rsidR="00FE0907" w:rsidRDefault="00FE0907" w:rsidP="00FE0907">
      <w:pPr>
        <w:pStyle w:val="TextoNormal"/>
      </w:pPr>
      <w:r>
        <w:t>c) La núm. 624/88 fué planteada mediante Auto de 29 febrero 1988, recibido el siguiente 7 abril, y admitida a trámite por providencia de 18 abril 1988 de la Sección Cuarta.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San Fernando de Henares y la Sociedad Parque de Atracciones San Fernando de Henares, S.A., (a. 392-87), relativo a la licencia para instalación de un Parque de Atracciones Acuático sobre terrenos de pro</w:t>
      </w:r>
      <w:r>
        <w:lastRenderedPageBreak/>
        <w:t xml:space="preserve">piedad municipal, conocidos como "prado del Vivero", a pesar de que alegadamente se había agotado el volumen de edificabilidad previsto por el planeamiento en vigor. </w:t>
      </w:r>
    </w:p>
    <w:p w:rsidR="00FE0907" w:rsidRDefault="00FE0907" w:rsidP="00FE0907">
      <w:pPr>
        <w:pStyle w:val="TextoNormal"/>
      </w:pPr>
      <w:r>
        <w:t>d) La núm. 1.515/88 fué planteada mediante Auto de 29 junio 1988, recibido el siguiente 13 septiembre, y admitida a trámite por providencia de 26 septiembre 1988 de la Sección Tercera.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es parte también la Sociedad Valdetajo, S.A. (a. 918-85), en relación con la licencia otorgada a esta entidad por el Ayuntamiento de Colmenar de Oreja para llevar a cabo obras de infraestructura en la denominada "urbanización Balcón del Tajo", a pesar de que alegadamente los terrenos se encontraban clasificados como suelo rústico, no urbanizable, por las Normas Subsidiarias de Planeamiento vigentes.</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En los Autos que acuerdan elevar la cuestión, la Audiencia expone que su objeto consiste en determinar si la facultad de suspender directamente los efectos de las licencias municipales de obras, ejercitada por la Comunidad de Madrid respecto de diversas licencias concedidas por distintos Ayuntamientos, en virtud del art. 26.3 de la Ley 4/1984 de dicha Comunidad, se adapta o no a los arts. 137 y 140 Constitución. La medida en que la decisión de los recursos contenciosos administrativos depende de la validez de tal norma comunitaria estriba en que si ésta fuera inconstitucional, la suspensión directa "adolece de quebrantamiento esencial de procedimiento y debe, por tanto, anularse"; mientras que, por el contrario, si se reputara constitucional quedaría expedita la vía para determinar si existe o no una infracción urbanística grave y manifiesta en el otorgamiento de las licencias impugnadas, una vez sentadas la certeza de las atribuciones comunitarias y la validez del procedimiento seguido para suspender aquéllas. </w:t>
      </w:r>
    </w:p>
    <w:p w:rsidR="00FE0907" w:rsidRDefault="00FE0907" w:rsidP="00FE0907">
      <w:pPr>
        <w:pStyle w:val="TextoNormal"/>
      </w:pPr>
      <w:r>
        <w:t xml:space="preserve">Los Autos de planteamiento reseñan las vicisitudes que han experimentado las facultades gubernativas de suspensión directa establecidas por el art. 186.2 de la Ley del Suelo de 1976, por efecto de la Constitución y de la jurisprudencia constitucional sobre la autonomía local (SSTC 4/1981 y 14/1981), así como la evolución legislativa derivada del Real Decreto-ley 3/1981, de 16 enero, la Ley 40/1981, de 28 octubre, y finalmente la Ley reguladora de las Bases de Régimen Local 7/1985, de 2 abril. Igualmente recuerda la jurisprudencia del Tribunal Supremo, que en una mayoría de Sentencias ha admitido la constitucionalidad de un control gubernativo de legalidad en materia de urbanismo, aunque no sin contradicciones (STS de 21 febrero y de 28 febrero 1986). </w:t>
      </w:r>
    </w:p>
    <w:p w:rsidR="00FE0907" w:rsidRDefault="00FE0907" w:rsidP="00FE0907">
      <w:pPr>
        <w:pStyle w:val="TextoNormal"/>
      </w:pPr>
      <w:r>
        <w:t>La Audiencia reconoce que la licencia no es solamente un acto de autorización individualizada, sino también un elemento de ejecución del planeamiento al que ha de ajustarse, por lo que parece natural que la Comunidad Autónoma a quien incumbe la aprobación definitiva del Plan controle que su ejecución puntual es la que corresponde legalmente. Pero cabe argüir que la licencia de obras es un acto típicamente municipal, y que la observación anterior no define el modo de articular el control de legalidad de dicho acto. El sistema establecido por la Ley de Bases del Régimen Local de 1985, que encauza la revisión de su legalidad a través de la jurisdicción de los Tribunales, a la que se agrega la posibilidad de suspensión perentoria, es también un modo de control. A la vista del criterio proclamado en la STC 27/1987, sobre un problema similar, parece procedente elevar la cuestión de inconstitucionalidad, al no ser posible la acomodación por vía interpretativa prevista en el art. 5 LOPJ.</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xml:space="preserve">. El Fiscal General del Estado compareció en el asunto núm. 1.173/87, mediante escrito registrado el 25 septiembre 1987. En él solicitó que se dictara Sentencia declarando la inconstitucionalidad del precepto autonómico cuestionado. En su informe recuerda los antecedentes legislativos del art. 26.3 de la Ley autonómica 4/1984, así como la jurisprudencia constitucional recaída sobre el art. 140 C.E. Tras un estudio detenido de la STC 27/1987, y subrayar que allí se aplicó el principio de autonomía local a un supuesto notablemente análogo al presente, afirma que su fundamento jurídico 9 bien puede entenderse que viene a dar solución al problema objeto de la presente cuestión. Concluyendo que el "bloque de constitucionalidad" (STC 10/1982, y art. 28.1 LOTC) determinan que, desde la entrada en vigor de la Ley de Bases del Régimen Local de 1985 deban ser exclusivamente los Tribunales quienes resuelvan acerca de la suspensión de aquellos actos de las entidades locales que puedan vulnerar la legalidad, incluso si son manifiestamente constitutivos de infracciones urbanísticas graves. </w:t>
      </w:r>
    </w:p>
    <w:p w:rsidR="00FE0907" w:rsidRDefault="00FE0907" w:rsidP="00FE0907">
      <w:pPr>
        <w:pStyle w:val="TextoNormal"/>
      </w:pPr>
      <w:r>
        <w:t xml:space="preserve">El Abogado del Estado compareció mediante escrito registrado el 29 septiembre 1987, y solicitó también que se declarara la inconstitucionalidad de la Ley objeto de la cuestión de inconstitucionalidad. Formula una reflexión inicial, mostrándose totalmente de acuerdo con el razonamiento de la Sala proponente acerca de la medida en que la decisión del recurso contencioso depende de la validez de la norma cuestionada, pues de ello depende la validez del procedimiento seguido y, por ende, la posibilidad misma de entrar a considerar el fondo del asunto. De acuerdo con el planteamiento del Auto que elevó la cuestión, examina en primer lugar la compatibilidad entre la Ley cuestionada y el principio constitucional de autonomía municipal; dejando para un segundo lugar la compatibilidad entre aquélla y la Ley estatal de Régimen Local. Tras un estudio de las SSTC 4/1981 y 14/1981, concluye que es difícil llegar a una solución favorable a la inconstitucionalidad, desde los arts. 137 y 140 C.E., de las suspensiones de actos de licencias urbanísticas ordenadas por una Comunidad Autónoma, en cuanto que la Ley 4/1984 no estatuye un mero control genérico, y por otro se vislumbra sin esfuerzo la concurrencia de intereses extra-municipales. Sin embargo ahí no queda agotado el problema, porque el alcance de la autonomía local ha de ser concretado por la Ley, y en primer lugar por la legislación básica estatal (STC 4/1981, fundamento jurídico 3º, y 32/1981, fundamento jurídico 2º). Tras un análisis de la Ley de Bases del Régimen Local de 1985, el Letrado del Estado concluye que las Comunidades Autónomas no pueden acordar la suspensión en vía administrativa de los actos locales, debiéndose estar a los mecanismos contemplados en los arts. 65 y ss. L.B.R.L., y especialmente a su art. 66. Por lo que el art. 26.3 de la Ley cuestionada debe considerarse derogado por la Ley de Régimen Local de 1985, procediendo en consecuencia a declarar su inconstitucionalidad. </w:t>
      </w:r>
    </w:p>
    <w:p w:rsidR="00FE0907" w:rsidRDefault="00FE0907" w:rsidP="00FE0907">
      <w:pPr>
        <w:pStyle w:val="TextoNormal"/>
      </w:pPr>
      <w:r>
        <w:t xml:space="preserve">La Comunidad de Madrid, por su parte, se personó mediante escrito presentado en el Registro el 2 octubre 1987. Su Letrado solicitó que se dictara Sentencia declarando que el art. 26.3 de la Ley de Madrid 4/1984, sobre Medidas de Disciplina Urbanística, es conforme con la Constitución española. </w:t>
      </w:r>
    </w:p>
    <w:p w:rsidR="00FE0907" w:rsidRDefault="00FE0907" w:rsidP="00FE0907">
      <w:pPr>
        <w:pStyle w:val="TextoNormal"/>
      </w:pPr>
      <w:r>
        <w:t xml:space="preserve">Tras analizar el caso concreto enjuiciado por el Tribunal contencioso administrativo, resalta que la suspensión de los efectos de las licencias cuyo contenido constituya una infracción urbanística grave tiene, como finalidad prevalente, la de evitar que a su amparo puedan continuar ejecutándose actos de construcción o uso del suelo que vulneran la legalidad urbanística. Es de todos sabido que cuando el adjudicatario de la licencia tiene conocimiento que la autoridad regional ha detectado la ilegalidad, acelera los trabajos para consolidar las obras, siendo a veces bastante el aparente corto plazo de diez días que establecía ya el art. 186.2 Ley del Suelo para dar lugar a situaciones irreversibles. Lo cual no </w:t>
      </w:r>
      <w:r>
        <w:lastRenderedPageBreak/>
        <w:t xml:space="preserve">queda garantizado por los órganos judiciales, debido a la sobrecarga de trabajo que pesa sobre ellos, y que ha vuelto ilusoria la nota de urgencia definida por el legislador en el art. 118 LJCA. </w:t>
      </w:r>
    </w:p>
    <w:p w:rsidR="00FE0907" w:rsidRDefault="00FE0907" w:rsidP="00FE0907">
      <w:pPr>
        <w:pStyle w:val="TextoNormal"/>
      </w:pPr>
      <w:r>
        <w:t>Tras negar que una eventual colisión entre la Ley autonómica y una Ley básica pueda dar lugar a una cuestión de inconstitucionalidad, recuerda la jurisprudencia del Tribunal Supremo favorable a la pervivencia del art. 186 L.S., y la naturaleza y alcance de la autonomía local según las Sentencias constitucionales recaídas sobre los arts. 137 y 140 C.E. Resalta que en materia urbanística las competencias de los Municipios concurren con las de las Comunidades Autónomas, siendo a estas últimas a quienes corresponde garantizar en último término una adecuada fiscalización para evitar situaciones de indisciplina, que dan al traste con el derecho de los ciudadanos a una ciudad adecuada y ordenada, que comporta un elevado coste social, y que resulta especialmente grave en el caso de los pequeños Municipios. Concluye que el precepto cuestionado es plenamente constitucional, en cuanto establece un control meramente preventivo, subsidiario y especial, que no se opone sino que completa el régimen de impugnación establecido por la L.B.R.L., y que está incluso previsto en su art. 51.</w:t>
      </w:r>
    </w:p>
    <w:p w:rsidR="00FE0907" w:rsidRDefault="00FE0907" w:rsidP="00FE0907">
      <w:pPr>
        <w:pStyle w:val="TextoNormal"/>
      </w:pPr>
    </w:p>
    <w:p w:rsidR="00FE0907" w:rsidRDefault="00FE0907" w:rsidP="00FE0907">
      <w:pPr>
        <w:pStyle w:val="TextoNormal"/>
      </w:pPr>
      <w:r w:rsidRPr="00FE0907">
        <w:rPr>
          <w:rStyle w:val="NumeroAFNegritaCaracter"/>
        </w:rPr>
        <w:t>4</w:t>
      </w:r>
      <w:r>
        <w:t>. Tras la admisión a trámite de la cuestión de inconstitucionalidad 1.288/87, el 26 octubre 1987, el Abogado del Estado solicitó en su escrito de personación que se acumulara con la núm. 1.173/87, o alternativamente que se suspendiera su tramitación hasta que recayera Sentencia en la primera. La misma solicitud de acumulación fué presentada por el Fiscal General del Estado. Tras oír a las partes solicitantes y a la Comunidad de Madrid, que mostró su conformidad con la acumulación de ambas cuestiones, se dictó Auto de 14 enero 1988 disponiendo su acumulación por darse los presupuestos del art. 83 LOTC.</w:t>
      </w:r>
    </w:p>
    <w:p w:rsidR="00FE0907" w:rsidRDefault="00FE0907" w:rsidP="00FE0907">
      <w:pPr>
        <w:pStyle w:val="TextoNormal"/>
      </w:pPr>
    </w:p>
    <w:p w:rsidR="00FE0907" w:rsidRDefault="00FE0907" w:rsidP="00FE0907">
      <w:pPr>
        <w:pStyle w:val="TextoNormal"/>
      </w:pPr>
      <w:r w:rsidRPr="00FE0907">
        <w:rPr>
          <w:rStyle w:val="NumeroAFNegritaCaracter"/>
        </w:rPr>
        <w:t>5</w:t>
      </w:r>
      <w:r>
        <w:t>. Tras ser admitida a trámite la cuestión de inconstitucionalidad núm. 624/88, mediante providencia de 18 abril 1988, y formular alegaciones el Fiscal General del Estado, el Abogado del Estado y la Comunidad de Madrid, se acordó, por providencia de 16 mayo, oír al Letrado de esta última acerca de la acumulación con las preexistentes cuestiones, solicitada por los restantes personados. Mediante Auto de 7 julio 1988 se acordó la acumulación dado que todas las cuestiones de inconstitucionalidad presentaban una identidad objetiva, lo que permitía la unidad de tramitación y decisión de los tres procesos constitucionales; opción que se estimó más oportuna que la suspensión propuesta por la Comunidad de Madrid, al no ocasionarse con la acumulación ninguna demora en la tramitación de las cuestiones 1.173 y 1.288/87, pendientes de señalamiento para deliberación de la Sentencia cuando por turno correspondiera.</w:t>
      </w:r>
    </w:p>
    <w:p w:rsidR="00FE0907" w:rsidRDefault="00FE0907" w:rsidP="00FE0907">
      <w:pPr>
        <w:pStyle w:val="TextoNormal"/>
      </w:pPr>
    </w:p>
    <w:p w:rsidR="00FE0907" w:rsidRDefault="00FE0907" w:rsidP="00FE0907">
      <w:pPr>
        <w:pStyle w:val="TextoNormal"/>
      </w:pPr>
      <w:r w:rsidRPr="00FE0907">
        <w:rPr>
          <w:rStyle w:val="NumeroAFNegritaCaracter"/>
        </w:rPr>
        <w:t>6</w:t>
      </w:r>
      <w:r>
        <w:t>. Una vez admitida a trámite el 26 septiembre 1988 la cuestión de inconstitucionalidad núm. 1.515/88, y previas alegaciones de las partes acerca del fondo del asunto y de la acumulación con las restantes cuestiones de inconstitucionalidad sobre el mismo tema, el Pleno acordó la acumulación mediante Auto de 22 noviembre 1988.</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del 31 de marzo de 1992, se acordó fijar para la deliberación y votación de la presente Sentencia el día 2 de abril del mismo año.</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precepto sometido a la cuestión de inconstitucionalidad suscitada por la Sala de lo Contencioso Administrativo de la Audiencia Territorial de Madrid es el art. 26.3 de la Ley 4/1984, de 10 de febrero, de la Comunidad de Madrid, sobre Medidas de Disciplina Urbanística. Este precepto habilita al Consejero competente de la Comunidad Autónoma de Madrid para que, en defecto de actuación por parte del Alcalde del Ayuntamiento afectado, pueda acordar de oficio la suspensión de los efectos de una licencia u orden de ejecución, con la consiguiente paralización inmediata de los actos de edificación o uso del suelo, cuando el contenido de aquellos actos administrativos constituyan manifiestamente una infracción urbanística grave.  La cuestión se funda en la posible vulneración, por el artículo mencionado, de lo previsto en el art. 140 C.E., en relación con la autonomía de los entes locales.</w:t>
      </w:r>
    </w:p>
    <w:p w:rsidR="00FE0907" w:rsidRDefault="00FE0907" w:rsidP="00FE0907">
      <w:pPr>
        <w:pStyle w:val="TextoNormal"/>
      </w:pPr>
      <w:r>
        <w:t>Con carácter previo, es preciso examinar en qué medida la decisión de los procesos a quo depende de la validez de la norma en cuestión, pues el juicio de relevancia que el art. 35.2 LOTC configura como presupuesto del proceso es de orden público, y obliga a operar con rigor para impedir que esta vía procesal resulte desvirtuada por un uso no acomodado a su naturaleza (STC 17/1981, fundamento jurídico 1º, y 166/1986, fundamento jurídico 5º). A este respecto es necesario estimar que se cumplen los requisitos exigidos por el art. 35.2 LOTC, pues la decisión de las Salas proponentes forzosamente dependerá de la resolución de la cuestión propuesta en cuanto a la constitucionalidad del art. 26.3 de la Ley Madrileña sobre Medidas de Disciplina Urbanística. En efecto, si se declara inconstitucional la norma, procedería, bien (en la perspectiva adelantada por los Autos de planteamiento), anular la suspensión acordada, por adolecer de vicio de quebrantamiento esencial de procedimiento, bien, en la línea señalada recientemente por el Tribunal Supremo (así, ATS de 24 de noviembre de 1989, Sala Tercera) convertir el traslado de la suspensión acordada por la Comunidad Autónoma en la iniciación de un proceso en los términos previstos por los arts. 65 y siguientes de la Ley de Bases del Régimen Local. En cualquier caso, e independientemente de la vía que adoptase el Tribunal proponente de la cuestión (vía sobre la que no corresponde a este Tribunal pronunciarse en este proceso) es evidente que la constitucionalidad o inconstitucionalidad del precepto, tendrían efectos decisivos en el procedimiento en que la cuestión se ha planteado, y en la resolución a adoptar por el Tribunal a quo.</w:t>
      </w:r>
    </w:p>
    <w:p w:rsidR="00FE0907" w:rsidRDefault="00FE0907" w:rsidP="00FE0907">
      <w:pPr>
        <w:pStyle w:val="TextoNormal"/>
      </w:pPr>
    </w:p>
    <w:p w:rsidR="00FE0907" w:rsidRDefault="00FE0907" w:rsidP="00FE0907">
      <w:pPr>
        <w:pStyle w:val="TextoNormal"/>
      </w:pPr>
      <w:r w:rsidRPr="00FE0907">
        <w:rPr>
          <w:rStyle w:val="NumeroAFNegritaCaracter"/>
        </w:rPr>
        <w:t>2</w:t>
      </w:r>
      <w:r>
        <w:t>. Se cuestiona la constitucionalidad del art.  26.3 de la Ley 4/1984 de la Comunidad de Madrid en cuanto vulneraría la autonomía local reconocida en los arts. 137 y 140 C.E.  Y es necesario recordar primeramente que, como este Tribunal ha manifestado (así, STC 170/1989, fundamento jurídico 9º), la autonomía local, tal y como se reconoce en los arts.  137 y 140 C.E., goza de una garantía institucional con un contenido mínimo que el legislador debe respetar; más allá de este contenido mínimo, la autonomía local es un concepto jurídico de contenido legal, que permite, por tanto, configuraciones diversas, válidas en cuanto respeten esa garantía institucional.  Ha de partirse, pues, con el límite indicado, de una configuración legal de la autonomía local. Y en relación con la cuestión concreta ahora planteada, este Tribunal ya ha tenido oportunidad de establecer, en sus SSTC 213/1988 y 259/1988, unos criterios que permiten resolverla, a la vista de los mandatos de la ley de Bases de Régimen Local, que llevan a cabo esa configuración.</w:t>
      </w:r>
    </w:p>
    <w:p w:rsidR="00FE0907" w:rsidRDefault="00FE0907" w:rsidP="00FE0907">
      <w:pPr>
        <w:pStyle w:val="TextoNormal"/>
      </w:pPr>
      <w:r>
        <w:lastRenderedPageBreak/>
        <w:t>Se expone en la primera de las Sentencias citadas (cuya doctrina reitera la segunda) que, si bien este Tribunal ha considerado, en su STC 4/1981, fundamento jurídico 3º, y otras posteriores, que, en principio, los controles administrativos de legalidad no afectan al núcleo central de la autonomía de las Corporaciones locales, ello no obsta a que el legislador, en ejercicio de una legítima opción política, pueda ampliar el ámbito de la autonomía local, y establecer con carácter general la desaparición de esos controles.</w:t>
      </w:r>
    </w:p>
    <w:p w:rsidR="00FE0907" w:rsidRDefault="00FE0907" w:rsidP="00FE0907">
      <w:pPr>
        <w:pStyle w:val="TextoNormal"/>
      </w:pPr>
      <w:r>
        <w:t>Pues bien, el legislador estatal, mediante la Ley 7/1985 de Bases del Régimen Local ha desarrollado, respecto de la Administración Local, el art.  149.1.18 de la Constitución, regulando las bases del régimen de dicha Administración.  Y entre esas bases se encuentran las previsiones de los artículos 65 y 66 de la Ley, que regulan la impugnación de actos y acuerdos de las Corporaciones por parte de la Administración del Estado y de las Comunidades Autónomas en el ámbito de sus respectivas competencias, y establecen que la suspensión de acuerdos de las entidades locales es sólo potestad de los Tribunales (con la excepción, en favor del Delegado del Gobierno, recogida en el art.  67 de la Ley). Estas son las normas que deben servir como punto de referencia para enjuiciar la constitucionalidad de la Ley de la Comunidad de Madrid, al ser las normas vigentes en el momento de plantearse la cuestión: y como ya hizo este Tribunal en las Sentencias citadas, respecto de normas de la Comunidad Autónoma de Cataluña que permitían la suspensión, por parte de las autoridades autonómicas, de acuerdos de las corporaciones locales referentes a aprobación de programas de urbanización y otras actuaciones urbanísticas, procede en el presente caso estimar igualmente que el artículo cuestionado de la Ley de la Comunidad de Madrid, se opone a lo dispuesto en los arts. 65 y 66 de la Ley de Bases de Régimen Local y vulnera, por tanto, la autonomía municipal establecida por la normativa básica del Estado. En efecto, el precepto cuestionado, contradiciendo lo previsto en esos artículos, permite una suspensión, por parte de las autoridades de la Comunidad Autónoma de Madrid, de acuerdos que la Ley de Bases encomienda específicamente a los Municipios, como son los referentes a ordenación, gestión, ejecución y disciplina urbanística (25.2 d) L.B.R.L.)  y más precisamente, la autorización para la edificación y otros usos del suelo, que, por otra parte, constituye una competencia característica de los Municipios como muestra tanto el citado art.  25.2 d) L.B.R.L.,, como los arts. 179 y 214 de la Ley del Suelo.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Defiende la representación de la Comunidad de Madrid su competencia argumentando que es indudable que el interés general exige que no se permita la urbanización y la edificación de terrenos legalmente declarados suelo rústico, que se impidan aquellos aprovechamientos que palmariamente desborden e ignoren las previsiones de los planes urbanísticos, y en general, que se eviten y se castiguen las infracciones manifiestas y graves de la ordenación urbanística, la cual procura encauzar por márgenes de racionalidad y de solidaridad colectiva la utilización de ese recurso natural y limitado que es el suelo, tal y como ordenan los arts.  47, 45 y 46 Constitución. Es preciso dar en este punto toda la razón al Letrado de la Comunidad de Madrid, que acierta igualmente cuando destaca el hecho, de común experiencia, de que quienes se ven amenazados en el disfrute de una licencia ilegal aceleran las obras y redoblan el ritmo de sus trabajos, intentando convertir las infracciones en hechos consumados. Sin embargo, lo que no se puede compartir en la misma forma es la valoración comparativa que efectúa entre la suspensión ordenada por la autoridad autonómica y por la autoridad judicial.  Pues, como él mismo reconoce en sus alegaciones, la intervención de aquélla en virtud del art. 26 de la Ley de Madrid 4/1984 (o del precepto que está en su génesis, el art.  186 L.S.)  se ve retardada por el preceptivo requerimiento previo al Ayuntamiento que otorgó la licencia, y por el lapso de espera para </w:t>
      </w:r>
      <w:r>
        <w:lastRenderedPageBreak/>
        <w:t>que éste adopte las pertinentes medidas de disciplina urbanística.  Mientras que cuando la Comunidad Autónoma somete al control judicial directo la actuación municipal, en los términos que prevé el art.  66 L.B.R.L. --que, como da por supuesto la Sala proponente de la cuestión e indica el Abogado del Estado, ofrece el cauce procesal adecuado ante una infracción urbanística grave, con preferencia sobre el procedimiento más premioso que con carácter ordinario dispone el art. 65 L.B.R.L.--, puede conseguir una suspensión judicial perentoria de la licencia atacada, pues el Tribunal debe acordarla en el primer trámite subsiguiente a la impugnación, siempre --claro está-- que estime fundada la suspensión para preservar la integridad y la efectividad del interés comunitario afectado. Medida judicial que es adoptada de plano, sin perjuicio de su ulterior levantamiento total o parcial a instancia de la entidad local afectada, y cuyo cumplimiento por parte del titular de la licencia viene impuesto directamente por el art. 118 Constitución, y se encuentra garantizado por las correspondientes normas del Código Penal.</w:t>
      </w:r>
    </w:p>
    <w:p w:rsidR="00FE0907" w:rsidRDefault="00FE0907" w:rsidP="00FE0907">
      <w:pPr>
        <w:pStyle w:val="TextoNormal"/>
      </w:pPr>
      <w:r>
        <w:t>No nos corresponde, por tanto, y a la luz de lo indicado, pronunciarnos sobre si la suspensión administrativa que establece el precepto cuestionado proteje los intereses públicos a los que sirve la ordenación urbanística con un grado mayor de efectividad que el régimen establecido por la L.B.R.L.; por lo que, habiendo determinado el legislador estatal que resulta básico que el control de la legalidad de los actos municipales que causan estado, por suponer el ejercicio de competencias propias en régimen de exclusividad, esté confiado exclusivamente a los Tribunales de Justicia, incluyendo las medidas cautelares de suspensión, ninguna razón impide alcanzar la misma conclusión que declaramos en nuestras SSTC 213/1988 y 148/1991.</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Declarar la inconstitucionalidad y consiguiente nulidad del art.  26.3 de la Ley de Madrid 4/1984, de 10 febrero, sobre Medidas de Disciplina Urbanística.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0" w:name="SENTENCIA_1992_47"/>
      <w:r>
        <w:lastRenderedPageBreak/>
        <w:t>SENTENCIA 47/1992, de 2 de abril de 1992</w:t>
      </w:r>
    </w:p>
    <w:bookmarkEnd w:id="50"/>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ECLI:ES:TC:1992:47</w:t>
      </w:r>
    </w:p>
    <w:p w:rsidR="00FE0907" w:rsidRDefault="00FE0907" w:rsidP="00FE0907">
      <w:pPr>
        <w:pStyle w:val="SntesisDescriptiva"/>
      </w:pPr>
    </w:p>
    <w:p w:rsidR="00FE0907" w:rsidRDefault="00FE0907" w:rsidP="00FE0907">
      <w:pPr>
        <w:pStyle w:val="SntesisDescriptiva"/>
      </w:pPr>
      <w:r>
        <w:t>Recurso de amparo 1.517/1988. Contra Sentencia de la Audiencia Territorial de Palma de Mallorca, confirmatorio, en vía de apelación, de la dictada por el Juzgado de Primera Instancia de la misma ciudad en autos de juicio ejecutivo.</w:t>
      </w:r>
    </w:p>
    <w:p w:rsidR="00FE0907" w:rsidRDefault="00FE0907" w:rsidP="00FE0907">
      <w:pPr>
        <w:pStyle w:val="SntesisDescriptiva"/>
      </w:pPr>
    </w:p>
    <w:p w:rsidR="00FE0907" w:rsidRDefault="00FE0907" w:rsidP="00FE0907">
      <w:pPr>
        <w:pStyle w:val="SntesisAnaltica"/>
      </w:pPr>
      <w:r>
        <w:t>Supuesta vulneración del derecho a la tutela judicial efectiva: constitucionalidad previamente declarada por este Tribunal del art. 1.435 L.E.C.</w:t>
      </w:r>
    </w:p>
    <w:p w:rsidR="00FE0907" w:rsidRDefault="00FE0907" w:rsidP="00FE0907">
      <w:pPr>
        <w:pStyle w:val="SntesisAnaltica"/>
      </w:pPr>
    </w:p>
    <w:p w:rsidR="00FE0907" w:rsidRDefault="00FE0907" w:rsidP="00FE0907">
      <w:pPr>
        <w:pStyle w:val="Extracto"/>
      </w:pPr>
      <w:r>
        <w:t>1.</w:t>
      </w:r>
      <w:r>
        <w:tab/>
        <w:t>La indefensión sólo se puede originar por una actuación del órgano judicial en el curso del proceso, pero no fuera de él [F.J. 2].</w:t>
      </w:r>
    </w:p>
    <w:p w:rsidR="00FE0907" w:rsidRDefault="00FE0907" w:rsidP="00FE0907">
      <w:pPr>
        <w:pStyle w:val="Extracto"/>
      </w:pPr>
    </w:p>
    <w:p w:rsidR="00FE0907" w:rsidRDefault="00FE0907" w:rsidP="00FE0907">
      <w:pPr>
        <w:pStyle w:val="Extracto"/>
      </w:pPr>
      <w:r>
        <w:t>2.</w:t>
      </w:r>
      <w:r>
        <w:tab/>
        <w:t>Se reitera doctrina anterior (STC 17/1992), según la cual el art. 1.435 de la L.E.C. no sólo no contiene un privilegio exento de justificación para las entidades bancarias, sino que establece garantías legales y judiciales suficientes que evitan la indefensión del deudor en el proceso de creación y control del título ejecutivo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1.517/88 interpuesto por el Procurador don Pedro Antonio González Sánchez en nombre y representación de doña Gerda María Crista Rademacher, asistida del Letrado don Angel Olmos Mené, contra la Sentencia de la Sala de lo Civil de la, entonces, Audiencia Territorial de Palma de Mallorca, que desestimó el recurso de apelación inter puesto contra la dictada por el Juzgado de Primera Instancia núm. 2 de la misma ciudad en los autos de juicio ejecutivo núm. 401/87. Ha sido parte el Ministerio Fiscal y la entidad Banca Jover S.A., parte apelada en dicho procedimiento, representada por el Procurador don Nicolás Muñoz Rivas y asistida del Letrado don Mariano Aniceto, siendo Ponente el Magistrado don Luis López Guerra,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este Tribunal el 14 de septiembre de 1988, el Procurador de los Tribunales don Pedro Antonio González Sánchez interpuso recurso de amparo frente a la Sentencia pronunciada el 13 de julio de 1988 por la Sala de lo Civil de la Audiencia Territorial de Palma de Mallorca que desestimaba el recurso de apelación de la actora contra la dictada por el Juzgado de Primera Instancia núm. 2 de la misma ciudad en los autos de juicio ejecutivo núm. 401/87, instados por la Banca Jover, S.A.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tiene su origen en los siguientes antecedentes de hecho: </w:t>
      </w:r>
    </w:p>
    <w:p w:rsidR="00FE0907" w:rsidRDefault="00FE0907" w:rsidP="00FE0907">
      <w:pPr>
        <w:pStyle w:val="TextoNormal"/>
      </w:pPr>
      <w:r>
        <w:t xml:space="preserve">A) La entidad bancaria mencionada formuló demanda de juicio ejecutivo contra la recurrente, contra don Juan Antonio de la Rosa de la Rosa y contra Jonquet, S.A., en reclamación de 6.856.983 pts. de principal y gastos, más la de 2.000.000 de pts. calculadas para costas, al amparo de una póliza de préstamo concertada entre los citados demandados y la entidad bancaria. Con la demanda se acompañaba certificación del Banco, intervenida por corredor de comercio colegiado, en la que se acreditaba la coincidencia del saldo resultante de dicha póliza con el que aparecía en la cuenta abierta por los citados deudores y haberse practicado la liquidación en la forma pactada por las partes. </w:t>
      </w:r>
    </w:p>
    <w:p w:rsidR="00FE0907" w:rsidRDefault="00FE0907" w:rsidP="00FE0907">
      <w:pPr>
        <w:pStyle w:val="TextoNormal"/>
      </w:pPr>
      <w:r>
        <w:t xml:space="preserve">B) Ordenado el despacho de ejecución por las cantidades referidas, los demandados formularon oposición a la misma alegando la nulidad de la obligación o título por el que se había despachado la ejecución y, practicada la prueba propuesta por las partes, el Juzgado de Primera Instancia pronunció Sentencia el 1 de julio de 1987 que ordenaba seguir adelante la ejecución despachada por el importe del principal reclamado, intereses pactados y costas. </w:t>
      </w:r>
    </w:p>
    <w:p w:rsidR="00FE0907" w:rsidRDefault="00FE0907" w:rsidP="00FE0907">
      <w:pPr>
        <w:pStyle w:val="TextoNormal"/>
      </w:pPr>
      <w:r>
        <w:t xml:space="preserve">C) Frente a la anterior Sentencia, formularon recurso de apelación don Juan Antonio de la Rosa de la Rosa y doña Gerda M. Crista Rademacher fundado en que los demandados no habían tenido participación alguna en el cierre y fijación del saldo de la póliza de préstamo y crédito. </w:t>
      </w:r>
    </w:p>
    <w:p w:rsidR="00FE0907" w:rsidRDefault="00FE0907" w:rsidP="00FE0907">
      <w:pPr>
        <w:pStyle w:val="TextoNormal"/>
      </w:pPr>
      <w:r>
        <w:t>El recurso fue desestimado por la Sala de lo Civil de la anterior Audiencia Territorial de Palma de Mallorca, al considerar que el penúltimo párrafo del art. 1.435 de la L.E.C. concedía carácter ejecutivo al título aportado por el Banco, el cual reunía todos los requisitos legales para despachar la ejecución.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demandante de amparo basa su pretensión en la absoluta indefensión que le acarrea el despacho de la ejecución, con base a la certificación bancaria intervenida por corredor de Comercio, sin haber sido parte la prestataria en el proceso de fijación del saldo e intervención de su cuenta. </w:t>
      </w:r>
    </w:p>
    <w:p w:rsidR="00FE0907" w:rsidRDefault="00FE0907" w:rsidP="00FE0907">
      <w:pPr>
        <w:pStyle w:val="TextoNormal"/>
      </w:pPr>
      <w:r>
        <w:t xml:space="preserve">La oposición en el proceso judicial se contraía a entender inconstitucionales los arts. 1 y 2 de la Orden de 21 de abril de 1950 de la Banca privada, en cuanto que establecen que en las pólizas de crédito intervenidas por agentes de cambio y bolsa o corredor de comercio colegiado, que otorguen los bancos, cajas de ahorro o sociedades de crédito, podrá convenirse la determinación del saldo del crédito el día de su vencimiento por la entidad acreedora, y en cuanto que, a efectos del procedimiento ejecutivo ordinario de la L.E.C., se considerará líquida la cantidad que resulte de la certificación librada por la entidad acreedora. </w:t>
      </w:r>
    </w:p>
    <w:p w:rsidR="00FE0907" w:rsidRDefault="00FE0907" w:rsidP="00FE0907">
      <w:pPr>
        <w:pStyle w:val="TextoNormal"/>
      </w:pPr>
      <w:r>
        <w:t xml:space="preserve">Al no haber sido parte, ni haber tenido posibilidad de serlo en el proceso de fijación del saldo resultante, la prestataria que, con posterioridad, sufrirá los rigores de un proceso </w:t>
      </w:r>
      <w:r>
        <w:lastRenderedPageBreak/>
        <w:t xml:space="preserve">ejecutivo sumario, al deudor se le coloca en flagrante indefensión que prescribe el art. 24.1 C.E. Si la posibilidad de defensa del ejecutado en un proceso especial sumario es ya de por sí tenue, esta posibilidad de defensa es nula ante la circunstancia de que la introducción al proceso ejecutivo y la conformación del título se haya realizado sin tan siquiera ofrecer la mera posibilidad de que el ejecutado pueda realizar alegato alguno al título. </w:t>
      </w:r>
    </w:p>
    <w:p w:rsidR="00FE0907" w:rsidRDefault="00FE0907" w:rsidP="00FE0907">
      <w:pPr>
        <w:pStyle w:val="TextoNormal"/>
      </w:pPr>
      <w:r>
        <w:t>Termina suplicando que se otorgue el amparo solicitado y se declare la nulidad de la Sentencia cuestionada, reconociendo el derecho de la recurrente a intervenir en las diligencias previas a la ejecución.</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7 de noviembre de 1988 la Sala Segunda -Sección Cuarta- de este Tribunal acordó admitir a trámite la demanda de amparo formulada por doña Gerda María Crista Rademacher y tener por personado y parte en nombre y re presentación de la misma al Procurador Sr. González Sánchez. A tenor del art. 51 de la LOTC se acordó, igualmente, requerir a la Audiencia de Palma de Mallorca y al Juzgado de Primera Instancia núm. 2 de la misma ciudad para que en plazo de diez días remitiesen testimonio del rollo de Sala y de los autos de juicio ejecutivo núm. 401/87, interesando, al mismo tiempo, que se emplazase a quienes fueron parte en el mencionado procedimiento, con excepción del recurrente, para que en el plazo de 10 días pudiesen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Mediante nueva providencia de 9 de octubre de 1989 la Sección, al no haberse recibido del Juzgado de Primera Instancia núm. 2 de Palma de Mallorca las diligencias practicadas para el emplazamiento de las partes del proceso judicial, acordó remitir xerocopia del oficio enviado a dicho órgano judicial al Tribunal Superior de Justicia de Baleares para que adoptase las medidas adecuadas, a la vista de la dilación del Juzgado, en el cumplimiento del despacho interesado.</w:t>
      </w:r>
    </w:p>
    <w:p w:rsidR="00FE0907" w:rsidRDefault="00FE0907" w:rsidP="00FE0907">
      <w:pPr>
        <w:pStyle w:val="TextoNormal"/>
      </w:pPr>
    </w:p>
    <w:p w:rsidR="00FE0907" w:rsidRDefault="00FE0907" w:rsidP="00FE0907">
      <w:pPr>
        <w:pStyle w:val="TextoNormal"/>
      </w:pPr>
      <w:r w:rsidRPr="00FE0907">
        <w:rPr>
          <w:rStyle w:val="NumeroAFNegritaCaracter"/>
        </w:rPr>
        <w:t>6</w:t>
      </w:r>
      <w:r>
        <w:t>. Por escrito registrado en este Tribunal el 30 de octubre de 1989 compareció el Procurador don Nicolás Muñoz Rivas en nombre y representación de la Banca Jover, S.A., parte apelada en el proceso judicial, y en virtud de providencia de 13 de noviembre de 1989 la Sección tuvo por recibidas las actuaciones remitidas por el Juzgado de Primera Instancia núm. 2 de Palma de Mallorca y por personado y parte al expresado Procurador comparecido. A tenor de lo dispuesto en el art. 52 de la LOTC, en la misma providencia, se acordó dar vista de las actuaciones del presente recurso de amparo, por plazo común de veinte días, al Ministerio Fiscal y a los procuradores mencionados para que formularan las alegaciones que estimasen convenientes a su derecho.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11 de diciembre de 1989 únicamente el Ministerio Fiscal presentó escrito de alegaciones en el que, tras centrar el objeto del presente recurso de amparo, señaló que la Sentencia de la Audiencia había rechazado razonadamente la causa de nulidad invocada por la actora en el proceso judicial al considerar que la redacción dada al art. 1.435 de la L.E.C. en la Ley 34/1984, de 6 de agosto, resolvió las dudas sobre la legalidad de la Orden de 21 de abril de 1950, reforzó la posición jurídica del deudor, y evitó que la determinación del saldo quedase sólo al arbitrio de la entidad acreedora al exigir la intervención de un perito en la materia. </w:t>
      </w:r>
    </w:p>
    <w:p w:rsidR="00FE0907" w:rsidRDefault="00FE0907" w:rsidP="00FE0907">
      <w:pPr>
        <w:pStyle w:val="TextoNormal"/>
      </w:pPr>
      <w:r>
        <w:t>En contra de lo afirmado por la recurrente, la Sentencia de la Audiencia se encuentra plenamente ajustada a derecho y no vulnera el derecho de defensa, toda vez que en el pro</w:t>
      </w:r>
      <w:r>
        <w:lastRenderedPageBreak/>
        <w:t xml:space="preserve">ceso ejecutivo en que se dictó no se le impidió la posibilidad de defender sus derechos, ni en él se han infringido las normas ordenadoras del procedimiento. La demandante, por el contrario, no hace derivar la indefensión de la infracción de normas reguladoras del proceso ejecutivo sino de la forma en que se determinó la cuantía y liquidez de la deuda, es decir, de la forma en que el ordenamiento jurídico permite al acreedor fijar el saldo deudor o, lo que es lo mismo, la liquidez de la deuda. De ahí que invoque la inconstitucionalidad de la Orden de 21 de abril de 1950. </w:t>
      </w:r>
    </w:p>
    <w:p w:rsidR="00FE0907" w:rsidRDefault="00FE0907" w:rsidP="00FE0907">
      <w:pPr>
        <w:pStyle w:val="TextoNormal"/>
      </w:pPr>
      <w:r>
        <w:t xml:space="preserve">Actualmente, sin embargo, la liquidez de la deuda no se realiza por aplicación de la mencionada Orden, sino con arreglo a lo dispuesto en el art. 1.435,3º, párrafo 3º, de la L.E.C., según la redacción dada por la Ley 34/1984 de 6 de agosto, precepto que es el que aplica la resolución impugnada. Dicho artículo permite acreditar el saldo mediante certificación de la entidad bancaria o de crédito, sobre la base de la existencia de un acuerdo o pacto previo entre las partes contratantes. Por ello, si media tal pacto, la cantidad exigible será la especificada en la certificación expedida por la acreedora. </w:t>
      </w:r>
    </w:p>
    <w:p w:rsidR="00FE0907" w:rsidRDefault="00FE0907" w:rsidP="00FE0907">
      <w:pPr>
        <w:pStyle w:val="TextoNormal"/>
      </w:pPr>
      <w:r>
        <w:t xml:space="preserve">En el presente recurso, la póliza suscrita entre la recurrente y la Banca Jover, S.A., contiene una cláusula en la que expresamente se pacta que la liquidación, para determinar la deuda ejecutivamente reclamable, se practicará por el Banco mediante certificación en la que hará constar el fedatario que el saldo coincide con el que aparece en la cuenta. De ello resulta que el título que abre el juicio ejecutivo (art. 1.429-6º y 1.435,3º, párrafo 3º, de la L.E.C.) no requiere ninguna actividad procesal previa de conformación del mismo o de determinación del saldo resultante al día del cierre, sino que la Ley permite que su fijación se realice de antemano, extraprocesal- mente, con intervención de Agente de Cambio o Corredor de Comercio. Se obtiene, pues, fuera del proceso y, por este motivo, carece de fundamento la afirmación de la actora de que, al no haber sido parte en el proceso de fijación del saldo, se le causó indefensión. </w:t>
      </w:r>
    </w:p>
    <w:p w:rsidR="00FE0907" w:rsidRDefault="00FE0907" w:rsidP="00FE0907">
      <w:pPr>
        <w:pStyle w:val="TextoNormal"/>
      </w:pPr>
      <w:r>
        <w:t xml:space="preserve">En definitiva, el recurso de amparo trata de cuestionar la constitucionalidad del art. 1.435,3º, apartado 3º, de la L.E.C., sobre el que se encuentra pendiente la cuestión de constitucionalidad núm. 1.219/88, en la que se considera que el mismo puede ser contrario al art. 14 C.E. Sin necesidad de reiterar los argumentos que ya expuso en la misma, interesa destacar que el modo de determinar la liquidez de la deuda regulada en el art. 1.435,3º, apartado 3º, L.E.C. tiene su fundamento en el pacto o convenio de las partes y que corresponde a los Tribunales ordinarios determinar cuándo el pacto libremente concertado se encuentra dentro de las limitaciones que fijan su ámbito. Por esta causa, cuando se invoca la vulneración del derecho de defensa, la actora parece desconocer que se procedió de esta forma en virtud de un pacto contenido en la póliza y expresamente autorizado por el art. 1.435,3º, apartado 3º, de la L.E.C. </w:t>
      </w:r>
    </w:p>
    <w:p w:rsidR="00FE0907" w:rsidRDefault="00FE0907" w:rsidP="00FE0907">
      <w:pPr>
        <w:pStyle w:val="TextoNormal"/>
      </w:pPr>
      <w:r>
        <w:t>En consecuencia, el Fiscal interesa que se dicte Sentencia por la que se desestime el recurso de amparo, salvo que el Tribunal considere que la cuestión de inconstitucionalidad citada pueda tener influencia sobre el presente recurso, en cuyo caso procedería suspender la tramitación de éste hasta que se resuelva la misma.</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fecha 30 de marzo de 1992, se acordó señalar el día 2 de abril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lastRenderedPageBreak/>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presente recurso de amparo tiene por objeto decidir si la falta de intervención del deudor en el proceso de fijación del saldo resultante de una póliza de crédito concertada con una entidad bancaria, y que ha resultado impagada, genera indefensión a aquél por cuanto basta la certificación que del mismo expide el Banco, intervenida por Corredor Colegiado de Comercio, para la constitución del título ejecutivo y la apertura del proceso especial y sumario previsto en los arts. 1.429 y siguientes de la L.E.C.</w:t>
      </w:r>
    </w:p>
    <w:p w:rsidR="00FE0907" w:rsidRDefault="00FE0907" w:rsidP="00FE0907">
      <w:pPr>
        <w:pStyle w:val="TextoNormal"/>
      </w:pPr>
    </w:p>
    <w:p w:rsidR="00FE0907" w:rsidRDefault="00FE0907" w:rsidP="00FE0907">
      <w:pPr>
        <w:pStyle w:val="TextoNormal"/>
      </w:pPr>
      <w:r w:rsidRPr="00FE0907">
        <w:rPr>
          <w:rStyle w:val="NumeroAFNegritaCaracter"/>
        </w:rPr>
        <w:t>2</w:t>
      </w:r>
      <w:r>
        <w:t>. Ante todo conviene aclarar que la queja de la actora no se refiere a una indefensión causada en la instancia judicial, es decir, en el juicio ejecutivo que produjo su posterior condena, sino que aquélla tiene su base en un momento anterior, cual es el de la "liquidación" de la cantidad que, como cuantía de la reclamación, se incorporó a la certificación expedida por el Banco al objeto de constituir el título ejecutivo.  De aquí que sólo indirectamente quepa imputar al órgano judicial la queja de indefensión.</w:t>
      </w:r>
    </w:p>
    <w:p w:rsidR="00FE0907" w:rsidRDefault="00FE0907" w:rsidP="00FE0907">
      <w:pPr>
        <w:pStyle w:val="TextoNormal"/>
      </w:pPr>
      <w:r>
        <w:t>En efecto, no se alega por la recurrente merma alguna de sus posibilidades de defensa en el juicio ejecutivo ni infracción de las normas de procedimiento que la propia L.E.C. consagra para este tipo de proceso.  La misma se centra en el modo de determinación de la cuantía y liquidez de la deuda a fin de que la entidad acreedora pueda promover la acción ejecutiva.  Estima, así, que al despacharse la ejecución con base en la certificación intervenida por Corredor de Comercio, sin haber sido parte la prestataria, se le ha colocado en una suerte de indefensión proscrita por el art.  24.1 de la Constitución.</w:t>
      </w:r>
    </w:p>
    <w:p w:rsidR="00FE0907" w:rsidRDefault="00FE0907" w:rsidP="00FE0907">
      <w:pPr>
        <w:pStyle w:val="TextoNormal"/>
      </w:pPr>
      <w:r>
        <w:t>Este Tribunal ha repetido en numerosas ocasiones (SSTC 156/1985, 64/1986, 89/1986, 12/1987, 171/1991 y ATC 190/1983) que la indefensión es un concepto fundamentalmente procesal que se concreta en la posibilidad de acceder a un juicio contradictorio en el que las partes, alegando y probando cuanto estimen pertinente, puedan hacer valer en condiciones de igualdad sus derechos e intereses legítimos.  Ello viene a significar que la indefensión sólo se puede originar por una actuación del órgano judicial en el curso del proceso, pero no fuera de él.  De aquí que carezca de fundamento la pretendida indefensión que la actora manifiesta que se le ha causado por no dársele intervención en la determinación del saldo de su póliza de préstamo, cuando en tal actividad no interviene ningún órgano judicial, ni achaca a las resoluciones judiciales merma alguna de sus posibilidades de defensa, ni ésta se ha producido siquiera en el ámbito de un proceso sino, a lo sumo, en la fase de creación del título ejecutivo, que es de naturaleza extrajurisdiccional.</w:t>
      </w:r>
    </w:p>
    <w:p w:rsidR="00FE0907" w:rsidRDefault="00FE0907" w:rsidP="00FE0907">
      <w:pPr>
        <w:pStyle w:val="TextoNormal"/>
      </w:pPr>
    </w:p>
    <w:p w:rsidR="00FE0907" w:rsidRDefault="00FE0907" w:rsidP="00FE0907">
      <w:pPr>
        <w:pStyle w:val="TextoNormal"/>
      </w:pPr>
      <w:r w:rsidRPr="00FE0907">
        <w:rPr>
          <w:rStyle w:val="NumeroAFNegritaCaracter"/>
        </w:rPr>
        <w:t>3</w:t>
      </w:r>
      <w:r>
        <w:t>. Ahora bien, la recurrente no agota con ello su pretensión.  La demanda se apoya en que su omisión como prestataria en el proceso de fijación del saldo e intervención de la cuenta se debe a las previsiones normativas contenidas en los arts. 1 y 2 de la Orden de 21 de abril de 1950, aplicadas por el órgano judicial; disposiciones éstas que considera inconsti- tucionales por oponerse al art. 24.1 C.E.  A este respecto afirma que la fijación del saldo del crédito en el día de su vencimiento, de manera unilateral por la entidad bancaria, le genera indefensión.</w:t>
      </w:r>
    </w:p>
    <w:p w:rsidR="00FE0907" w:rsidRDefault="00FE0907" w:rsidP="00FE0907">
      <w:pPr>
        <w:pStyle w:val="TextoNormal"/>
      </w:pPr>
      <w:r>
        <w:t xml:space="preserve">Previo al examen de esta pretendida inconstitucionalidad, es necesario puntualizar la anterior alegación contenida en la demanda puesto que, según se deduce del fundamento de Derecho 2º de la Sentencia de apelación, la norma aplicada por el órgano judicial para declarar la fuerza ejecutiva del título presentado por la entidad bancaria no ha sido ninguno de los preceptos indicados de la Orden de 21 de abril de 1950, sino el párrafo 4º del </w:t>
      </w:r>
      <w:r>
        <w:lastRenderedPageBreak/>
        <w:t>art.  1.435 de la L.E.C., tras la reforma operada por la Ley 34/1984 de 6 de agosto.  El actual art. 1.435 L.E.C. es heredero directo del art. 2 de la Orden de 1950, pero éste "no recoge la norma de su art. 1, que era la que permitía que se pactase que la determinación del saldo del crédito, por parte de la entidad acreedora, hará fe en juicio y surtirá todos los efectos legales pertinentes, y a ella se someterá el deudor, los fiadores y los avalistas, si los hubiese" (STC 14/1992, fundamento jurídico 2º).</w:t>
      </w:r>
    </w:p>
    <w:p w:rsidR="00FE0907" w:rsidRDefault="00FE0907" w:rsidP="00FE0907">
      <w:pPr>
        <w:pStyle w:val="TextoNormal"/>
      </w:pPr>
      <w:r>
        <w:t>Así, pues, la inconstitucionalidad que se denuncia ha de entenderse constreñida al citado párrafo 4º del art. 1.435 de la L.E.C., sobre la que el Pleno de este Tribunal ya ha tenido ocasión de pronunciarse en la Sentencia, antes citada, 14/1992.  En ella se afirmó que el precepto mencionado es acorde con la Constitución, y que el mismo no se opone a lo dispuesto en los arts.  14, 24 y 51 C.E.</w:t>
      </w:r>
    </w:p>
    <w:p w:rsidR="00FE0907" w:rsidRDefault="00FE0907" w:rsidP="00FE0907">
      <w:pPr>
        <w:pStyle w:val="TextoNormal"/>
      </w:pPr>
      <w:r>
        <w:t>En lo que ahora nos concierne, dicha Sentencia recogía que el párrafo 4º del art. 1.435 de la L.E.C. "no dispone que la certificación expedida por la entidad acreedora, en la que se especifica la cantidad exigible de acuerdo con el saldo que aparezca en la cuenta abierta al deudor, sea tenida por verdadera sino que se limita a declarar que la cantidad exigi- ble, una vez especificada por la entidad acreedora en la forma pactada en el título ejecutivo, se tendrá por líquida.  Que la Ley establezca que la cantidad reclamada es líquida para poder despachar la ejecución no significa que se presuma que es cierta o verdadera".  Es decir, nada impide en el precepto legal cuestionado la aplicación de las normas generales que sobre la prueba de las obligaciones recogen tanto el Código Civil como el Código de Comercio y, naturalmente, la L.E.C.  Tampoco restringe la potestad judicial para recibir el pleito a prueba ni las facultades judiciales para la valoración de la misma.  "En consecuencia, la norma cuestionada no consagra un privilegio probatorio en favor de las entidades de crédito...  ni otorga a la contabilidad de las mismas el carácter de documento público".  En fin, no priva al deudor de un proceso con todas las garantías ni lo sume en indefensión.</w:t>
      </w:r>
    </w:p>
    <w:p w:rsidR="00FE0907" w:rsidRDefault="00FE0907" w:rsidP="00FE0907">
      <w:pPr>
        <w:pStyle w:val="TextoNormal"/>
      </w:pPr>
      <w:r>
        <w:t>Continúa diciendo la expresada resolución que "el precepto restringe su alcance a los contratos mercantiles que, además de documentarse mediante formas que garantizan su autenticidad, implican la existencia de una situación de cuenta corriente entre las partes, único contexto en el que cobra sentido la regulación de operaciones de liquidación y de certificación de saldos.  Este dato confirma que no estamos ante un supuesto de trato jurídico especial que atienda sólo a rasgos subjetivos del acreedor, sino que dicho trato es debido a las peculiares exigencias de las actividades de intermediación financiera que constituyen el objeto social, exclusivo y excluyente de las entidades de crédito en nuestro Derecho".  Por ello, no es exacto afirmar que la legitimidad del título viene suministrada exclusivamente por la declaración unilateral de la entidad bancaria, pues en el origen del mismo se encuentra siempre un contrato suscrito por las partes e intervenido por fedatario que hace fe de la existencia de la relación jurídica y de sus características esenciales.</w:t>
      </w:r>
    </w:p>
    <w:p w:rsidR="00FE0907" w:rsidRDefault="00FE0907" w:rsidP="00FE0907">
      <w:pPr>
        <w:pStyle w:val="TextoNormal"/>
      </w:pPr>
      <w:r>
        <w:t>Por si tal garantía apareciera insuficiente para acreditar una apariencia de buen derecho, el art. 1.435 L.E.C. permite un control judicial del título y la posibilidad de con- tar con el imprescindible auxilio técnico, pues, "debido a una enmienda parlamentaria dirigida a reforzar la posición jurídica del deudor, evitando que la determinación del saldo quede al sólo arbitrio de la entidad acreedora, la certificación de lo adeudado, que esta última expide, debe constar en documento fehaciente.  Y en todo caso deben quedar acreditados ante el Juez dos extremos importantes: que la liquidación haya sido practicada en la forma pactada por las partes en el título ejecutivo y que el saldo coincide con el que aparece en la cuenta abierta al deudor".</w:t>
      </w:r>
    </w:p>
    <w:p w:rsidR="00FE0907" w:rsidRDefault="00FE0907" w:rsidP="00FE0907">
      <w:pPr>
        <w:pStyle w:val="TextoNormal"/>
      </w:pPr>
      <w:r>
        <w:t xml:space="preserve">A la vista de lo que se ha puesto de manifiesto, y siguiendo la doctrina sentada por este Tribunal en la Sentencia referida, se puede concluir que el art. 1.435 de la L.E.C.  no sólo </w:t>
      </w:r>
      <w:r>
        <w:lastRenderedPageBreak/>
        <w:t>no contiene un privilegio exento de justificación para las entidades bancarias, sino que establece garantías legales y judiciales suficientes que evitan la indefensión del deudor en el proceso de creación y control del título ejecutivo.</w:t>
      </w:r>
    </w:p>
    <w:p w:rsidR="00FE0907" w:rsidRDefault="00FE0907" w:rsidP="00FE0907">
      <w:pPr>
        <w:pStyle w:val="TextoNormal"/>
      </w:pPr>
    </w:p>
    <w:p w:rsidR="00FE0907" w:rsidRDefault="00FE0907" w:rsidP="00FE0907">
      <w:pPr>
        <w:pStyle w:val="TextoNormal"/>
      </w:pPr>
      <w:r w:rsidRPr="00FE0907">
        <w:rPr>
          <w:rStyle w:val="NumeroAFNegritaCaracter"/>
        </w:rPr>
        <w:t>4</w:t>
      </w:r>
      <w:r>
        <w:t>. En el caso ahora enjuiciado resulta además de las actuaciones que la entidad bancaria acompañó, junto con su escrito de demanda, la póliza de préstamo conteniendo una cláusula 9ª en la que se pacta expresamente por las partes que la liquidación para determinar la deuda ejecutivamente reclamable, en caso de impago de la suma debida, se practicará por el Banco, el cual expedirá certificación que recoja el saldo que pre sente la cuenta el día del cierre, y que bastará para el ejercicio de la acción ejecutiva la presentación de esta póliza junto con los demás documentos a que se refiere el art.  1.429,6º de la L.E.C.  Igualmente se presentó con la demanda certificación del saldo expedido por la entidad bancaria, de la librada por Corredor de Comercio colegiado acreditativa de la coincidencia de la póliza con el asiento de su Libro de Registro, extracto de los movimientos de la cuenta corriente de crédito y actas notariales, de 13 de noviembre de 1986 y 13 de febrero de 1987, notificando a los deudores el vencimiento del mismo y el saldo resultante.</w:t>
      </w:r>
    </w:p>
    <w:p w:rsidR="00FE0907" w:rsidRDefault="00FE0907" w:rsidP="00FE0907">
      <w:pPr>
        <w:pStyle w:val="TextoNormal"/>
      </w:pPr>
      <w:r>
        <w:t>Notificado el auto judicial que ordenaba despachar ejecución, la demandada se opuso a la acción ejecutiva alegando la nulidad prevista en el núm. 1 del art.  1.67 de la L.E.C., se practicaron pruebas de confesión judicial y documental a propuesta de ambas partes y, en fin, se dictó Sentencia estimando la demanda que fue recurrida en apelación y confirmada por la Audiencia Territorial.  En consecuencia, ni en el proceso de creación y liquidación del título, ni en el procedimiento judicial seguido con posterioridad se vislumbra merma alguna en el derecho de defensa de la recurrente.  De aquí que la demanda deba ser desestimada.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1" w:name="SENTENCIA_1992_48"/>
      <w:r>
        <w:lastRenderedPageBreak/>
        <w:t>SENTENCIA 48/1992, de 2 de abril de 1992</w:t>
      </w:r>
    </w:p>
    <w:bookmarkEnd w:id="51"/>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ECLI:ES:TC:1992:48</w:t>
      </w:r>
    </w:p>
    <w:p w:rsidR="00FE0907" w:rsidRDefault="00FE0907" w:rsidP="00FE0907">
      <w:pPr>
        <w:pStyle w:val="SntesisDescriptiva"/>
      </w:pPr>
    </w:p>
    <w:p w:rsidR="00FE0907" w:rsidRDefault="00FE0907" w:rsidP="00FE0907">
      <w:pPr>
        <w:pStyle w:val="SntesisDescriptiva"/>
      </w:pPr>
      <w:r>
        <w:t>Recurso de amparo 1.633/1988 467/1989 (acumulados). Contra Sentencias de la Sala Quinta y Tercera del Tribunal Supremo, relativas a retribuciones de profesorado universitario en aplicación del Real Decreto 989/1986.</w:t>
      </w:r>
    </w:p>
    <w:p w:rsidR="00FE0907" w:rsidRDefault="00FE0907" w:rsidP="00FE0907">
      <w:pPr>
        <w:pStyle w:val="SntesisDescriptiva"/>
      </w:pPr>
    </w:p>
    <w:p w:rsidR="00FE0907" w:rsidRDefault="00FE0907" w:rsidP="00FE0907">
      <w:pPr>
        <w:pStyle w:val="SntesisAnaltica"/>
      </w:pPr>
      <w:r>
        <w:t>Supuesta vulneración del derecho fundamental a la igualdad: diferencia de trato normativo de situaciones funcionariales diversas</w:t>
      </w:r>
    </w:p>
    <w:p w:rsidR="00FE0907" w:rsidRDefault="00FE0907" w:rsidP="00FE0907">
      <w:pPr>
        <w:pStyle w:val="SntesisAnaltica"/>
      </w:pPr>
    </w:p>
    <w:p w:rsidR="00FE0907" w:rsidRDefault="00FE0907" w:rsidP="00FE0907">
      <w:pPr>
        <w:pStyle w:val="Extracto"/>
      </w:pPr>
      <w:r>
        <w:t>1.</w:t>
      </w:r>
      <w:r>
        <w:tab/>
        <w:t>No hay norma alguna, ni siquiera el art. 14 de la Norma fundamental, en virtud de la cual todas las categorías de funcionarios con igual titulación y al servicio de las diversas Administraciones públicas hayan de tener asignada una misma retribución, porque la unidad del título, por sí sola, no asegura la identidad de circunstancias ni es el único elemento que el legislador o la Administración pueden tomar en consideración, quienes, por el contrario, pueden ponderar otros criterios objetivos de organización [F.J. 2].</w:t>
      </w:r>
    </w:p>
    <w:p w:rsidR="00FE0907" w:rsidRDefault="00FE0907" w:rsidP="00FE0907">
      <w:pPr>
        <w:pStyle w:val="Extracto"/>
      </w:pPr>
    </w:p>
    <w:p w:rsidR="00FE0907" w:rsidRDefault="00FE0907" w:rsidP="00FE0907">
      <w:pPr>
        <w:pStyle w:val="Extracto"/>
      </w:pPr>
      <w:r>
        <w:t>2.</w:t>
      </w:r>
      <w:r>
        <w:tab/>
        <w:t>No puede existir discriminación en la norma cuando se comparan situaciones jurídicas desiguales, como son las que derivan de la función pública docente en relación con otros colectivos de funcionarios; sin que, por otro lado, exista un mandato del legislador de igualación o equiparación de situaciones de hecho distintas, puesto que el art. 24 de la Ley 30/1984, sólo determina que sean iguales las cuantías de las retribuciones básicas en todas las Administraciones públicas para cada uno de los Cuerpos, Escalas, Categorías o Clases de funcionarios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José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los recursos de amparo acumulados núms. 1.633/88 y 467/89, interpuestos, respectivamente, por don Rafael Pérez Cordón, Don Jacinto Carmelo Rivera de Rosales Chacón, doña María Victoria Peinado de Diego y doña María del Carmen Colmenar Orzaes, representados por el Procurador de los Tribunales don José María Abad Tundidor y asistidos </w:t>
      </w:r>
      <w:r>
        <w:lastRenderedPageBreak/>
        <w:t>del Letrado don José Garrido Palacios, y por la "Asociación Madrileña de Profesores Contratados de Universidad", representada también por el mencionado Procurador de los Tribunales y asistida por idéntico Letrado, contra las Sentencias de la Sala Quinta del Tribunal Supremo, de 12 de julio de 1988, y de la Sala Tercera del mismo Tribunal, de 31 de enero de 1989, relativas a retribuciones de profesorado universitario en aplicación del Real Decreto 989/1986, de 23 de mayo. Han intervenido el Ministerio Fiscal y el Abogado del Estado, y ha sido Magistrado Ponente don Francisco Tomás y Valiente, Presidente,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el 15 de octubre de 1988, don José María Abad Tundidor, Procurador de los Tribunales y de don Rafael Pérez Cordón y otros, interpone recurso de amparo contra la Sentencia de la Sala Quinta del Tribunal Supremo, de 12 de julio de 1988, que desestima, en única instancia, el recurso contencioso-administrativo formulado sobre impugnación de la denegación presunta, por silencio administrativo, del recurso de reposición contra el Real Decreto 989/1986, de 23 de mayo (BOE de 24,) sobre retribuciones del profesorado universitario.</w:t>
      </w:r>
    </w:p>
    <w:p w:rsidR="00FE0907" w:rsidRDefault="00FE0907" w:rsidP="00FE0907">
      <w:pPr>
        <w:pStyle w:val="TextoNormal"/>
      </w:pPr>
    </w:p>
    <w:p w:rsidR="00FE0907" w:rsidRDefault="00FE0907" w:rsidP="00FE0907">
      <w:pPr>
        <w:pStyle w:val="TextoNormal"/>
      </w:pPr>
      <w:r w:rsidRPr="00FE0907">
        <w:rPr>
          <w:rStyle w:val="NumeroAFNegritaCaracter"/>
        </w:rPr>
        <w:t>2</w:t>
      </w:r>
      <w:r>
        <w:t>. Los recurrentes impugnan la supuesta discriminación que introduce el art. 4 (y el 5) del Real Decreto 989/1986, sobre retribuciones del personal docente universitario, en lo que se refiere al profesorado contratado e interino, que la Sentencia recurrida consagra al rechazar el recurso contencioso-administrativo interpuesto. Esta supuesta discriminación, que a su juicio conculca el art. 14 de la Constitución, radica en lo siguiente: mientras que para los funcionarios contratados e interinos de la Administración del Estado, en general, las Leyes de Presupuestos para 1985, 1986 y 1987 atribuyen el 80 por 100 de las retribuciones básicas y el 100 por 100 de las complementarias asignadas a los funcionarios de carrera, el citado Real Decreto atribuye al profesorado universitario estatal contratado e interino el 80 por 100 de las retribuciones tanto básicas como complementarias, que corresponden a los profesores de carrera. El término de comparación que se utiliza es, pues, el de las retribuciones de unos y otros funcionarios contratados e interinos. Para los recurrentes, estas retribuciones no pueden ser porcentualmente inferiores en el caso de las docentes, puesto que el art. 24 de la Ley de Medidas para la Reforma de la Función Pública, Ley 30/1984, de 2 de agosto, dispone que las cuantías de las retribuciones básicas serán iguales en todas las Administraciones públicas. Por ello, solicitan la anulación de la Sentencia impugnada y del Real Decreto 989/1986, en lo que se refiere a la diferencia de régimen retributivo que introduce entre el personal contratado e interino que presta sus servicios en la Universidad y al de idéntica condición que presta sus servicios en otras Administraciones públicas.</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21 de noviembre de 1988, la entonces Sección Tercera acordó, a tenor de lo dispuesto en el art. 50.3 de la Ley Orgánica del Tribunal Constitucional (en adelante, LOTC), conceder un plazo común de diez días al Ministerio Fiscal y a los solicitantes de amparo para que alegasen lo que estimaran conveniente en relación con la posible falta de contenido constitucional de la demanda (art. 50.1 c] de la LOTC).</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xml:space="preserve">. El Ministerio Fiscal interesó de este Tribunal que inadmitiera la demanda por ser "manifiesta" la concurrencia del motivo de inadmisión precitado. </w:t>
      </w:r>
    </w:p>
    <w:p w:rsidR="00FE0907" w:rsidRDefault="00FE0907" w:rsidP="00FE0907">
      <w:pPr>
        <w:pStyle w:val="TextoNormal"/>
      </w:pPr>
      <w:r>
        <w:t xml:space="preserve">A su juicio, la demanda adolece de confusión, pues no resuelve si estamos ante un amparo de los dispuestos en el art. 43 o en el art. 44 de la LOTC, debiendo entenderse que, en realidad, el recurso se dirige contra el Decreto que fue objeto del proceso contencioso-administrativo previo, como se hace evidente cuando se cae en la cuenta de que se pide también la nulidad de éste y no sólo la de la Sentencia. </w:t>
      </w:r>
    </w:p>
    <w:p w:rsidR="00FE0907" w:rsidRDefault="00FE0907" w:rsidP="00FE0907">
      <w:pPr>
        <w:pStyle w:val="TextoNormal"/>
      </w:pPr>
      <w:r>
        <w:t>En consecuencia, el objeto del amparo consiste en si el art. 4 de dicho Decreto vulnera la igualdad ex art. 14 de la Constitución por establecer un sistema de remuneración de los funcionarios docentes interinos y contratados administrativos que no se acomoda al de los funcionarios públicos en general, según lo dispuesto en distintas Leyes de Presupuestos y en la Ley 30/1984, arts. 23 y 24. Frente a este alegato, el Tribunal Supremo tuvo en cuenta que la propia Ley 30/1984, en su art. 1.2, permite que se dicten normas específicas para el personal docente e investigador, dadas las peculiaridades del mismo, y estimó que no era exigible en derecho la igualdad de trato que se reclamaba por los interinos docentes. Este juicio razonado emitido por ese alto Tribunal no puede ser combatido en sede constitucional, pues, se reconduce, realmente, a un problema de legalidad cual es el alcance de una Ley, ya que desde el punto de vista de la igualdad es patente que existe una razón objetiva que permite justificar la diversidad de trato.</w:t>
      </w:r>
    </w:p>
    <w:p w:rsidR="00FE0907" w:rsidRDefault="00FE0907" w:rsidP="00FE0907">
      <w:pPr>
        <w:pStyle w:val="TextoNormal"/>
      </w:pPr>
    </w:p>
    <w:p w:rsidR="00FE0907" w:rsidRDefault="00FE0907" w:rsidP="00FE0907">
      <w:pPr>
        <w:pStyle w:val="TextoNormal"/>
      </w:pPr>
      <w:r w:rsidRPr="00FE0907">
        <w:rPr>
          <w:rStyle w:val="NumeroAFNegritaCaracter"/>
        </w:rPr>
        <w:t>5</w:t>
      </w:r>
      <w:r>
        <w:t>. Los recurrentes, por su parte, insistieron en las alegaciones ya formuladas en la demanda y pidieron la admisión a trámite de la demanda. Significativamente, se dice que lo que se plantea en el recurso es que no se encuentra "una razón que justifique la desigualdad de trato que el art. 4 del Real Decreto 989/1986" introduce entre profesores universitarios contratados administrativos e interinos y "el resto de los funcionarios públicos", pues los primeros reciben sólo el 80 por 100 de sus retribuciones complementarias; a la par que se denuncia tal injusticia y la reiterada remisión a las peculiaridades de la docencia como "excusa del poder ejecutivo".</w:t>
      </w:r>
    </w:p>
    <w:p w:rsidR="00FE0907" w:rsidRDefault="00FE0907" w:rsidP="00FE0907">
      <w:pPr>
        <w:pStyle w:val="TextoNormal"/>
      </w:pPr>
    </w:p>
    <w:p w:rsidR="00FE0907" w:rsidRDefault="00FE0907" w:rsidP="00FE0907">
      <w:pPr>
        <w:pStyle w:val="TextoNormal"/>
      </w:pPr>
      <w:r w:rsidRPr="00FE0907">
        <w:rPr>
          <w:rStyle w:val="NumeroAFNegritaCaracter"/>
        </w:rPr>
        <w:t>6</w:t>
      </w:r>
      <w:r>
        <w:t>. La Sección Tercera, en providencia de 23 de febrero de 1989, acordó: admitir a trámite la demanda; de acuerdo con el art. 51 de la LOTC, requerir atentamente a la Sala de procedencia el envío de las actuaciones e interesar que emplazara a quienes fueron partes en el proceso ordinario, para que comparecieran, si así lo deseaban,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7</w:t>
      </w:r>
      <w:r>
        <w:t>. Por escrito presentado en el Juzgado de Guardia el 13 de marzo de 1989 y que tuvo entrada en este Tribunal el día 14 siguiente, don José María Abad Tundidor, Procurador de los Tribunales y de la "Asociación Madrileña de Profesores Contratados de Universidad", interpone recurso de amparo contra la Sentencia de la Sala Tercera del Tribunal Supremo, de 31 de enero de 1989, por la que se desestima, en única instancia, el recurso contencioso-administrativo formulado contra los arts. 4 y 5 del Real Decreto 989/1986, de 23 de marzo, sobre retribuciones de profesorado universitario.</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La Asociación recurrente impugna los arts. 4 y 5 del Real Decreto 989/1986, de 23 de mayo, por considerarlos contrarios al principio de igualdad ante la ley reconocido en el art. 14 C.E. Dichos preceptos reglamentarios establecen que las retribuciones del personal docente universitario contratado e interino serán las correspondientes al 80 por 100 de los </w:t>
      </w:r>
      <w:r>
        <w:lastRenderedPageBreak/>
        <w:t xml:space="preserve">funcionarios de la carrera de categoría equivalente, tanto por lo que se refiere a las retribuciones básicas como a las complementarias. El término de comparación en que se funda la supuesta discriminación sufrida por aquel colectivo de contratados e interinos viene constituído por el resto de los funcionarios contratados e interinos al servicio de la Administración del Estado. Para éstos, las sucesivas Leyes de Presupuestos preven unas retribuciones del 80 por 100 de las básicas asignadas a los funcionarios de carrera, pero del 100 por 100 en cuanto a las retribuciones complementarias. Para la Asociación recurrente, no existe justificación alguna de la desigualdad creada por el Decreto impugnado, según el cual los contratados docentes universitarios perciben un 20 por 100 menos de las retribuciones complementarias asignadas a los funcionarios de carrera equivalentes, que el resto de los contratados e interinos. Considera la asociación actora que esta desigualdad es contraria a la Ley 30/1984, de Medidas para la Reforma de la Función Pública, que, si bien prevé la adaptación de su normativa a las peculiaridades del profesorado universitario, no tolera una discriminación semejante, máxime cuando su art. 25 prescribe que las retribuciones básicas serán iguales en todas las Administraciones. </w:t>
      </w:r>
    </w:p>
    <w:p w:rsidR="00FE0907" w:rsidRDefault="00FE0907" w:rsidP="00FE0907">
      <w:pPr>
        <w:pStyle w:val="TextoNormal"/>
      </w:pPr>
      <w:r>
        <w:t>Por otrosí, en la demanda se solicita la acumulación de este recurso de amparo al registrado con el núm. 1.633/88.</w:t>
      </w:r>
    </w:p>
    <w:p w:rsidR="00FE0907" w:rsidRDefault="00FE0907" w:rsidP="00FE0907">
      <w:pPr>
        <w:pStyle w:val="TextoNormal"/>
      </w:pPr>
    </w:p>
    <w:p w:rsidR="00FE0907" w:rsidRDefault="00FE0907" w:rsidP="00FE0907">
      <w:pPr>
        <w:pStyle w:val="TextoNormal"/>
      </w:pPr>
      <w:r w:rsidRPr="00FE0907">
        <w:rPr>
          <w:rStyle w:val="NumeroAFNegritaCaracter"/>
        </w:rPr>
        <w:t>9</w:t>
      </w:r>
      <w:r>
        <w:t>. En sendas providencias de fecha 8 de mayo de 1989, la Sección Primera dispuso: admitir a trámite la demanda; a tenor de lo dispuesto en el art. 51 de la LOTC, requerir atentamente a la Sala de procedencia para que remitiese las actuaciones y, a la par, emplazara a quienes fueron parte en el proceso ordinario, por si deseaban comparecer en este proceso constitucional; conceder un plazo común de diez días al Ministerio Fiscal, al Abogado del Estado y a los recurrentes, para que alegasen lo que estimaran pertinente en relación con la acumulación que se solicitaba, según establece el art. 83 de la LOTC. El Abogado del Estado solicitó, en escritos de 18 de mayo de 1989, que se le tuviera por personado y se entendieran con él las actuaciones sucesivas. Una vez oídas las partes, la Sección acordó la acumulación del recurso núm. 467/89 al 1.633/88 mediante Auto de 5 de junio de 1989.</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26 de junio de 1989, la Sección Primera acordó tener por recibidas las actuaciones y, de acuerdo con el art. 52 de la LOTC, conceder en los presentes recursos ya acumulados un plazo común de alegaciones de veinte días al Ministerio Fiscal, el Abogado del Estado y los recurrentes.</w:t>
      </w:r>
    </w:p>
    <w:p w:rsidR="00FE0907" w:rsidRDefault="00FE0907" w:rsidP="00FE0907">
      <w:pPr>
        <w:pStyle w:val="TextoNormal"/>
      </w:pPr>
    </w:p>
    <w:p w:rsidR="00FE0907" w:rsidRDefault="00FE0907" w:rsidP="00FE0907">
      <w:pPr>
        <w:pStyle w:val="TextoNormal"/>
      </w:pPr>
      <w:r w:rsidRPr="00FE0907">
        <w:rPr>
          <w:rStyle w:val="NumeroAFNegritaCaracter"/>
        </w:rPr>
        <w:t>11</w:t>
      </w:r>
      <w:r>
        <w:t>. El Procurador de los Tribunales don José María Abad Tundidor, representante de los recurrentes en ambos recursos, solicitó que se otorgara el amparo, reiterándose en lo expuesto en la demanda, sin formular alegación alguna.</w:t>
      </w:r>
    </w:p>
    <w:p w:rsidR="00FE0907" w:rsidRDefault="00FE0907" w:rsidP="00FE0907">
      <w:pPr>
        <w:pStyle w:val="TextoNormal"/>
      </w:pPr>
    </w:p>
    <w:p w:rsidR="00FE0907" w:rsidRDefault="00FE0907" w:rsidP="00FE0907">
      <w:pPr>
        <w:pStyle w:val="TextoNormal"/>
      </w:pPr>
      <w:r w:rsidRPr="00FE0907">
        <w:rPr>
          <w:rStyle w:val="NumeroAFNegritaCaracter"/>
        </w:rPr>
        <w:t>12</w:t>
      </w:r>
      <w:r>
        <w:t xml:space="preserve">. El Abogado del Estado, por su parte, instó de este Tribunal que dictara Sentencia denegando el amparo, en virtud de los siguientes razonamientos. </w:t>
      </w:r>
    </w:p>
    <w:p w:rsidR="00FE0907" w:rsidRDefault="00FE0907" w:rsidP="00FE0907">
      <w:pPr>
        <w:pStyle w:val="TextoNormal"/>
      </w:pPr>
      <w:r>
        <w:t xml:space="preserve">No puede ofrecerse como término de comparación, del que resulte la inconstitucional desigualdad denunciada, el resto de los funcionarios o el resto del personal interino y contratado de toda la Administración Pública, ni existe un mandato igualitario en nuestro ordenamiento que impida un trato diferenciado del personal docente interino y contratado respecto del resto del personal al servicio de las Administraciones públicas. </w:t>
      </w:r>
    </w:p>
    <w:p w:rsidR="00FE0907" w:rsidRDefault="00FE0907" w:rsidP="00FE0907">
      <w:pPr>
        <w:pStyle w:val="TextoNormal"/>
      </w:pPr>
      <w:r>
        <w:lastRenderedPageBreak/>
        <w:t xml:space="preserve">Así existe un trato diferenciado en los arts. 33 y ss de la Ley de Reforma Universitaria, Ley Orgánica 11/1983, de 23 de agosto, en relación con los demás sectores de la función pública; debiendo destacarse la normal existencia de diversas modalidades de contratación administrativa temporal, que es una figura prohibida en el régimen general de la función pública. A la par, el art. 1.2 de la Ley 30/1984 permite que se dicten normas específicas para "adecuarla a las peculiaridades del personal docente e investigador"; y en la Disposición adicional cuarta de dicha Ley se prohibe para el futuro la realización de contratos de colaboración temporal en régimen de derecho administrativo y sólo se permiten contratos para trabajos específicos y concretos, es decir, no habituales. </w:t>
      </w:r>
    </w:p>
    <w:p w:rsidR="00FE0907" w:rsidRDefault="00FE0907" w:rsidP="00FE0907">
      <w:pPr>
        <w:pStyle w:val="TextoNormal"/>
      </w:pPr>
      <w:r>
        <w:t xml:space="preserve">La Ley 50/1984, de 30 de diciembre, de Presupuestos Generales del Estado para 1985, que citan los recurrentes, no aplicó todavía los nuevos conceptos dimanantes de la Ley 30/1984, manteniendo la situación anterior de acuerdo con su Disposición final novena. Agotados sus efectos, en la Ley 46/1985, de 27 de diciembre, de Presupuestos Generales para 1986, que también citan los recurrentes, ya comenzó la aplicación de la reforma, aunque contiene una Disposición Final Undécima que faculta al Gobierno para adecuar las retribuciones del profesorado universitario funcionario y contratado al nuevo régimen. Otro tanto ocurre en Leyes de Presupuestos posteriores. Es claro, pues, la inexistencia de un mandato igualitario en el ordenamiento jurídico. </w:t>
      </w:r>
    </w:p>
    <w:p w:rsidR="00FE0907" w:rsidRDefault="00FE0907" w:rsidP="00FE0907">
      <w:pPr>
        <w:pStyle w:val="TextoNormal"/>
      </w:pPr>
      <w:r>
        <w:t>Lo expuesto resulta bastante para negar la procedencia de la comparación que se efectúa, pero pueden hacerse aún otras consideraciones sobre las peculiaridades de estos funcionarios docentes. Existe una carrera administrativa universitaria muy reforzada y una gran autonomía de las Universidades a la hora de la contratación, y tanto la contratación como los nombramientos interinos son "fases previas a los peldaños superiores de esta singular y calificada carrera administrativa". Todo ello hace que la cuestión sea bien distinta en el ámbito docente universitario que en el resto de la Administración, porque en ésta los contratados "están hoy simplemente prohibidos" y los interinos "son supuestos muy excepcionales sujetos a requisitos rigurosos", que no se exigen en la esfera universitaria. En suma, es totalmente razonable una diferenciación retributiva, en un porcentaje no excesivo y sobre las retribuciones complementarias, y no puede entenderse que exista violación alguna del derecho a la igualdad.</w:t>
      </w:r>
    </w:p>
    <w:p w:rsidR="00FE0907" w:rsidRDefault="00FE0907" w:rsidP="00FE0907">
      <w:pPr>
        <w:pStyle w:val="TextoNormal"/>
      </w:pPr>
    </w:p>
    <w:p w:rsidR="00FE0907" w:rsidRDefault="00FE0907" w:rsidP="00FE0907">
      <w:pPr>
        <w:pStyle w:val="TextoNormal"/>
      </w:pPr>
      <w:r w:rsidRPr="00FE0907">
        <w:rPr>
          <w:rStyle w:val="NumeroAFNegritaCaracter"/>
        </w:rPr>
        <w:t>13</w:t>
      </w:r>
      <w:r>
        <w:t xml:space="preserve">. El Ministerio Fiscal considera que debe otorgarse por Sentencia el amparo que se insta, pese al dictamen contrario y favorable a la inadmisión expuesto en su día en el primero de los recursos de amparo acumulados y expresado en trámite del art. 50.3 de la LOTC. (vease infra, antecedente 4). </w:t>
      </w:r>
    </w:p>
    <w:p w:rsidR="00FE0907" w:rsidRDefault="00FE0907" w:rsidP="00FE0907">
      <w:pPr>
        <w:pStyle w:val="TextoNormal"/>
      </w:pPr>
      <w:r>
        <w:t>Tras precisar, de nuevo, que nos encontramos ante un recurso de los previstos en el art. 43 de la LOTC y reseñar el objeto del amparo, se resalta que la comparación no se hace en la demanda con los profesores titulares -intento que ya ha sido rechazado por este Tribunal en el recurso núm. 471/89- sino entre funcionarios en general y profesores universitarios que en ambos casos no sean titulares. Según los demandantes, no hay explicación para esa diferencia de trato económico y esto infringe el art. 14 de la Constitución. Esa argumentación se refuerza con otra de legalidad: el Decreto discutido está en contra de lo dispuesto en la Ley 30/1984. Señala el Ministerio Fiscal que en el anterior dictamen no se tuvo en cuenta más que este último argumento de legalidad -el ámbito de aplicación de una Ley-, pero la cuestión es distinta desde la perspectiva de la igualdad y a la luz de las actuaciones. El problema no es la "especialidad del personal docente", sino el distinto régimen retributivo de los profesores universitarios interinos respecto de otros funcionarios igualmente interinos. Y ahí la especialidad de aquéllos no permite deducir que la interinidad sea dis</w:t>
      </w:r>
      <w:r>
        <w:lastRenderedPageBreak/>
        <w:t>tinta en uno y otro supuesto, aunque se reconoce ignora si esa diferencia puede aparecer justificada en los antecedentes del Decreto. Pero, en todo caso, constatada la desigualdad, "que es lo que debe acreditar quien la alega", corresponde a la Administración "la prueba del fundamento o justificación de la misma" (STC 103/1983).</w:t>
      </w:r>
    </w:p>
    <w:p w:rsidR="00FE0907" w:rsidRDefault="00FE0907" w:rsidP="00FE0907">
      <w:pPr>
        <w:pStyle w:val="TextoNormal"/>
      </w:pPr>
    </w:p>
    <w:p w:rsidR="00FE0907" w:rsidRDefault="00FE0907" w:rsidP="00FE0907">
      <w:pPr>
        <w:pStyle w:val="TextoNormal"/>
      </w:pPr>
      <w:r w:rsidRPr="00FE0907">
        <w:rPr>
          <w:rStyle w:val="NumeroAFNegritaCaracter"/>
        </w:rPr>
        <w:t>14</w:t>
      </w:r>
      <w:r>
        <w:t>. Por providencia de 30 de marzo de 1992, se señaló el día 2 de abril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primera de las demandas presentadas (recurso de amparo núm.  1.633/88) adolece de una cierta confusión en el planteamiento impugnatorio, pues dice recurrir la Sentencia dictada por la Sala Quinta del Tribunal Supremo, aunque realmente -según se desprende de las argumentaciones efectuadas- resulte meridiano que se pretende discutir en sede constitucional la supuesta discriminación que, a juicio de los recurrentes, introduce el art. 4 del Real Decreto 989/86, de 23 de mayo, sobre retribuciones del profesorado universitario; no obstante, cabe dudar en alguna medida de si nos encontramos ante un supuesto de amparo de los previstos en el art. 43 o en el art. 44 de la LOTC. La duda se desvanece a la luz de la demanda del segundo de los recursos de amparo acumulados (núm. 467/89), presentada también por el mismo Letrado, donde es evidente en función de los hechos que sustancialmente se impugna, por discriminatorio, el art. 4 del citado Real Decreto, dado que fue objeto de impugnación directa en el proceso contencioso-administrativo previo al constitucional. En este precepto reglamentario, apartado 1º, se establece que: "con efectos de 1 de enero de 1986, las retribuciones del personal que presta servicio en las Universidades en régimen de dedicación a tiempo completo como funcionario de empleo interino o contratado en régimen de derecho administrativo asimilado a funcionario de Cuerpo docente universitario, se fijan en el 80 por 100 de todas las retribuciones a que se refiere el art.  2.1 del presente Real Decreto..."; y en ese art. 2.1 se regulan las retribuciones complementarias; en suma, se establecen para esta clase de personal unas retribuciones equivalentes al 80 por 100 de las retribuciones complementarias asignadas a los funcionarios de carrera.  La queja que se deduce en ambas demandas consiste en entender que tal previsión normativa configura una inconstitucional situación de discriminación lesiva del art. 14 de la Norma fundamental.</w:t>
      </w:r>
    </w:p>
    <w:p w:rsidR="00FE0907" w:rsidRDefault="00FE0907" w:rsidP="00FE0907">
      <w:pPr>
        <w:pStyle w:val="TextoNormal"/>
      </w:pPr>
      <w:r>
        <w:t>Resta por señalar que tanto en el proceso contencioso-administrativo ordinario como en este constitucional se denuncia, además, la transgresión por el Decreto discutido de lo dispuesto en la Ley de Medidas para la Reforma de la Función Pública (Ley 30/1984, de 2 de agosto, art. 24), y de lo establecido en sucesivas Leyes de Presupuestos Generales del Estado. Mas es evidente que tales argumentaciones de estricta legalidad no pueden ser enjuiciadas en vía de amparo constitucional y que, por tanto, el objeto de estos recursos debe quedar circunscrito a la pretendida lesión del derecho fundamental a la igualdad ex art. 14 de la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Sentado el objeto de la controversia, de nuevo en el primero de los recursos se muestra cierta confusión a la hora de singularizar el término de comparación que se ofrece para hacer evidente la situación de discriminación que se denuncia; así, p.  ej., en el trámite de alegaciones del art. 52 de la LOTC, se habla "del resto de los funcionarios". Sin embargo, esta cuestión acaba por aclararse en la segunda demanda de amparo, de suerte que -como </w:t>
      </w:r>
      <w:r>
        <w:lastRenderedPageBreak/>
        <w:t>admiten el Abogado del Estado y el Ministerio público de forma coincidente- dicho término de comparación resulta ser el resto de los funcionarios contratados e interinos al servicio de la Administración del Estado, frente a los recurrentes que son profesores universitarios interinos o contratados en régimen de derecho administrativo; a la misma conclusión se llega mediante la lectura de las Sentencias recaídas en la vía previa al amparo. Y la diferencia de trato normativo que se estima configura la situación inconstitucional de discriminación radica -como ya se ha dicho- en que los recurrentes, a diferencia de aquéllos, perciban sólo el 80 por 100 de sus retribuciones complementarias.</w:t>
      </w:r>
    </w:p>
    <w:p w:rsidR="00FE0907" w:rsidRDefault="00FE0907" w:rsidP="00FE0907">
      <w:pPr>
        <w:pStyle w:val="TextoNormal"/>
      </w:pPr>
      <w:r>
        <w:t>Así precisados los términos del litigio que incumbe resolver a esta Sala, no es ocioso recordar lo siguiente.  Desde la STC 7/1984 (fundamento jurídico 2º), este Tribunal ha venido sosteniendo que la discriminación entre estructuras que son creación del Derecho, cuales son los Cuerpos y, hay que entender que en general las situaciones funcionariales, de existir, resultará sólo del hecho de que la Administración aplique criterios de diferenciación que no resulten objetivos ni generales.  De manera que la simple constatación de la diferencia retributiva entre funcionarios de dos Cuerpos, o en este caso, entre funcionarios interinos o contratados que prestan sus servicios en distintos campos de las Administraciones públicas,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de la Constitución (en un sentido análogo, STC 77/1990, fundamento jurídico 3º).  No hay norma alguna, ni siquiera el citado art.  14 de la Norma fundamental, en virtud de la cual todas las categorías de funcionarios con igual titulación y al servicio de las diversas Administraciones públicas hayan de tener asignada una misma retribución, porque la unidad del título, por sí sola, no asegura la identidad de circunstancias ni es el único elemento que el legislador o la Administración pueden tomar en consideración, quienes, por el contrario, pueden ponderar otros criterios objetivos de organización (STC 99/1984, F.J. 2º, entre otras múltiples resoluciones).</w:t>
      </w:r>
    </w:p>
    <w:p w:rsidR="00FE0907" w:rsidRDefault="00FE0907" w:rsidP="00FE0907">
      <w:pPr>
        <w:pStyle w:val="TextoNormal"/>
      </w:pPr>
    </w:p>
    <w:p w:rsidR="00FE0907" w:rsidRDefault="00FE0907" w:rsidP="00FE0907">
      <w:pPr>
        <w:pStyle w:val="TextoNormal"/>
      </w:pPr>
      <w:r w:rsidRPr="00FE0907">
        <w:rPr>
          <w:rStyle w:val="NumeroAFNegritaCaracter"/>
        </w:rPr>
        <w:t>3</w:t>
      </w:r>
      <w:r>
        <w:t>. Partiendo de este criterio orientativo sobre el alcance del derecho fundamental a la igualdad en esta materia, deben acabar por admitirse las alegaciones expuestas por el Abogado del Estado, a quien corresponde la defensa de la legalidad impugnada cuando se denuncia la existencia de situaciones iguales o, mejor, aparentemente iguales y que reciben un trato normativo diverso (STC 103/1983, fundamento jurídico 5º).</w:t>
      </w:r>
    </w:p>
    <w:p w:rsidR="00FE0907" w:rsidRDefault="00FE0907" w:rsidP="00FE0907">
      <w:pPr>
        <w:pStyle w:val="TextoNormal"/>
      </w:pPr>
      <w:r>
        <w:t>De este modo, resalta el Abogado del Estado los siguientes datos de relevancia para una adecuada comprensión del problema: es normal la existencia de diversas modalidades de contratación administrativa temporal en el ámbito universitario (arts. 33 y ss de la Ley de Reforma Universitaria, Ley Orgánica 11/1983, de 25 de agosto), mientras es ésta una figura prohibida en el régimen general de la función pública (Disposición adicional cuarta de la citada Ley 30/1984); por eso no es casual que el art. 1.2 de dicha Ley 30/1984 permita que se dicten normas específicas para el personal docente, y tampoco lo es que el art. 46.1 de la Ley de Reforma Universitaria habilite al Gobierno para establecer el régimen retributivo del profesorado universitario, norma cuya constitucionalidad fue enjuiciada por este Tribunal en la STC 26/1987, fundamento jurídico 9º, donde se reconocieron además las peculiaridades del profesorado universitario como funcionarios docentes (fundamento jurídico 12.3.b]); existe actualmente una carrera administrativa universitaria muy reforzada, a la vez que las diversas Universidades gozan de gran autonomía a la hora de contratar profesorado, en cambio, en el resto de la Administración, los interinos -se dice- "son su</w:t>
      </w:r>
      <w:r>
        <w:lastRenderedPageBreak/>
        <w:t>puestos muy excepcionales sujetos a requisitos rigurosos", que no se exigen en la esfera universitaria, y los contratados en régimen de derecho administrativo "están hoy simplemente prohibidos"; por último, y con especial relevancia para el juicio que ahora se efectúa, se recuerda que en la Universidad tanto la contratación como los nombramientos interinos son "fases previas a los peldaños superiores" de la carrera docente universitaria.</w:t>
      </w:r>
    </w:p>
    <w:p w:rsidR="00FE0907" w:rsidRDefault="00FE0907" w:rsidP="00FE0907">
      <w:pPr>
        <w:pStyle w:val="TextoNormal"/>
      </w:pPr>
      <w:r>
        <w:t>A la luz de estas argumentaciones reseñadas, tal y como han sido expuestas por el Abogado del Estado, debe admitirse que estamos ante situaciones de hecho distintas y que, por ello, es imposible concluir pronunciando, en sede constitucional, un reproche a la diferencia de trato normativo discutida que, a mayor abundamiento, no es en sí misma irrazonable; de manera complementaria de esta afirmación principal, tampoco configura una diferencia retributiva excesiva o desproporcionada aquella que supone percibir un 20 por 100 menos de las retribuciones complementarias que reciben los excepcionales funcionarios contratados e interinos en el resto de la Administración pública.</w:t>
      </w:r>
    </w:p>
    <w:p w:rsidR="00FE0907" w:rsidRDefault="00FE0907" w:rsidP="00FE0907">
      <w:pPr>
        <w:pStyle w:val="TextoNormal"/>
      </w:pPr>
    </w:p>
    <w:p w:rsidR="00FE0907" w:rsidRDefault="00FE0907" w:rsidP="00FE0907">
      <w:pPr>
        <w:pStyle w:val="TextoNormal"/>
      </w:pPr>
      <w:r w:rsidRPr="00FE0907">
        <w:rPr>
          <w:rStyle w:val="NumeroAFNegritaCaracter"/>
        </w:rPr>
        <w:t>4</w:t>
      </w:r>
      <w:r>
        <w:t>. En suma, no puede existir discriminación en la norma cuando se comparan situaciones jurídicas desiguales, como son las que derivan de la función pública docente en relación con otros colectivos de funcionarios; sin que, por otro lado, exista un mandato del legislador de igualación o equiparación de situaciones de hecho distintas, puesto que el art. 24 de la Ley 30/1984, sólo determina que sean iguales las cuantías de las retribuciones básicas en todas las Administraciones públicas para cada uno de los grupos en que se clasifican los Cuerpos, Escalas, Categorías o Clases de funcionarios.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2" w:name="SENTENCIA_1992_49"/>
      <w:r>
        <w:lastRenderedPageBreak/>
        <w:t>SENTENCIA 49/1992, de 2 de abril de 1992</w:t>
      </w:r>
    </w:p>
    <w:bookmarkEnd w:id="52"/>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ECLI:ES:TC:1992:49</w:t>
      </w:r>
    </w:p>
    <w:p w:rsidR="00FE0907" w:rsidRDefault="00FE0907" w:rsidP="00FE0907">
      <w:pPr>
        <w:pStyle w:val="SntesisDescriptiva"/>
      </w:pPr>
    </w:p>
    <w:p w:rsidR="00FE0907" w:rsidRDefault="00FE0907" w:rsidP="00FE0907">
      <w:pPr>
        <w:pStyle w:val="SntesisDescriptiva"/>
      </w:pPr>
      <w:r>
        <w:t>Recurso de amparo 1.840/1988. Contra Sentencia del Tribunal Central de Trabajo que estima recurso de suplicación contra Sentencia de la Magistratura de Trabajo núm. 1 de Murcia, en autos sobre pensión de viudedad.</w:t>
      </w:r>
    </w:p>
    <w:p w:rsidR="00FE0907" w:rsidRDefault="00FE0907" w:rsidP="00FE0907">
      <w:pPr>
        <w:pStyle w:val="SntesisDescriptiva"/>
      </w:pPr>
    </w:p>
    <w:p w:rsidR="00FE0907" w:rsidRDefault="00FE0907" w:rsidP="00FE0907">
      <w:pPr>
        <w:pStyle w:val="SntesisAnaltica"/>
      </w:pPr>
      <w:r>
        <w:t>Vulneración del derecho a la tutela judicial efectiva: omisión por la Sentencia recurrida del escrito de impugnación articulado por la recurrente</w:t>
      </w:r>
    </w:p>
    <w:p w:rsidR="00FE0907" w:rsidRDefault="00FE0907" w:rsidP="00FE0907">
      <w:pPr>
        <w:pStyle w:val="SntesisAnaltica"/>
      </w:pPr>
    </w:p>
    <w:p w:rsidR="00FE0907" w:rsidRDefault="00FE0907" w:rsidP="00FE0907">
      <w:pPr>
        <w:pStyle w:val="Extracto"/>
      </w:pPr>
      <w:r>
        <w:t>1.</w:t>
      </w:r>
      <w:r>
        <w:tab/>
        <w:t>Las SSTC 75/1988, 199/1991 y 34/1992 han declarado que la exigencia de motivación suficiente es, sobre todo, una garantía esencial del justiciable mediante la cual se puede comprobar que la resolución dada al caso es consecuencia de una exigencia racional del ordenamiento y no el fruto de la arbitrariedad [F.J. 5].</w:t>
      </w:r>
    </w:p>
    <w:p w:rsidR="00FE0907" w:rsidRDefault="00FE0907" w:rsidP="00FE0907">
      <w:pPr>
        <w:pStyle w:val="Extracto"/>
      </w:pPr>
    </w:p>
    <w:p w:rsidR="00FE0907" w:rsidRDefault="00FE0907" w:rsidP="00FE0907">
      <w:pPr>
        <w:pStyle w:val="Extracto"/>
      </w:pPr>
      <w:r>
        <w:t>2.</w:t>
      </w:r>
      <w:r>
        <w:tab/>
        <w:t>Una resolución judicial que altere de modo decisivo los términos en que se desarrolla la contienda, sustrayendo a las partes el verdadero debate contradictorio propuesto por ellas, con merma de sus posibilidades y derecho de defensa y que ocasione un fallo o parte dispositiva no adecuado o ajustado sustancialmente a las recíprocas pretensiones de las partes, incurre en la vulneración del derecho a la congruencia amparado por el art. 24.1 de la Constitución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García-Món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1.840/88, promovido por doña Antonia Gómez Cifré, representada por el Procurador de los Tribunales don Tomás Cuevas Villamañán y defendida por el Letrado don Francisco Marín Fuentes, contra la Sentencia de la Sala Cuarta del Tribunal Central de Trabajo de 24 de marzo de 1988, que estimó el recurso de suplicación contra la Sentencia de la Magistratura de Trabajo núm. 1 de Murcia, en autos sobre pensión de viudedad. Ha comparecido además del Ministerio Fiscal, el Instituto Nacional de la Seguridad Social, representado por el Procurador don José Granados Weil, bajo la di</w:t>
      </w:r>
      <w:r>
        <w:lastRenderedPageBreak/>
        <w:t>rección del Letrado don Juan Manuel Saurí Manzano. Ha sido Ponente el Magistrado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17 de noviembre de 1988 tuvo entrada en este Tribunal demanda de amparo contra la resolución referida que solicitaba la nulidad de la resolución impugnada por violación de los arts. 14 y 24.1 de la Constitución. Por "otrosí" se pedía la suspensión de lo dispuesto en la resolución recurrida, dado que, de lo contrario, debido a su edad, se le causaría un perjuicio irreparable que haría perder al amparo su finalidad.</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trae origen de los siguientes antecedentes fácticos: </w:t>
      </w:r>
    </w:p>
    <w:p w:rsidR="00FE0907" w:rsidRDefault="00FE0907" w:rsidP="00FE0907">
      <w:pPr>
        <w:pStyle w:val="TextoNormal"/>
      </w:pPr>
      <w:r>
        <w:t xml:space="preserve">A) Dª. Antonia Gómez Cifré, nacida el 17 de julio de 1892 formuló reclamación de prestación de viudedad (SOVI) contra el Instituto Nacional de la Seguridad ante la Magistratura núm. 1 de Murcia, que dictó Sentencia el 28 de diciembre de 1987, por lo que estimó las pretensiones de la actora y condenó a la Entidad Gestora al pago de la pensión de viudedad en la cuantía y forma reglamentaria, con efectos de 7 de septiembre de 1985. </w:t>
      </w:r>
    </w:p>
    <w:p w:rsidR="00FE0907" w:rsidRDefault="00FE0907" w:rsidP="00FE0907">
      <w:pPr>
        <w:pStyle w:val="TextoNormal"/>
      </w:pPr>
      <w:r>
        <w:t xml:space="preserve">B) Contra la anterior Sentencia, tras el previo anuncio, se formalizó por el I.N.S.S. recurso de suplicación con fecha 5 de febrero de 1988, teniendo entrada en Magistratura el escrito interpuesto el 8 de febrero de 1988. En tal fecha se dicta providencia por la que se ordena notificar a la parte recurrida, para que en el plazo de cinco días proceda a su impugnación, si a su derecho conviniere. </w:t>
      </w:r>
    </w:p>
    <w:p w:rsidR="00FE0907" w:rsidRDefault="00FE0907" w:rsidP="00FE0907">
      <w:pPr>
        <w:pStyle w:val="TextoNormal"/>
      </w:pPr>
      <w:r>
        <w:t xml:space="preserve">C) Con fecha 20 de febrero de 1988, doña Antonia Gómez Cifré presentó escrito de impugnación, extendiéndose diligencia por el Secretario, acreditativa de su presentación en tal fecha. Mediante diligencia del mismo Secretario de la Magistratura de Trabajo núm. 1 de Murcia de fecha 23 de febrero de 1988 se hace constar la remisión al Tribunal Central de Trabajo de la pieza separada, juntamente con los autos originales, compuestos de copia de Sentencia, escrito de formalización del recurso de suplicación, el de impugnación y diligencias. </w:t>
      </w:r>
    </w:p>
    <w:p w:rsidR="00FE0907" w:rsidRDefault="00FE0907" w:rsidP="00FE0907">
      <w:pPr>
        <w:pStyle w:val="TextoNormal"/>
      </w:pPr>
      <w:r>
        <w:t xml:space="preserve">D) En el escrito de impugnación contra dicho recurso, la ahora recurrente en amparo alegó los siguientes motivos de oposición: falta de representación legal de la persona que en nombre y representación del I.N.S.S. interpone el recurso; incumplimiento de lo dispuesto en el art. 180 de la LPL (1980); y la imprescriptibilidad del derecho al reconocimiento de las prestaciones por muerte y supervivencia. </w:t>
      </w:r>
    </w:p>
    <w:p w:rsidR="00FE0907" w:rsidRDefault="00FE0907" w:rsidP="00FE0907">
      <w:pPr>
        <w:pStyle w:val="TextoNormal"/>
      </w:pPr>
      <w:r>
        <w:t>E) Por Sentencia de 24 de marzo de 1988 la Sala Cuarta del Tribunal Central de Trabajo, después de consignar en el segundo de los antecedentes de hecho que el recurso de suplicación no había sido impugnado, desestimó el recurso interpuesto y revocó la Sentencia de la Magistratura por considerar prescrito el derecho a la pensión de viudedad de la demandante.</w:t>
      </w:r>
    </w:p>
    <w:p w:rsidR="00FE0907" w:rsidRDefault="00FE0907" w:rsidP="00FE0907">
      <w:pPr>
        <w:pStyle w:val="TextoNormal"/>
      </w:pPr>
    </w:p>
    <w:p w:rsidR="00FE0907" w:rsidRDefault="00FE0907" w:rsidP="00FE0907">
      <w:pPr>
        <w:pStyle w:val="TextoNormal"/>
      </w:pPr>
      <w:r w:rsidRPr="00FE0907">
        <w:rPr>
          <w:rStyle w:val="NumeroAFNegritaCaracter"/>
        </w:rPr>
        <w:t>3</w:t>
      </w:r>
      <w:r>
        <w:t>. La demanda de amparo considera que la resolución impugnada vulnera los arts. 24.1 y 14 de la Constitución. El primero de los artículos mencionados, que garantiza el derecho a obtener la tutela judicial efectiva, sin que en ningún caso pueda producirse indefensión, se estima transgredido por varios motivos: a) por no haberse declarado firme la Sentencia del juez de instancia ante la falta de representación legal de la persona que interpuso el recurso, lo que debió hacerse ex officio al ir a corregir defectos que afectan a normas de orden público procesal, de cuyo cumplimiento deben velar los Tribunales; b) por no apre</w:t>
      </w:r>
      <w:r>
        <w:lastRenderedPageBreak/>
        <w:t xml:space="preserve">ciar como hecho obstativo a la interposición del recurso la ausencia total de inicio del pago de la prestación; c) y, muy señaladamente, por resolver el recurso ignorando la existencia de una oposición al recurso de suplicación presentada en tiempo y forma, en la que se excepcionaba la inadmisibilidad del recurso de suplicación por la concurrencia de los anteriores motivos. La vulneración del art. 14 de la Constitución se fundamenta, por su parte, en la interpretación que de la legalidad se hace en la Sentencia impugnada, en cuanto a la imprescriptibilidad de unas pensiones de viudedad y la prescriptibilidad de otras, esto es de las consolidadas pero no solicitadas con anterioridad a la Ley de 21 de junio de 1972, incurriendo así en una clara discriminación y vulneración de la igualdad de los españoles ante la ley. </w:t>
      </w:r>
    </w:p>
    <w:p w:rsidR="00FE0907" w:rsidRDefault="00FE0907" w:rsidP="00FE0907">
      <w:pPr>
        <w:pStyle w:val="TextoNormal"/>
      </w:pPr>
      <w:r>
        <w:t>Por estos motivos, la recurrente en amparo termina suplicando se declare la nulidad de actuaciones desde la fecha de presentación en la Magistratura del escrito de oposición al recurso de suplicación, y, en consecuencia, la Sentencia impugnada del TCT, mandando dictar otra en la que se admita haber sido impugnado por esta parte en tiempo y forma el recurso presentado por el supuesto representante del I.N.S.S.</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19 de diciembre de 1988 la Sección Segunda acordó tener por interpuesto el recurso de amparo y previo a decidir sobre la admisión del citado recurso, y de conformidad con lo prevenido en el art. 88 de la LOTC, requerir al Tribunal Central de Trabajo y a la Magistratura de Trabajo núm. 1 de Murcia para que en plazo de diez días, remitieran respectivamente, testimonio del recurso de suplicación núm. 1371/88 y de los autos núm. 350/86.</w:t>
      </w:r>
    </w:p>
    <w:p w:rsidR="00FE0907" w:rsidRDefault="00FE0907" w:rsidP="00FE0907">
      <w:pPr>
        <w:pStyle w:val="TextoNormal"/>
      </w:pPr>
    </w:p>
    <w:p w:rsidR="00FE0907" w:rsidRDefault="00FE0907" w:rsidP="00FE0907">
      <w:pPr>
        <w:pStyle w:val="TextoNormal"/>
      </w:pPr>
      <w:r w:rsidRPr="00FE0907">
        <w:rPr>
          <w:rStyle w:val="NumeroAFNegritaCaracter"/>
        </w:rPr>
        <w:t>5</w:t>
      </w:r>
      <w:r>
        <w:t>. Con fecha 3 de abril de 1989 la Sección acordó admitir a trámite la demanda y tener por recibidas las actuaciones remitidas por los órganos judiciales, interesándose al propio tiempo se emplazase a quienes hubieran sido parte en las mismas a excepción de la recurrente, para que en el plazo de diez días pudieran comparecer en el proceso.</w:t>
      </w:r>
    </w:p>
    <w:p w:rsidR="00FE0907" w:rsidRDefault="00FE0907" w:rsidP="00FE0907">
      <w:pPr>
        <w:pStyle w:val="TextoNormal"/>
      </w:pPr>
    </w:p>
    <w:p w:rsidR="00FE0907" w:rsidRDefault="00FE0907" w:rsidP="00FE0907">
      <w:pPr>
        <w:pStyle w:val="TextoNormal"/>
      </w:pPr>
      <w:r w:rsidRPr="00FE0907">
        <w:rPr>
          <w:rStyle w:val="NumeroAFNegritaCaracter"/>
        </w:rPr>
        <w:t>6</w:t>
      </w:r>
      <w:r>
        <w:t>. Por Auto de 8 de mayo de 1989 la Sala Primera acordó la suspensión de la ejecución de la Sentencia de la Sala Cuarta del Tribunal Central de Trabajo impugnada, porque los perjuicios que podrían derivarse de la eventual estimación del recurso serían de difícil, o incluso imposible, reparación si se consideran las circunstancias subjetivas concurrentes, dada la avanzada edad de la demandante, y por cuanto la suspensión no supone sino la continuidad en la percepción de la prestación, sin que de tal medida derive perturbación grave de los intereses generales.</w:t>
      </w:r>
    </w:p>
    <w:p w:rsidR="00FE0907" w:rsidRDefault="00FE0907" w:rsidP="00FE0907">
      <w:pPr>
        <w:pStyle w:val="TextoNormal"/>
      </w:pPr>
    </w:p>
    <w:p w:rsidR="00FE0907" w:rsidRDefault="00FE0907" w:rsidP="00FE0907">
      <w:pPr>
        <w:pStyle w:val="TextoNormal"/>
      </w:pPr>
      <w:r w:rsidRPr="00FE0907">
        <w:rPr>
          <w:rStyle w:val="NumeroAFNegritaCaracter"/>
        </w:rPr>
        <w:t>7</w:t>
      </w:r>
      <w:r>
        <w:t>. Con fecha 24 de junio de 1989 comparecen el Procurador de los Tribunales don José Granados Weil en nombre y representación del Instituto Nacional de la Seguridad Social, solicitando se le tenga por comparecido y parte.</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18 de septiembre de 1989 la Sección Segunda acordó tener por personado al Instituto Nacional de la Seguridad Social, y, en virtud de lo dispuesto en el art. 52 de la Ley Orgánica del Tribunal Constitucional, dar vista de todas las actuaciones por un plazo común de veinte días al Ministerio Fiscal y Procuradores señores Cuevas Villamañán y Granados Weil, para que alegasen lo que a su derecho conviniera.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9</w:t>
      </w:r>
      <w:r>
        <w:t xml:space="preserve">. El Ministerio Fiscal presentó las alegaciones el 2 de octubre de 1989. En ellas, después de exponer sucintamente los hechos, manifiesta, en relación con la presente violación del principio de igualdad, denunciada por la recurrente, que aun a pesar de la dimensión constitucional que pudiera tener tal vulneración, no es materia que tenga que resolverse en este recurso, toda vez que aquélla no pudo ser tenida en cuenta por la jurisdicción ordinaria que hizo caso omiso a la misma, al entender no presentado el escrito de impugnación en que se planteó, por lo que la cuestión se presentaría per saltum en esta sede. </w:t>
      </w:r>
    </w:p>
    <w:p w:rsidR="00FE0907" w:rsidRDefault="00FE0907" w:rsidP="00FE0907">
      <w:pPr>
        <w:pStyle w:val="TextoNormal"/>
      </w:pPr>
      <w:r>
        <w:t xml:space="preserve">Por lo que hace a la conculcación denunciada del art. 24.1 de la C.E. por el extravío u olvido del escrito de impugnación indica que, aunque la demanda considera constitutiva de indefensión, se está ante una resolución judicial incongruente por omisión o desconocimiento de las pretensiones de las partes. </w:t>
      </w:r>
    </w:p>
    <w:p w:rsidR="00FE0907" w:rsidRDefault="00FE0907" w:rsidP="00FE0907">
      <w:pPr>
        <w:pStyle w:val="TextoNormal"/>
      </w:pPr>
      <w:r>
        <w:t xml:space="preserve">Lo que determina la congruencia es el ajuste entre la parte dispositiva de la Sentencia y los términos en que las partes han formulado sus pretensiones y peticiones y la incongruencia la alteración de modo decisivo de los términos en que se desarrolla la contienda (SSTC 109/85 y 211/1988). </w:t>
      </w:r>
    </w:p>
    <w:p w:rsidR="00FE0907" w:rsidRDefault="00FE0907" w:rsidP="00FE0907">
      <w:pPr>
        <w:pStyle w:val="TextoNormal"/>
      </w:pPr>
      <w:r>
        <w:t xml:space="preserve">En el presente caso, del examen de los autos se puede comprobar que el escrito de impugnación está en el rollo, folios 9 y 10, lo que quiere decir que los Magistrados del TCT tuvieron a su disposición el mencionado escrito cuando dictaron Sentencia. Consecuentemente, al no haber contestado explícita o implícitamente las cuestiones suscitadas por la recurrida, el TCT ha dictado una Sentencia incongruente y ha alterado decisivamente los términos en que la contienda se planteó, originando lesión constitucional del art. 24.1 C.E. </w:t>
      </w:r>
    </w:p>
    <w:p w:rsidR="00FE0907" w:rsidRDefault="00FE0907" w:rsidP="00FE0907">
      <w:pPr>
        <w:pStyle w:val="TextoNormal"/>
      </w:pPr>
      <w:r>
        <w:t>Por todo ello, el Ministerio Fiscal interesa se estime el amparo solicitado y se decrete la nulidad de la Sentencia impugnada.</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En su escrito de alegaciones de 9 de octubre de 1989 la recurrente en amparo reproduce con brevedad las razones expuestas en la demanda, que pueden resumirse en las siguientes: </w:t>
      </w:r>
    </w:p>
    <w:p w:rsidR="00FE0907" w:rsidRDefault="00FE0907" w:rsidP="00FE0907">
      <w:pPr>
        <w:pStyle w:val="TextoNormal"/>
      </w:pPr>
      <w:r>
        <w:t xml:space="preserve">a) La Sentencia del Tribunal Central de Trabajo, al alegar la prescripción para denegar el derecho de la afectada, incurre en una discriminación por razón de edad, contraria al art. 14 de la Constitución. </w:t>
      </w:r>
    </w:p>
    <w:p w:rsidR="00FE0907" w:rsidRDefault="00FE0907" w:rsidP="00FE0907">
      <w:pPr>
        <w:pStyle w:val="TextoNormal"/>
      </w:pPr>
      <w:r>
        <w:t xml:space="preserve">b) Que al tramitarse indebidamente el recurso de suplicación, sea porque quien suscribía carecía de representación legal, o, porque se incumplió el requisito esencial del art. 180 de la LPL para recurrir, y revocarse con manifesto error la sentencia de instancia, ya que se omitió responder a las alegaciones de la parte recurrida, el órgano judicial vulneró el art. 24.1 de la Constitución. </w:t>
      </w:r>
    </w:p>
    <w:p w:rsidR="00FE0907" w:rsidRDefault="00FE0907" w:rsidP="00FE0907">
      <w:pPr>
        <w:pStyle w:val="TextoNormal"/>
      </w:pPr>
      <w:r>
        <w:t>Termina suplicando el otorgamiento del amparo solicitado y la anulación de las actuaciones en el procedimiento impugnado desde la fecha de la Sentencia de la Magistratura o subsidiariamente desde la presentación del escrito de oposición al recurso de suplicación, y que se mande dictar al Tribunal hoy competente otra sentencia en lugar de la impugnada.</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El Procurador de los Tribunales don José Granados Weil, en representación del Instituto Nacional de la Seguridad Social, alegó el 10 de octubre de 1989, en favor de la desestimación del recurso. Esta representación entiende que el Letrado funcionario del I.N.S.S. está suficientemente acreditado como se deduce del Acta del juicio en la que se pone de manifiesto que compareció "como demandado el I.N.S.S. representado por don Angel Pérez Beltrán..." y que, en todo caso, se trata de un vicio que no alegó el recurrente en el acto del juicio. En cuanto al incumplimiento del último párrafo del art. 180 de la </w:t>
      </w:r>
      <w:r>
        <w:lastRenderedPageBreak/>
        <w:t xml:space="preserve">LPL, afirma que la Entidad Gestora procedió al efectivo pago de la prestación aunque con posterioridad a la presentación de la certificación, por lo que resulta claro que el I.N.S.S. respetó la finalidad perseguida por la norma. </w:t>
      </w:r>
    </w:p>
    <w:p w:rsidR="00FE0907" w:rsidRDefault="00FE0907" w:rsidP="00FE0907">
      <w:pPr>
        <w:pStyle w:val="TextoNormal"/>
      </w:pPr>
      <w:r>
        <w:t>Sobre el desconocimiento de las alegaciones de la parte recurrida por el Tribunal ad quem, destaca que la recurrente no presentó la impugnación al recurso de suplicación ante la Magistratura de instancia, sino que lo hizo en el registro de entrada de la Magistratura, escrito, que, por otro lado, iba dirigido al Tribunal Central de Trabajo, sin hacer mención alguna a dicha Magistratura, por lo que contravino lo dispuesto en los arts. 156 y 157 respectivamente de la Ley de Procedimiento Laboral. En base a lo cual considera que no existe vulneración alguna del art. 24.1 de la C.E. Finalmente, descarta la posible lesión del art. 14 C.E que pudiera deducirse. Considera prescrito por la Sentencia impugnada su derecho al reconocimiento de la pensión de viudedad (SOVI) solicitada, frente a otras viudas, para las cuales su pensión de viudedad es imprescriptible, razonando que en casos parecidos el Tribunal Constitucional ha negado que exista discriminación.</w:t>
      </w:r>
    </w:p>
    <w:p w:rsidR="00FE0907" w:rsidRDefault="00FE0907" w:rsidP="00FE0907">
      <w:pPr>
        <w:pStyle w:val="TextoNormal"/>
      </w:pPr>
    </w:p>
    <w:p w:rsidR="00FE0907" w:rsidRDefault="00FE0907" w:rsidP="00FE0907">
      <w:pPr>
        <w:pStyle w:val="TextoNormal"/>
      </w:pPr>
      <w:r w:rsidRPr="00FE0907">
        <w:rPr>
          <w:rStyle w:val="NumeroAFNegritaCaracter"/>
        </w:rPr>
        <w:t>12</w:t>
      </w:r>
      <w:r>
        <w:t>. Por providencia de fecha 30 de marzo de 1992 se acordó señalar el día 2 de abril de 1992 para la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demanda de amparo se interpone contra la Sentencia de la Sala Cuarta del Tribunal Central de Trabajo de 24 de marzo de 1988, a la que se imputa una doble tacha de inconstitucionalidad: de un lado, la violación del art.  24.1 de la Constitución, por soslayar un pronunciamiento sobre ciertos requisitos de admisibilidad del recurso de suplicación alegados por la parte recurrida, e ignorar, asimismo, el escrito de oposición al mismo presentado en tiempo y forma por esta parte, ahora recurrente en amparo; y, de otro, vulneración del art. 14 de la Constitución, en atención a que, declarando prescrito el derecho de la solicitante de amparo a la pensión de viudedad (SOVI) frente a otras viudas para las que es imprescriptible, incurre en una discriminación por razón de edad.</w:t>
      </w:r>
    </w:p>
    <w:p w:rsidR="00FE0907" w:rsidRDefault="00FE0907" w:rsidP="00FE0907">
      <w:pPr>
        <w:pStyle w:val="TextoNormal"/>
      </w:pPr>
      <w:r>
        <w:t>Desde la perspectiva del primero de los motivos expuestos, estima la recurrente que se ha producido una triple lesión del derecho a la tutela judicial efectiva, consistente en que: a) el recurso de suplicación fue admitido a pesar de la falta de representación de quien decía ostentarla en nombre del I.N.S.S.; b) no se cumplió con un requisito esencial para el ejercicio del derecho a los recursos previsto en el art. 180 de la vigente Ley de Procedimiento Laboral, cual es que la Entidad Gestora I.N.S.S.  debe aportar certificación del comienzo del abono de la prestación obtenida por la otra parte en la instancia; y c) el órgano judicial ignoró el escrito de impugnación al recurso de suplicación y, por tanto, no resolvió sobre tales alegaciones.</w:t>
      </w:r>
    </w:p>
    <w:p w:rsidR="00FE0907" w:rsidRDefault="00FE0907" w:rsidP="00FE0907">
      <w:pPr>
        <w:pStyle w:val="TextoNormal"/>
      </w:pPr>
      <w:r>
        <w:t>En el segundo de los motivos aducidos plantea la recurrente, no ya una mera discrepancia de la parte respecto de los criterios de interpretación y aplicación utilizados por el Tribunal Central de Trabajo en la Sentencia impugnada -discrepancia que no podría tener acogida en esta sede, por cuanto no puede servir de fundamento al recurso de amparo-, sino una supuesta vulneración del principio de igualdad ante la Ley o en los preceptos que sirven de base al TCT para denegar el derecho al reconocimiento de la pensión de viudedad (concretamente los arts.  5 y 6 del Decreto-Ley de 2 de septiembre de 1955, regulador de la prestación de viudedad del extinguido SOVI).</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2</w:t>
      </w:r>
      <w:r>
        <w:t>. A la anterior pretensión de amparo se opone el I.N.S.S., quien entiende que no existe vulneración del derecho a la tutela judicial efectiva, pues ninguna de las excepciones debe ser tomada en consideración al estar suficientemente acreditadas, tanto la representación del Letrado del I.N.S.S. en el recurso de suplicación interpuesto, como el pago efectivo de la prestación (bien que con cierto retraso). Asimismo, sostiene que la violación del art.  14 de la Constitución denunciada carece de fundamento, toda vez que en supuestos similares al presente el Tribunal Constitucional ha desestimado dicha pretensión.</w:t>
      </w:r>
    </w:p>
    <w:p w:rsidR="00FE0907" w:rsidRDefault="00FE0907" w:rsidP="00FE0907">
      <w:pPr>
        <w:pStyle w:val="TextoNormal"/>
      </w:pPr>
      <w:r>
        <w:t>El Ministerio Fiscal, por su parte, si bien se adhiere a la pretensión de amparo en todo lo referente a la infracción del derecho a la tutela judicial efectiva, estima que este Tribunal no puede entrar a conocer de la vulneración del art.  14 de la C.E.  por haberse interpuesto en este extremo un amparo per saltum.</w:t>
      </w:r>
    </w:p>
    <w:p w:rsidR="00FE0907" w:rsidRDefault="00FE0907" w:rsidP="00FE0907">
      <w:pPr>
        <w:pStyle w:val="TextoNormal"/>
      </w:pPr>
    </w:p>
    <w:p w:rsidR="00FE0907" w:rsidRDefault="00FE0907" w:rsidP="00FE0907">
      <w:pPr>
        <w:pStyle w:val="TextoNormal"/>
      </w:pPr>
      <w:r w:rsidRPr="00FE0907">
        <w:rPr>
          <w:rStyle w:val="NumeroAFNegritaCaracter"/>
        </w:rPr>
        <w:t>3</w:t>
      </w:r>
      <w:r>
        <w:t>. La anterior alegación del Ministerio Público ha de ser acogida, pues es claro que, si el Tribunal Central de Trabajo no tomó en consideración el escrito de impugnación de la parte recurrida en la que se adujo la infracción del principio de igualdad, el conocimiento de la misma por este Tribunal ocasionaría la violación del principio constitucional de subsidiariedad (art.  53.2 C.E.), conforme al cual se ha de dar ocasión a los Tribunales ordinarios de restablecer el derecho fundamental vulnerado, por lo que tan sólo en el supuesto de que no obtuviere satisfacción dicha pretensión de amparo por el Poder Judicial es cuando este Tribunal estaría autorizado a entrar en su conocimiento; pero, como se ha dicho, la falta de consideración por el Tribunal Central de Trabajo de la alegación del recurrente de la supuesta violación del art.  24 de la C.E., ha impedido el cumplimiento del referido principio de subsidiariedad y ha ocasionado la interposición, tal como aduce el Ministerio Fiscal, de un recurso de amparo per saltum, razón por la cual esta queja no puede ser estimada.</w:t>
      </w:r>
    </w:p>
    <w:p w:rsidR="00FE0907" w:rsidRDefault="00FE0907" w:rsidP="00FE0907">
      <w:pPr>
        <w:pStyle w:val="TextoNormal"/>
      </w:pPr>
    </w:p>
    <w:p w:rsidR="00FE0907" w:rsidRDefault="00FE0907" w:rsidP="00FE0907">
      <w:pPr>
        <w:pStyle w:val="TextoNormal"/>
      </w:pPr>
      <w:r w:rsidRPr="00FE0907">
        <w:rPr>
          <w:rStyle w:val="NumeroAFNegritaCaracter"/>
        </w:rPr>
        <w:t>4</w:t>
      </w:r>
      <w:r>
        <w:t>. Asimismo tampoco puede ser acogida la alegación de falta de representación del I.N.S.S., por cuanto ninguna indefensión constitucional ha podido ocasionar al recurrente, todo ello sin perjuicio de que pudiera configurar una excepción procesal, pero, como es evidente, el tratamiento de este presupuesto procesal encierra una cuestión de mera legalidad ordinaria, cuyo conocimiento le está vedado a este Tribunal.</w:t>
      </w:r>
    </w:p>
    <w:p w:rsidR="00FE0907" w:rsidRDefault="00FE0907" w:rsidP="00FE0907">
      <w:pPr>
        <w:pStyle w:val="TextoNormal"/>
      </w:pPr>
      <w:r>
        <w:t>Por consiguiente, el objeto del presente recurso de amparo ha de reconducirse exclusivamente a determinar si la omisión, en la Sentencia recurrida, del escrito de impugnación, articulado en su día por la recurrente en amparo, produjo o no una violación del derecho a la tutela judicial efectiva.</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Al respecto conviene recordar la doctrina de este Tribunal en torno al derecho a la tutela judicial efectiva, el cual comprende, no sólo el derecho de acceso a los Tribunales para interponer pretensiones u oponerse a ellas, sino también el derecho a obtener por parte del órgano judicial, en todas y cada una de las instancias, una resolución motivada, razonada y congruente con la pretensión deducida, así como con su respectiva resistencia u oposición. En este sentido las SSTC 75/1988, 199/1991, y 18 de marzo 1992 (R.A.  970/89) han declarado que la exigencia de motivación suficiente es, sobre todo, una garantía esencial del justiciable mediante la cual se puede comprobar que la resolución dada al caso es consecuencia de una exigencia racional del ordenamiento y no el fruto de la arbitrariedad.  Por ello se considera que "una sentencia que en nada explique la solución que proporciona a las cuestiones planteadas, sin que pueda inferirse tampoco cuáles sean las </w:t>
      </w:r>
      <w:r>
        <w:lastRenderedPageBreak/>
        <w:t>razones próximas o remotas que justifican aquella, es una resolución judicial que no sólo viola la ley, sino que vulnera también el derecho a la tutela judicial consagrado en el art. 24.1 de la Constitución" (STC 116/1986).</w:t>
      </w:r>
    </w:p>
    <w:p w:rsidR="00FE0907" w:rsidRDefault="00FE0907" w:rsidP="00FE0907">
      <w:pPr>
        <w:pStyle w:val="TextoNormal"/>
      </w:pPr>
      <w:r>
        <w:t>Asimismo, es doctrina consolidada de este Tribunal que, en salvaguardia de la evitación de indefensión, no se ha de producir un desajuste entre el fallo judicial y las pretensiones de las partes (SSTC 20/1982, 15/1984). Una resolución judicial que altere de modo decisivo los términos en que se desarrolla la contienda, sustrayendo a las partes el verdadero debate contradictorio propuesto por ellas, con merma de sus posibilidades y derecho de defensa y que ocasione un fallo o parte dispositiva no adecuado o ajustado sustancialmente a las recíprocas pretensiones de las partes, incurre en la vulneración del derecho a la congruencia amparado por el art. 24.1 de la Constitución (SSTC 29/1987 y 211/1988). Por ello, se ha reconocido, entre otras en las SSTC 142/1987 y 244/1988, la dimensión constitucional de la incongruencia como denegación de la tutela judicial, cuando el órgano judicial omite la decisión sobre el objeto procesal, trazado entre la pretensión y su contestación o resistencia.</w:t>
      </w:r>
    </w:p>
    <w:p w:rsidR="00FE0907" w:rsidRDefault="00FE0907" w:rsidP="00FE0907">
      <w:pPr>
        <w:pStyle w:val="TextoNormal"/>
      </w:pPr>
    </w:p>
    <w:p w:rsidR="00FE0907" w:rsidRDefault="00FE0907" w:rsidP="00FE0907">
      <w:pPr>
        <w:pStyle w:val="TextoNormal"/>
      </w:pPr>
      <w:r w:rsidRPr="00FE0907">
        <w:rPr>
          <w:rStyle w:val="NumeroAFNegritaCaracter"/>
        </w:rPr>
        <w:t>6</w:t>
      </w:r>
      <w:r>
        <w:t>. En el caso que nos ocupa, resulta acreditado que, una vez formalizado el recurso de suplicación por la Entidad Gestora I.N.S.S., se dió traslado del escrito de impugnación a la parte recurrida, hoy demandante de amparo, otorgándole un plazo de cinco días para impugnar.  La notificación a dicha parte de la providencia recaída, acordando tal traslado, fue practicada el 17 de febrero de 1985, según consta en las actuaciones. Por la ahora recurrente en amparo se presentó escrito de impugnación del recurso que tuvo entrada en la Magistratura de Trabajo el día 20 del mismo mes; por tanto, dentro del plazo concedido al efecto, tal como se acredita por el sello de entrada en Magistratura estampado en el mismo escrito de oposición.  Asimismo, existe constancia, por diligencia extendida por el Secretario de la Magistratura, de la remisión al Tribunal Central de Trabajo, el día 23 de febrero de 1988, del referido escrito de impugnación juntamente con la sentencia recaída en la instancia y del escrito de formalización del recurso, escrito que fue recibido por la Sala, ya que aparece unido al correspondiente rollo.</w:t>
      </w:r>
    </w:p>
    <w:p w:rsidR="00FE0907" w:rsidRDefault="00FE0907" w:rsidP="00FE0907">
      <w:pPr>
        <w:pStyle w:val="TextoNormal"/>
      </w:pPr>
      <w:r>
        <w:t>Así pues, las actuaciones judiciales ponen, claramente de manifiesto que la actual recurrente en amparo formalizó en tiempo el escrito de oposición al recurso de suplicación y que dicho escrito fue recibido por el Tribunal ad quem, de suerte que lo aseverado en el antecedente de hecho tercero de la sentencia, conforme al cual el recurso de suplicación no había sido impugnado de contrario, no se corresponde en absoluto con la realidad de los hechos.</w:t>
      </w:r>
    </w:p>
    <w:p w:rsidR="00FE0907" w:rsidRDefault="00FE0907" w:rsidP="00FE0907">
      <w:pPr>
        <w:pStyle w:val="TextoNormal"/>
      </w:pPr>
      <w:r>
        <w:t>De otra parte, tampoco puede admitirse la alegación del INSS, según la cual la presentación del referido escrito fue irregular por haberlo formalizado ante el registro de entrada de la Magistratura con infracción de lo dispuesto en los arts.  156 y 157 de la LPL (1980), que obligan a interponerlo ante el mismo órgano jurisdiccional que dictó la Sentencia, es decir, ante la Magistratura de Trabajo núm. 1 de Murcia, dado que: a) en primer lugar, dicha irregularidad procesal no fue advertida, ni por la Magistratura, ni por el Tribunal Central de Trabajo en trámite de admisión del recurso de suplicación; b) en segundo, y de admitirse que se hubiera producido la infracción procesal, se trataría de un requisito subsanable a tenor de los propios preceptos mencionados de la LPL, y c) finalmente, y, como consecuencia de lo anterior, no habiéndosele otorgado la posibilidad de sanación, nunca hubiera podido dar lugar a una resolución de inadmisión por dicha causa, ya que hubiera sido desproporcionada y habría infringido el derecho de tutela judicial en su manifestación del derecho de acceso a los recursos establecidos.</w:t>
      </w:r>
    </w:p>
    <w:p w:rsidR="00FE0907" w:rsidRDefault="00FE0907" w:rsidP="00FE0907">
      <w:pPr>
        <w:pStyle w:val="TextoNormal"/>
      </w:pPr>
      <w:r>
        <w:lastRenderedPageBreak/>
        <w:t>Así pues, habiéndose comprobado, de un lado, que, en el recurso de suplicación, la parte recurrida compareció y formalizó en tiempo y forma su escrito de impugnación y, de otro, que la sentencia impugnada no ha tomado en consideración dicho escrito de impugnación, tal como lo acredita su antecedente de hecho segundo, es obligado concluir que se ha incurrido en la violación del derecho a la tutela judicial efectiva, en cuanto que la resolución impugnada ha ceñido su ámbito de conocimiento exclusivamente a las alegaciones vertidas por el recurrente en su escrito de interposición con absoluto desconocimiento de las efectuadas por la parte recurrida, lo que ha situado al hoy demandante en una situación material de indefensión y convertido a la Sentencia impugnada en una resolución manifiestamente incongruente.</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pedido y, en consecuencia</w:t>
      </w:r>
    </w:p>
    <w:p w:rsidR="00FE0907" w:rsidRDefault="00FE0907" w:rsidP="00FE0907">
      <w:pPr>
        <w:pStyle w:val="TextoNormal"/>
      </w:pPr>
      <w:r>
        <w:t>1º.  Declarar la nulidad de la Sentencia de la Sala Cuarta del Tribunal Central de Trabajo de 24 de marzo de 1988 dictada en recurso de suplicación núm. 1.371/88.</w:t>
      </w:r>
    </w:p>
    <w:p w:rsidR="00FE0907" w:rsidRDefault="00FE0907" w:rsidP="00FE0907">
      <w:pPr>
        <w:pStyle w:val="TextoNormal"/>
      </w:pPr>
      <w:r>
        <w:t>2º.  Retrotraer las actuaciones del citado recurso al momento anterior al de dictarse Sentencia para que por la Sala de lo Social del Tribunal Superior de Justicia de Madrid se dicte nueva Sentencia congruente con los escritos de interposición y de impugnación del recurso de suplicación.</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3" w:name="SENTENCIA_1992_50"/>
      <w:r>
        <w:lastRenderedPageBreak/>
        <w:t>SENTENCIA 50/1992, de 2 de abril de 1992</w:t>
      </w:r>
    </w:p>
    <w:bookmarkEnd w:id="53"/>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ECLI:ES:TC:1992:50</w:t>
      </w:r>
    </w:p>
    <w:p w:rsidR="00FE0907" w:rsidRDefault="00FE0907" w:rsidP="00FE0907">
      <w:pPr>
        <w:pStyle w:val="SntesisDescriptiva"/>
      </w:pPr>
    </w:p>
    <w:p w:rsidR="00FE0907" w:rsidRDefault="00FE0907" w:rsidP="00FE0907">
      <w:pPr>
        <w:pStyle w:val="SntesisDescriptiva"/>
      </w:pPr>
      <w:r>
        <w:t>Recurso de amparo 2.106/1988. Contra Sentencia de la Audiencia Provincial de Barcelona.</w:t>
      </w:r>
    </w:p>
    <w:p w:rsidR="00FE0907" w:rsidRDefault="00FE0907" w:rsidP="00FE0907">
      <w:pPr>
        <w:pStyle w:val="SntesisDescriptiva"/>
      </w:pPr>
    </w:p>
    <w:p w:rsidR="00FE0907" w:rsidRDefault="00FE0907" w:rsidP="00FE0907">
      <w:pPr>
        <w:pStyle w:val="SntesisAnaltica"/>
      </w:pPr>
      <w:r>
        <w:t>Supuesta vulneración del derecho a la presunción de inocencia: actividad probatoria</w:t>
      </w:r>
    </w:p>
    <w:p w:rsidR="00FE0907" w:rsidRDefault="00FE0907" w:rsidP="00FE0907">
      <w:pPr>
        <w:pStyle w:val="SntesisAnaltica"/>
      </w:pPr>
    </w:p>
    <w:p w:rsidR="00FE0907" w:rsidRDefault="00FE0907" w:rsidP="00FE0907">
      <w:pPr>
        <w:pStyle w:val="Extracto"/>
      </w:pPr>
      <w:r>
        <w:t>1.</w:t>
      </w:r>
      <w:r>
        <w:tab/>
        <w:t>La aclaración de Sentencias prevista en los arts. 267 de la L.O.P.J. y 161 de la L.E.Crim. hace posible a los órganos judiciales aclarar algún concepto, suplir alguna omisión o corregir algún error material que contengan las resoluciones, pero no alterar la fundamentación y fallo de las mismas [F.J. 1].</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2.106/88, promovido por don Palmiro Donati, representado por el Procurador de los Tribunales don Enrique Brualla de Pinies, y luego, por fallecimiento de éste, por el Procurador don José Guerrero Cabanes, y asistido por el Letrado don Fernando Donatelli Jordi, contra Sentencia de 21 de noviembre de 1988 de la Sección Segunda de la Audiencia Provincial de Barcelona, dictada en el rollo de apelación núm. 84/88. En el proceso de amparo ha comparecido el Ministerio Fiscal y la entidad "Fuerzas Eléctricas de Cataluña, S.A.", representada por el Procurador don Melquiades Alvarez-Buylla y Alvarez y asistida por el Letrado don Juan Viver R. de Hinojosa. Ha sido Ponente el Magistrado don Fernando García-Mon y González-Regueral,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tiene entrada en este Tribunal el 11 de diciembre de 1988, el Procurador de los Tribunales don Enrique Brualla de Pinies interpone, en nombre y representa</w:t>
      </w:r>
      <w:r>
        <w:lastRenderedPageBreak/>
        <w:t>ción de don Palmiro Donati, recurso de amparo contra Sentencia de 21 de noviembre de 1988 de la Sección Segunda de la Audiencia Provincial de Barcelona.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basa, en síntesis, en los siguientes hechos: </w:t>
      </w:r>
    </w:p>
    <w:p w:rsidR="00FE0907" w:rsidRDefault="00FE0907" w:rsidP="00FE0907">
      <w:pPr>
        <w:pStyle w:val="TextoNormal"/>
      </w:pPr>
      <w:r>
        <w:t xml:space="preserve">a) En el Juzgado de Instrucción núm. 12 de Barcelona se siguió el procedimiento Oral núm. 22/86 contra el hoy recurrente y otros, por posible delito de defraudación de energía eléctrica. Por Sentencia de 27 de enero de 1987, el Juzgado condenó a uno de los acusados, don Pedro Ortuño, y absolvió a los demás acusados. En concreto, por lo que se refiere al hoy recurrente, el Juez razona que no podía "imputársele ningún hecho delictivo al respecto, por no hallarse acreditado en vista de la certificación aportada al acto del juicio oral que se haya verificado ningún fraude en el local sito en la calle Escudillers núm. 10, bajo, de esta ciudad". </w:t>
      </w:r>
    </w:p>
    <w:p w:rsidR="00FE0907" w:rsidRDefault="00FE0907" w:rsidP="00FE0907">
      <w:pPr>
        <w:pStyle w:val="TextoNormal"/>
      </w:pPr>
      <w:r>
        <w:t>b) Contra dicha Sentencia interpusieron recurso de apelación las partes acusadoras ante la Sección Segunda de la Audiencia Provincial de dicha ciudad (rollo núm. 84/88). Tras la pertinente tramitación, la Sala, en Sentencia de 21 de noviembre de 1988, estimó parcialmente el recurso interpuesto por la entidad Fuerzas Eléctricas de Cataluña, S.A., y, entre otros extremos, condenó al hoy demandante de amparo por un delito de defraudación de energía eléctrica a la pena de un mes y un día de arresto mayor y multa de 42.000 ptas. (En el fundamento de Derecho quinto la Sala razona que "de las actas visibles a los folios 181 y ss aparece con suficiente claridad la naturaleza de las manipulaciones llevadas a cabo en beneficio de los tres acusados, incluido el Sr. Donati, el cual, si bien es cierto que, como se reconoce por su propio acusador, no alteró los contadores de luz, sí permitió al Sr. Ortuño que manipulara los contadores de fuerza, pagando un dinero a cambio").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representación del recurrente de amparo considera que la Sentencia impugnada vulnera los derechos a obtener la tutela judicial efectiva y a la presunción de inocencia reconocidos, respectivamente, en los apartados 1 y 2 del art. 24 de la Constitución. Al respecto alega, en primer término, que la parte acusadora (FECSA), al interponer el recurso de apelación ante la Audiencia, aportó un acta y certificación referida al contador de la luz del local del hoy recurrente con infracción de lo dispuesto en la regla 2ª del art. 792 de la L.E.Crim., puesto que dicha prueba pudo proponerse en primera instancia y si no se hizo fue debido a la negligencia u olvido de la parte acusadora, por lo que la admisión de dicha prueba ha de reputarse ilegal y contraria al derecho a obtener la tutela judicial efectiva del art. 24.1 de la C.E. En este sentido alega que si bien dicha prueba debe considerarse de cargo, no puede tomarse en cuenta para dictar Sentencia condenatoria pues su práctica está impedida procesalmente. </w:t>
      </w:r>
    </w:p>
    <w:p w:rsidR="00FE0907" w:rsidRDefault="00FE0907" w:rsidP="00FE0907">
      <w:pPr>
        <w:pStyle w:val="TextoNormal"/>
      </w:pPr>
      <w:r>
        <w:t xml:space="preserve">En segundo lugar estima, por lo que respecta a la violación del derecho a la presunción de inocencia, que si no se toma en consideración dicha prueba, en ningún caso se podría dictar una Sentencia condenatoria contra el recurrente, pues en el acto del juicio oral no se pudo probar la existencia del delito. No hay pruebas de que el hoy recurrente pagara ninguna cantidad a Pedro Ortuño para que le manipulara el contador, ni que conociera la pretendida manipulación del contador de fuerza, ya que muy bien podría haberse efectuado a sus espaldas. En definitiva, la Sala, excepto la prueba documental indebidamente propuesta por la recurrente en su escrito de recurso, contó con las mismas pruebas con base en las cuales el Juzgado había dictado Sentencia absolutoria y, sin embargo, condena al hoy recurrente cambiando la relación de los hechos probados, sin explicar cuál ha sido el razonamiento lógico y las pruebas en las que se ha basado. </w:t>
      </w:r>
    </w:p>
    <w:p w:rsidR="00FE0907" w:rsidRDefault="00FE0907" w:rsidP="00FE0907">
      <w:pPr>
        <w:pStyle w:val="TextoNormal"/>
      </w:pPr>
      <w:r>
        <w:lastRenderedPageBreak/>
        <w:t>En atención a lo expuesto, solicita de este Tribunal que otorgue el amparo solicitado y anule la Sentencia impugnada. Por "otrosí" solicita, de conformidad con lo previsto en el art. 56 de la LOTC, la suspensión de la ejecución de la Sentencia impugnada.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23 de febrero de 1989, la Sección Tercera de la Sala Primera acuerda tener por interpuesto recurso de amparo por don Palmiro Donati y por personado y parte, en nombre y representación del mismo, al Procurador de los Tribunales don Enrique Brualla de Pinies. Asimismo, y a tenor de lo dispuesto en el art. 50.3 de la Ley Orgánica del Tribunal Constitucional (LOTC), acuerda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citada Ley Orgánica.</w:t>
      </w:r>
    </w:p>
    <w:p w:rsidR="00FE0907" w:rsidRDefault="00FE0907" w:rsidP="00FE0907">
      <w:pPr>
        <w:pStyle w:val="TextoNormal"/>
      </w:pPr>
    </w:p>
    <w:p w:rsidR="00FE0907" w:rsidRDefault="00FE0907" w:rsidP="00FE0907">
      <w:pPr>
        <w:pStyle w:val="TextoNormal"/>
      </w:pPr>
      <w:r w:rsidRPr="00FE0907">
        <w:rPr>
          <w:rStyle w:val="NumeroAFNegritaCaracter"/>
        </w:rPr>
        <w:t>5</w:t>
      </w:r>
      <w:r>
        <w:t>. Por escrito presentado el 13 de marzo de 1989, la representación del recurrente solicita la admisión a trámite de la demanda, al entender que la Sentencia recurrida vulnera flagrantemente los derechos fundamentales a la tutela efectiva y a la presunción de inocencia, lo que justifica plenamente la admisión del recurso. Al respecto alega, reiterando lo ya expuesto en el escrito de demanda, de una parte, que la prueba de cargo en la que se ha basado la Audiencia para demostrar la existencia de manipulación del contador accedió al proceso de forma totalmente irregular, contraviniendo una norma de derecho necesario (art. 792.2ª de la L. E.Crim). De otra parte, que no existe ni una sola prueba en las actuaciones de que el hoy recurrente pagara al Sr. Ortuño para que manipulara los contadores, tal como afirma la Sentencia recurrida.</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en escrito presentado el 14 de marzo de 1989, alega, en primer término, que no puede ser aceptada la alegada infracción del derecho a la tutela judicial, que el recurrente basa en la indebida admisión de una prueba documental en segunda instancia, puesto que de la Sentencia impugnada se desprende que la Audiencia Provincial no tuvo en cuenta documento alguno de los aducidos por el recurrente, por lo que la infracción procesal no causó la indefensión denunciada. En segundo término, alega que la lesión del derecho a la presunción de inocencia se articula sobre la base de entender que la Sala condenó únicamente en base al documento anteriormente referido y a la declaración prestada por el autor directo de los hechos ante la Policía, pero lo anterior no se deduce, desde luego, de la Sentencia de apelación, en la que se afirma que la participación del hoy recurrente "consta acreditada en autos, por sus propias declaraciones". </w:t>
      </w:r>
    </w:p>
    <w:p w:rsidR="00FE0907" w:rsidRDefault="00FE0907" w:rsidP="00FE0907">
      <w:pPr>
        <w:pStyle w:val="TextoNormal"/>
      </w:pPr>
      <w:r>
        <w:t>En consecuencia, el Ministerio Fiscal solicita que, antes de pronunciarse sobre la inadmisión de la demanda, el Tribunal haga uso del derecho que le otorga el art. 88.1 de la LOTC, o en caso contrario admita a trámite la demanda.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Sección, por providencia de 3 de abril de 1989, acuerda admitir a trámite la demanda de amparo formulada por don Palmiro Donati, sin perjuicio de lo que resulte de los antecedentes, así como requerir a la Audiencia Provincial de Barcelona, a tenor de lo dispuesto en el art. 51 de la Ley Orgánica del Tribunal Constitucional, para que en el plazo de diez días remita testimonio del rollo de apelación núm. 84/88 en el que se dictó Sentencia en 21 de noviembre de 1988, interesando al propio tiempo se emplace a quienes fueron </w:t>
      </w:r>
      <w:r>
        <w:lastRenderedPageBreak/>
        <w:t>parte en el mencionado procedimiento con excepción del recurrente, que aparece ya personado, para que en el plazo de diez días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8</w:t>
      </w:r>
      <w:r>
        <w:t>. Por escrito presentado el 10 de mayo de 1989, el Procurador de los Tribunales don Melquiades Alvarez-Buylla Alvarez, en nombre y representación de la entidad "Fuerzas Eléctricas de Cataluña, S.A.", se persona en el presente recurso, solicitando que se entiendan con él las sucesivas diligencias.</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29 de mayo de 1989, la Sección acuerda tener por recibidas las actuaciones que se remiten por la Sección Segunda de la Audiencia Provincial de Barcelona, y tener por personado y parte el Procurador don Melquiades Alvarez-Buylla Alvarez en nombre y representación de "Fuerzas Eléctricas de Cataluña". Asimismo, y a tenor de lo dispuesto en el art. 52 de la Ley Orgánica del Tribunal Constitucional, acuerda dar vista de todas las actuaciones del presente recurso de amparo, por un plazo común de veinte días, al Ministerio Fiscal y a los Procuradores Sres. Brualla de Pinies y Alvarez-Buylla, para que dentro de dicho término puedan presentar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10</w:t>
      </w:r>
      <w:r>
        <w:t>. Por escrito de 23 de junio de 1989, el Ministerio Fiscal manifiesta que, examinadas las actuaciones remitidas por la Audiencia Provincial de Barcelona, se observa que en ellas solamente aparece el acta, brevísima, de la vista de apelación, la Sentencia dictada en esa segunda instan cia, que ya había sido aportada con la demanda, y un Auto posterior aclarando dicha Sentencia. Tales documentos resultan insuficientes para poder informar sobre los derechos fundamentales que se consideran lesionados, por lo que es necesario reclamar, de conformidad con el art. 89.1 de la LOTC y con suspensión de trámite para alegaciones, la remisión de los autos del procedimiento oral núm. 22/86 del Juzgado de Instrucción núm. 12 de Barcelona.</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La representación del recurrente, en escrito presentado el 22 de junio de 1989, se remite expresamente al contenido de sus escritos de interposición del recurso de amparo de fecha 22 de diciembre de 1988 y de alegaciones en incidente de inadmisión, de fecha 13 de marzo de 1989. No obstante, hace hincapié en los hechos fundamentales que a su juicio justifican la concesión del amparo constitucional, y reitera, de una parte, que con las pruebas practicadas en el juicio oral y en estricta aplicación de principio de presunción de inocencia, era imposible declarar probada la existencia de defraudación, pues únicamente es posible poder declarar como hecho probado que existía fraude si se fundamenta con base en la prueba documental admitida de forma irregular, ya que sólo a través de las nuevas actas admitidas en apelación es posible determinar la existencia de actas separadas para los contadores de fuerza o de luz. De otra parte, que en todas las actuaciones no existe ni una sola prueba de que el recurrente pagase al Sr. Ortuño para que le manipulara el contador de la luz. </w:t>
      </w:r>
    </w:p>
    <w:p w:rsidR="00FE0907" w:rsidRDefault="00FE0907" w:rsidP="00FE0907">
      <w:pPr>
        <w:pStyle w:val="TextoNormal"/>
      </w:pPr>
      <w:r>
        <w:t>En atención a lo anterior, solicita de este Tribunal que dicte Sentencia concediendo el amparo solicitado, declarando la nulidad de la resolución recurrida.</w:t>
      </w:r>
    </w:p>
    <w:p w:rsidR="00FE0907" w:rsidRDefault="00FE0907" w:rsidP="00FE0907">
      <w:pPr>
        <w:pStyle w:val="TextoNormal"/>
      </w:pPr>
    </w:p>
    <w:p w:rsidR="00FE0907" w:rsidRDefault="00FE0907" w:rsidP="00FE0907">
      <w:pPr>
        <w:pStyle w:val="TextoNormal"/>
      </w:pPr>
      <w:r w:rsidRPr="00FE0907">
        <w:rPr>
          <w:rStyle w:val="NumeroAFNegritaCaracter"/>
        </w:rPr>
        <w:t>12</w:t>
      </w:r>
      <w:r>
        <w:t xml:space="preserve">. Por escrito presentado el 24 de junio de 1989, la representación de la entidad "Fuerzas Eléctricas de Cataluña, S.A.", comparecida como parte demandada, solicita la </w:t>
      </w:r>
      <w:r>
        <w:lastRenderedPageBreak/>
        <w:t xml:space="preserve">desestimación del presente recurso de amparo. En primer término, por lo que respecta al cumplimiento de los requisitos procesales exigidos por el art. 44 de la LOTC, considera, de un lado, que el recurrente no agotó cada uno de los recursos establecidos por la Ley antes de la presentación del recurso de amparo, dado que no solicitó aclaración de la Sentencia dictada en apelación por la Audiencia Provincial de Barcelona; y, de otro lado, que el recurrente tampoco invocó formalmente en el proceso el derecho constitucional vulnerado tan pronto como, una vez conocida la violación, hubiera lugar para ello, puesto que al hoy recurrente se le dio conocimiento del recurso de apelación formulado por la representación de la entidad "Fuerzas Eléctricas de Cataluña, S.A.", y los documentos anexos, no habiendo efectuado queja alguna ni por escrito ni oralmente en el acto de la vista oral respecto a la supuesta violación del art. 24 de la C.E. </w:t>
      </w:r>
    </w:p>
    <w:p w:rsidR="00FE0907" w:rsidRDefault="00FE0907" w:rsidP="00FE0907">
      <w:pPr>
        <w:pStyle w:val="TextoNormal"/>
      </w:pPr>
      <w:r>
        <w:t xml:space="preserve">En segundo término, en cuanto al fondo de la cuestión planteada, estima que la parte demandante no pretende que se le reconozcan los derechos tutelados en el art. 24 de la Constitución Española de 1978 y, en concreto, el principio de presunción de inocencia (art. 24.2) y el de la tutela judicial efectiva (art. 24.1), sino lo que se desea es una tercera vía judicial para poder enjuiciar los hechos motivadores de la Sentencia de apelación. Se pretende, asimismo, del Tribunal Constitucional que se declare que no existe una motivación suficiente en la resolución judicial, cuando de una simple lectura de la Sentencia hay que destacar el quinto fundamento de derecho de la Sentencia de la Audiencia Provincial, en la que el juzgador ha motivado de forma extensa y prolija todos y cada uno de los fundamentos de hecho y de derecho que le han llevado al fallo establecido. </w:t>
      </w:r>
    </w:p>
    <w:p w:rsidR="00FE0907" w:rsidRDefault="00FE0907" w:rsidP="00FE0907">
      <w:pPr>
        <w:pStyle w:val="TextoNormal"/>
      </w:pPr>
      <w:r>
        <w:t>En definitiva, pues, el Sr. Donati pretende que el Tribunal Constitucional analice cuestiones de legalidad ordinaria de incumbencia exclusiva de los Jueces y Tribunales integrados en el Poder Judicial, conforme dispone el art. 117.1 de la Constitución.</w:t>
      </w:r>
    </w:p>
    <w:p w:rsidR="00FE0907" w:rsidRDefault="00FE0907" w:rsidP="00FE0907">
      <w:pPr>
        <w:pStyle w:val="TextoNormal"/>
      </w:pPr>
    </w:p>
    <w:p w:rsidR="00FE0907" w:rsidRDefault="00FE0907" w:rsidP="00FE0907">
      <w:pPr>
        <w:pStyle w:val="TextoNormal"/>
      </w:pPr>
      <w:r w:rsidRPr="00FE0907">
        <w:rPr>
          <w:rStyle w:val="NumeroAFNegritaCaracter"/>
        </w:rPr>
        <w:t>13</w:t>
      </w:r>
      <w:r>
        <w:t>. Por providencia de 7 de julio de 1989, la Sección acuerda tener por recibidos los escritos de alegaciones del Ministerio Fiscal y de los Procuradores Sres. Brualla Pinies y Alvarez-Buylla, y, conforme interesa el Ministerio Fiscal, requerir atentamente al Juzgado de Instrucción núm. 12 de Barcelona, para que, en el plazo de diez días, remita testimonio del procedimiento oral núm. 22/86 . Una vez recibidas las actuaciones solicitadas, la Sección, por providencia de 18 de septiembre de 1989, acuerda dar vista de las actuaciones recibidas, por un plazo común de veinte días, al Ministerio Fiscal y a los Procuradores Sres. Brualla de Pinies y Alvarez Buylla para que, dentro de dicho término, completen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14</w:t>
      </w:r>
      <w:r>
        <w:t xml:space="preserve">. En su escrito de alegaciones, presentado el 13 de octubre de 1989, el Ministerio Fiscal considera que, tras el examen de las actuaciones, la queja del recurrente referida a la indebida admisión de una prueba documental en apelación carece de toda virtualidad. En efecto, de una parte, en la propia Sentencia impugnada queda claro que para condenar no se tuvo en cuenta el citado documento, precisamente por el momento de su presentación. Pero es que además ocurre que el documento discutido no prueba nada respecto del condenado porque no es decisivo, ya que se refiere al contador de la luz y en este no se había cometido fraude alguno, según reconoce la propia parte acusadora y resulta del mismo documento. Basta compararlo con el que obra Unido al folio 194 del Sumario para darse cuenta de que ha sido el acta levantada para el contador de fuerza y no para el de luz la que sirvió de base a la condena; y este último documento se aportó en tiempo hábil al proceso. </w:t>
      </w:r>
    </w:p>
    <w:p w:rsidR="00FE0907" w:rsidRDefault="00FE0907" w:rsidP="00FE0907">
      <w:pPr>
        <w:pStyle w:val="TextoNormal"/>
      </w:pPr>
      <w:r>
        <w:lastRenderedPageBreak/>
        <w:t xml:space="preserve">De otra parte, y con independencia de lo dicho, es claro y así resulta de lo actuado, que ha existido prueba suficiente para apoyar la condena. Bastará recordar que el otro condenado, Pedro Ortuño, acusó al recurrente Donati ante la Policía y en presencia de Letrado (folio 5), y ratificó su declaración ante el Juez y en presencia de Letrado (folio 12), mostrándose contradictorio en sus declaraciones en el acto del juicio oral (23-1-88); contradictorio incluso con el propio Donati, pues mientras este asegura que conoció a Ortuño, Ortuño llega a negar que conociera a Donati, aunque momentos antes había dicho lo contrario en el propio juicio oral. Como es sabido, la declaración de los coprocesados es prueba válida para enervar la presunción de inocencia. La Sentencia, por lo demás, está ampliamente motivada. Sus razonamientos no permiten aceptar la supuesta lesión del derecho de tutela. </w:t>
      </w:r>
    </w:p>
    <w:p w:rsidR="00FE0907" w:rsidRDefault="00FE0907" w:rsidP="00FE0907">
      <w:pPr>
        <w:pStyle w:val="TextoNormal"/>
      </w:pPr>
      <w:r>
        <w:t>En consecuencia, el Fiscal interesa que, de acuerdo con lo dispuesto en los art. 86.1 inciso primero y 80 de la Ley Orgánica del Tribunal Constitucional, en relación con el art. 372 de la Ley de Enjuiciamiento Civil, se dicte Sentencia denegando el amparo por cuanto no resulta del proceso la posible lesión de los derechos fundamentales que sirven de apoyo a la demanda.</w:t>
      </w:r>
    </w:p>
    <w:p w:rsidR="00FE0907" w:rsidRDefault="00FE0907" w:rsidP="00FE0907">
      <w:pPr>
        <w:pStyle w:val="TextoNormal"/>
      </w:pPr>
    </w:p>
    <w:p w:rsidR="00FE0907" w:rsidRDefault="00FE0907" w:rsidP="00FE0907">
      <w:pPr>
        <w:pStyle w:val="TextoNormal"/>
      </w:pPr>
      <w:r w:rsidRPr="00FE0907">
        <w:rPr>
          <w:rStyle w:val="NumeroAFNegritaCaracter"/>
        </w:rPr>
        <w:t>15</w:t>
      </w:r>
      <w:r>
        <w:t xml:space="preserve">. La representación del recurrente, en escrito de 11 de octubre de 1989, alega, en primer término, que del acta del juicio oral se desprende claramente que tanto el Sr. Palmiro Donati como el Sr. Pedro Ortuño negaron categóricamente que el primero hubiera permitido que el Sr. Ortuño le manipulara los contadores a cambio de un precio, no existiendo ninguna otra prueba practicada referida a dichos hechos. La declaración en tal sentido, efectuada ante la policía por el Sr. Ortuño (declaró que había manipulado los contadores de la mitad de los locales de Barcelona), no puede desvirtuar la presunción de inocencia (SSTC 100/1985, 101/1985, 159/85 y 173/85). Por otro lado, de la indicada acta del juicio oral, y del escrito de calificación provisional del acusador particular FECSA, se desprende que en el acto del juicio oral, en referencia al Sr. Palmiro Donati, sólo fueron aportadas actas referentes a un contador de energía eléctrica que no especificaban si se trataba de contador de luz y de fuerza, y que esta parte aportó un certificado de los Servicios de Industria que negaba la existencia de defraudación, sin especificar tampoco que se trataba de contador de luz o de fuerza. Así pues, en el acto del juicio oral no se probó ni que existiera fraude de energía eléctrica, ni que, caso de que éste hubiera existido, los autores hubieren sido el Sr. Ortuño y el Sr. Donati, razón por la cual, la sentencia del Juzgado de Instrucción núm. 12 de Barcelona fué absolutoria para el Sr. Donati. </w:t>
      </w:r>
    </w:p>
    <w:p w:rsidR="00FE0907" w:rsidRDefault="00FE0907" w:rsidP="00FE0907">
      <w:pPr>
        <w:pStyle w:val="TextoNormal"/>
      </w:pPr>
      <w:r>
        <w:t xml:space="preserve">En segundo término, reitera que la Audiencia Provincial de Barcelona, infringiendo una norma de derecho necesario (art. 792, 2ª), admite en sede de apelación unos documentos presentados por FECSA que intentan demostrar la existencia de fraude con base en una confusión entre contadores de fuerza y luz (por contra inadmitió por el indicado motivo otros documentos presentados por la otra acusadora particular HIDROELECTRICA DE CATALUÑA, según consta en el folio 11 de la sentencia). Basándose exclusivamente en dichos documentos, la sentencia de la Audiencia Provincial considera probada la existencia de fraude, y posteriormente también considera probada la autoría del Sr. Donati, pero esta vez "según se desprende de sus declaraciones". Sin dicha prueba documental admitida de forma irregular es imposible demostrar la existencia de fraude. No se puede basar una sentencia condenatoria en una prueba cuya obtención vulnera normas de derecho necesario. </w:t>
      </w:r>
    </w:p>
    <w:p w:rsidR="00FE0907" w:rsidRDefault="00FE0907" w:rsidP="00FE0907">
      <w:pPr>
        <w:pStyle w:val="TextoNormal"/>
      </w:pPr>
      <w:r>
        <w:t xml:space="preserve">En otro orden de cosas, aunque se hubiera probado mediante otros medios la existencia de fraude, ello no bastaría para condenar como autor del delito al Sr. Donati, pues no se </w:t>
      </w:r>
      <w:r>
        <w:lastRenderedPageBreak/>
        <w:t xml:space="preserve">probó en el juicio oral la pretendida connivencia entre el Sr. Ortuño y el Sr. Donati para manipular el contador, y no es cierto, como manifiesta la sentencia de la Audiencia Provincial, que se desprenda de las propias declaraciones del Sr. Donati que pagó al Sr. Ortuño para que le manipulara el contador. Este hecho fué negado por ambos en el acto del juicio oral y así consta en el acta de dicho juicio ahora remitida. </w:t>
      </w:r>
    </w:p>
    <w:p w:rsidR="00FE0907" w:rsidRDefault="00FE0907" w:rsidP="00FE0907">
      <w:pPr>
        <w:pStyle w:val="TextoNormal"/>
      </w:pPr>
      <w:r>
        <w:t>En consecuencia, la sentencia recurrida vulnera los derechos fundamentales a la tutela efectiva y a la presunción de inocencia, contenidos en el art. 24 de la Constitución Española, por lo que procede dictar Sentencia en la que se otorgue el amparo solicitado.</w:t>
      </w:r>
    </w:p>
    <w:p w:rsidR="00FE0907" w:rsidRDefault="00FE0907" w:rsidP="00FE0907">
      <w:pPr>
        <w:pStyle w:val="TextoNormal"/>
      </w:pPr>
    </w:p>
    <w:p w:rsidR="00FE0907" w:rsidRDefault="00FE0907" w:rsidP="00FE0907">
      <w:pPr>
        <w:pStyle w:val="TextoNormal"/>
      </w:pPr>
      <w:r w:rsidRPr="00FE0907">
        <w:rPr>
          <w:rStyle w:val="NumeroAFNegritaCaracter"/>
        </w:rPr>
        <w:t>16</w:t>
      </w:r>
      <w:r>
        <w:t>. En fecha 7 de mayo de 1991, el Procurador de los Tribunales don José Guerrero Cabanes, en nombre y representación de don Palmiro Donati, se persona en el recurso de amparo en sustitución de su compañero fallecido Sr. Bruolla de Pinies, solicitando se entiendan con él las sucesivas diligencias.</w:t>
      </w:r>
    </w:p>
    <w:p w:rsidR="00FE0907" w:rsidRDefault="00FE0907" w:rsidP="00FE0907">
      <w:pPr>
        <w:pStyle w:val="TextoNormal"/>
      </w:pPr>
    </w:p>
    <w:p w:rsidR="00FE0907" w:rsidRDefault="00FE0907" w:rsidP="00FE0907">
      <w:pPr>
        <w:pStyle w:val="TextoNormal"/>
      </w:pPr>
      <w:r w:rsidRPr="00FE0907">
        <w:rPr>
          <w:rStyle w:val="NumeroAFNegritaCaracter"/>
        </w:rPr>
        <w:t>17</w:t>
      </w:r>
      <w:r>
        <w:t>. Por providencia de 20 de mayo de 1991, la Sección acuerda tener por comparecido en nombre del recurrente al Procurador don José Guerrero Cabanes.</w:t>
      </w:r>
    </w:p>
    <w:p w:rsidR="00FE0907" w:rsidRDefault="00FE0907" w:rsidP="00FE0907">
      <w:pPr>
        <w:pStyle w:val="TextoNormal"/>
      </w:pPr>
    </w:p>
    <w:p w:rsidR="00FE0907" w:rsidRDefault="00FE0907" w:rsidP="00FE0907">
      <w:pPr>
        <w:pStyle w:val="TextoNormal"/>
      </w:pPr>
      <w:r w:rsidRPr="00FE0907">
        <w:rPr>
          <w:rStyle w:val="NumeroAFNegritaCaracter"/>
        </w:rPr>
        <w:t>18</w:t>
      </w:r>
      <w:r>
        <w:t>. Por Auto de 18 de mayo de 1989, dictado en la pieza separada de suspensión, la Sala acordó suspender la ejecución de la Sentencia dictada por la Audiencia Provincial de Barcelona en el rollo de apelación núm. 84/1988, en fecha 21 de noviembre de 1988, durante la tramitación del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19</w:t>
      </w:r>
      <w:r>
        <w:t>. Por providencia de 30 de marzo de 1992 se señaló el día 2 de abril del mismo año para deliberación y fallo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Las cuestiones planteadas en el presente recurso de amparo consisten en determinar, en primer lugar, si en la tramitación del recurso de apelación seguido ante la Audiencia Provincial de Barcelona ha sido lesionado el derecho a obtener la tutela judicial efectiva (art.  24.1 C.E.), como consecuencia de la indebida admisión en la segunda instancia de una prueba documental propuesta por una de las partes apelantes.  Y, en segundo lugar, si la Sentencia dictada en grado de apelación por la Audiencia Provincial, que revocó la dictada por el Juzgado de Instrucción y condenó al hoy recurrente como autor de un delito de defraudación de fluido eléctrico, vulnera el derecho a la presunción de inocencia (art. 24.2 C.E.).</w:t>
      </w:r>
    </w:p>
    <w:p w:rsidR="00FE0907" w:rsidRDefault="00FE0907" w:rsidP="00FE0907">
      <w:pPr>
        <w:pStyle w:val="TextoNormal"/>
      </w:pPr>
      <w:r>
        <w:t xml:space="preserve">Pero antes de resolver dichas cuestiones es preciso examinar las causas de inadmisión apuntadas por la representación de la parte demandada en su escrito de alegaciones.  En primer término, el hecho de que el hoy recurrente de amparo no solicitara aclaración de la Sentencia ahora impugnada en modo alguno supone el incumplimiento de la exigencia prevista en el art. 44.1 a) de la LOTC, pues la aclaración de Sentencias prevista en los arts. 267 de la LOPJ y 161 de la L.E.Crim. hace posible a los órganos judiciales aclarar algún concepto, suplir alguna omisión o corregir algún error material que contengan las resoluciones, pero no alterar la fundamentación y fallo de las mismas (en el mismo sentido, STC 203/89).  En segundo término, tampoco es posible apreciar, por lo que se refiere a la aducida infracción del art.  24.1 de la C.E., incumplimiento del requisito de invocación formal </w:t>
      </w:r>
      <w:r>
        <w:lastRenderedPageBreak/>
        <w:t>del derecho constitucional vulnerado (art.  49.1 c) de la LOTC), puesto que, tal como consta en las actuaciones, el hoy recurrente, en el trámite de instrucción del recurso de apelación, impugnó expresamente la admisión de la prueba documental aportada por una de las partes apelantes en el recurso de apelación.</w:t>
      </w:r>
    </w:p>
    <w:p w:rsidR="00FE0907" w:rsidRDefault="00FE0907" w:rsidP="00FE0907">
      <w:pPr>
        <w:pStyle w:val="TextoNormal"/>
      </w:pPr>
    </w:p>
    <w:p w:rsidR="00FE0907" w:rsidRDefault="00FE0907" w:rsidP="00FE0907">
      <w:pPr>
        <w:pStyle w:val="TextoNormal"/>
      </w:pPr>
      <w:r w:rsidRPr="00FE0907">
        <w:rPr>
          <w:rStyle w:val="NumeroAFNegritaCaracter"/>
        </w:rPr>
        <w:t>2</w:t>
      </w:r>
      <w:r>
        <w:t>. Por lo que respecta al primero de los motivos de amparo, esto es, la violación del derecho a obtener la tutela judicial efectiva como consecuencia de la indebida admisión de una prueba en segunda instancia, el hecho carece de relevancia para resolver el presente recurso de amparo, puesto que, como señala el Ministerio Fiscal en su escrito de alegaciones, de la Sentencia impugnada se deduce que la Audiencia no ha basado la condena en los documentos cuya admisión se cuestiona, por lo que de la irregularidad procesal denunciada, caso de existir, no es posible derivar indefensión alguna para el hoy recurrente de amparo.</w:t>
      </w:r>
    </w:p>
    <w:p w:rsidR="00FE0907" w:rsidRDefault="00FE0907" w:rsidP="00FE0907">
      <w:pPr>
        <w:pStyle w:val="TextoNormal"/>
      </w:pPr>
    </w:p>
    <w:p w:rsidR="00FE0907" w:rsidRDefault="00FE0907" w:rsidP="00FE0907">
      <w:pPr>
        <w:pStyle w:val="TextoNormal"/>
      </w:pPr>
      <w:r w:rsidRPr="00FE0907">
        <w:rPr>
          <w:rStyle w:val="NumeroAFNegritaCaracter"/>
        </w:rPr>
        <w:t>3</w:t>
      </w:r>
      <w:r>
        <w:t>. La segunda cuestión planteada en el recurso consiste en dilucidar, como antes se dijo, si la Sentencia de apelación vulnera el derecho fundamental a la presunción de inocencia (art. 24.2 C.E.).  Pero del examen de las actuaciones judiciales, y del propio escrito de demanda, se desprende que dicha alegación carece de todo fundamento, pues el recurrente manifiesta única y exclusivamente su discrepancia con la valoración y apreciación que de las numerosas pruebas practicadas ha hecho la Audiencia Provincial en la Sentencia impugnada.</w:t>
      </w:r>
    </w:p>
    <w:p w:rsidR="00FE0907" w:rsidRDefault="00FE0907" w:rsidP="00FE0907">
      <w:pPr>
        <w:pStyle w:val="TextoNormal"/>
      </w:pPr>
      <w:r>
        <w:t>En efecto, basta con señalar, en primer término, que en las actuaciones constan las actas levantadas tanto por la inspección de la compañía eléctrica como por la inspección de los Servicios Territoriales de Industria de la Generalidad de Cataluña sobre las manipulaciones llevadas a cabo en los contadores de fuerza instalados en el local del hoy recurrente de amparo, así como el correspondiente informe pericial sobre los consumos de electricidad no medidos.  En segundo término, en el acto del juicio oral comparecieron, aparte otras personas, el hoy recurrente de amparo, en su condición de acusado; el coencausado don Pedro Ortuño García, cuyas declaraciones en el acto del juicio, según reiterada jurisprudencia, pueden constituir prueba apreciable por el juzgador para desvirtuar la presunción de inocencia, en relación con las prestadas anteriormente; y los testigos don Jesús Díaz Fernández (Inspector de la Compañía Fuerzas Eléctricas de Cataluña, S.A.)  y don Virgilio Gómez Aranguren (Inspector de los Servicios Territoriales de Industria de la Generalidad de Cataluña), quienes ratificaron sus respectivas actas de inspección sobre las manipulaciones realizadas en el contador de fuerza y, tal como se desprende de la lectura del Acta del juicio, declararon sobre los extremos interesados por las distintas partes.</w:t>
      </w:r>
    </w:p>
    <w:p w:rsidR="00FE0907" w:rsidRDefault="00FE0907" w:rsidP="00FE0907">
      <w:pPr>
        <w:pStyle w:val="TextoNormal"/>
      </w:pPr>
      <w:r>
        <w:t xml:space="preserve">Es evidente, por tanto, que en el presente caso se llevó a cabo en el acto del juicio oral, con las debidas garantías, actividad probatoria suficiente para que la Audiencia haya podido estimar desvirtuada la presunción de inocencia del hoy recurrente.  Por lo que se refiere a esta concreta cuestión, las alegaciones del recurrente de que la condena se ha basado en los documentos aportados por la parte apelante al interponer el recurso de apelación son manifiestamente infundadas .  En efecto, con independencia de que, como antes se dijo, la Sentencia de apelación ni siquiera hace referencia a dichos documentos, la queja del recurrente parte de su propia e interesada convicción de que la Audiencia, de no haber conocido los documentos aportados en apelación (referidos a las actas de inspección levantadas respecto del contador de luz, en las que no se apreciaba fraude alguno), tampoco hubiera podido determinar, como no lo hizo el Juez de instancia, la existencia de actas separadas para los contadores de fuerza o de luz, y que el certificado de Industria declarando la </w:t>
      </w:r>
      <w:r>
        <w:lastRenderedPageBreak/>
        <w:t>inexistencia del fraude -en el que se basó el Juez de Instrucción para absolver al hoy recurrente- sólo se refería a las actas levantadas respecto del contador de luz, no al contador de fuerza.</w:t>
      </w:r>
    </w:p>
    <w:p w:rsidR="00FE0907" w:rsidRDefault="00FE0907" w:rsidP="00FE0907">
      <w:pPr>
        <w:pStyle w:val="TextoNormal"/>
      </w:pPr>
      <w:r>
        <w:t>En consecuencia, pues, no es posible apreciar lesión del derecho constitucional de presunción de inocencia consagrado en el art. 24.2 de la C.E., sin que tampoco corresponda a este Tribunal revisar o corregir la valoración y apreciaciones que de las pruebas practicadas ha hecho en conciencia el Tribunal de apelación, pues la condena del hoy recurrente se fundamenta en los actos de prueba ya examinados y de ellos y de lo razonado en la Sentencia se infiere que el órgano judicial ha apreciado que la actividad probatoria llevada a cabo contenía elementos incriminatorios respecto de la participación del hoy recurrente en los hechos enjuiciados (entre otras muchas, y por citar algunas, SSTC 217/1989 y 194/1990).</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interpuesto por don Palmiro Donati.</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4" w:name="SENTENCIA_1992_51"/>
      <w:r>
        <w:lastRenderedPageBreak/>
        <w:t>SENTENCIA 51/1992, de 2 de abril de 1992</w:t>
      </w:r>
    </w:p>
    <w:bookmarkEnd w:id="54"/>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109, de 6 de mayo de 1992)</w:t>
      </w:r>
    </w:p>
    <w:p w:rsidR="00FE0907" w:rsidRDefault="00FE0907" w:rsidP="00FE0907">
      <w:pPr>
        <w:pStyle w:val="TtuloBOE"/>
      </w:pPr>
    </w:p>
    <w:p w:rsidR="00FE0907" w:rsidRDefault="00FE0907" w:rsidP="00FE0907">
      <w:pPr>
        <w:pStyle w:val="SntesisDescriptiva"/>
      </w:pPr>
      <w:r>
        <w:t>ECLI:ES:TC:1992:51</w:t>
      </w:r>
    </w:p>
    <w:p w:rsidR="00FE0907" w:rsidRDefault="00FE0907" w:rsidP="00FE0907">
      <w:pPr>
        <w:pStyle w:val="SntesisDescriptiva"/>
      </w:pPr>
    </w:p>
    <w:p w:rsidR="00FE0907" w:rsidRDefault="00FE0907" w:rsidP="00FE0907">
      <w:pPr>
        <w:pStyle w:val="SntesisDescriptiva"/>
      </w:pPr>
      <w:r>
        <w:t>Recurso de amparo 1.077/1989. Contra Sentencia de la Audiencia Provincial de Barcelona, confirmatorio de la dictada por el Juzgado de Distrito núm. 16 de la misma ciudad.</w:t>
      </w:r>
    </w:p>
    <w:p w:rsidR="00FE0907" w:rsidRDefault="00FE0907" w:rsidP="00FE0907">
      <w:pPr>
        <w:pStyle w:val="SntesisDescriptiva"/>
      </w:pPr>
    </w:p>
    <w:p w:rsidR="00FE0907" w:rsidRDefault="00FE0907" w:rsidP="00FE0907">
      <w:pPr>
        <w:pStyle w:val="SntesisAnaltica"/>
      </w:pPr>
      <w:r>
        <w:t>Supuesta vulneración del derecho a la tutela judicial efectiva: derecho a los recursos</w:t>
      </w:r>
    </w:p>
    <w:p w:rsidR="00FE0907" w:rsidRDefault="00FE0907" w:rsidP="00FE0907">
      <w:pPr>
        <w:pStyle w:val="SntesisAnaltica"/>
      </w:pPr>
    </w:p>
    <w:p w:rsidR="00FE0907" w:rsidRDefault="00FE0907" w:rsidP="00FE0907">
      <w:pPr>
        <w:pStyle w:val="Extracto"/>
      </w:pPr>
      <w:r>
        <w:t>1.</w:t>
      </w:r>
      <w:r>
        <w:tab/>
        <w:t>Según doctrina de este Tribunal, ha de distinguirse entre el hecho del pago o consignación previa al recurso, de la acreditación de ese pago o consignación. Esta acreditación constituye un simple requisito formal, cuya omisión debe permitir al Juez que sea subsanada. Pero tal no es el caso con respecto del mismo hecho del pago o consignación. En efecto, éste no constituye un requisito formal, sino que viene a cumplir una finalidad cautelar y de legítima salvaguardia de los intereses del arrendador; y se configura por tanto, según lo previsto en el art. 148.2 L.A.U., como un requisito esencial para el acceso al recurso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y don Fernando García-Mon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1.077/89, interpuesto por doña Pilar Gutiérrez Cabezos, representada por el Procurador de los Tribunales don Francisco de Guinea y Gauna, y bajo la dirección letrada de don Santiago Vidal Mayora, contra Sentencia de 2 de mayo de 1989 de la Audiencia Provincial de Barcelona. Ha sido parte el Ministerio Fiscal, y doña Josefa Alá Rubiol, representada por el Procurador de los Tribunales don Eduardo Morales Price, y bajo la dirección letrada de don Francisco López Maeso y don Jordi Perales Class, y ha sido Ponente el Magistrado don Luis López Guerra,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Mediante escrito registrado el 8 de junio de 1989, don Francisco de Guinea y Gauna, Procurador de los Tribunales, interpuso, en nombre y representación de doña Pilar Gutiérrez Cabezos, recurso de amparo contra la Sentencia de la Sección Séptima de la Audiencia Provincial de Barcelona de 2 de mayo del mismo año, dictada en el rollo de apelación núm. 35/89. La demanda trae causa de los siguientes hechos: </w:t>
      </w:r>
    </w:p>
    <w:p w:rsidR="00FE0907" w:rsidRDefault="00FE0907" w:rsidP="00FE0907">
      <w:pPr>
        <w:pStyle w:val="TextoNormal"/>
      </w:pPr>
      <w:r>
        <w:t xml:space="preserve">A) Por Sentencia de fecha 11 de enero del presente año, el Juzgado de Distrito núm. 16 de los de Barcelona declaró resuelto, tras apreciar la realización de obras sin consentimiento de la propietaria, el contrato de arrendamiento existente entre la aquí actora, como inquilina, y doña Josefa Alá Rubiol, condenando a aquélla a dejar libre y a disposición de la dueña la vivienda alquilada, bajo apercibimiento de ser lanzada en otro caso. </w:t>
      </w:r>
    </w:p>
    <w:p w:rsidR="00FE0907" w:rsidRDefault="00FE0907" w:rsidP="00FE0907">
      <w:pPr>
        <w:pStyle w:val="TextoNormal"/>
      </w:pPr>
      <w:r>
        <w:t xml:space="preserve">B) En escrito datado el 24 de enero, la actora se dirigió al Juzgado diciendo interponer recurso de apelación, el cual fue admitido con providencia del siguiente día 27. El 23 de febrero, la actora remitió un nuevo escrito al Juzgado, acompañando los recibos del alquiler correspondientes a los meses de septiembre, octubre, noviembre y diciembre de 1988 y enero y febrero de 1989. </w:t>
      </w:r>
    </w:p>
    <w:p w:rsidR="00FE0907" w:rsidRDefault="00FE0907" w:rsidP="00FE0907">
      <w:pPr>
        <w:pStyle w:val="TextoNormal"/>
      </w:pPr>
      <w:r>
        <w:t xml:space="preserve">C) La parte apelada, con fecha 6 de marzo, interesó de la Audiencia que declarase nula la apelación interpuesta, de conformidad con el art. 148.2º de la L.A.U., ya que -aducía- la apelante no había acreditado el pago de las rentas vencidas o su consignación judicial en el momento de la formulación del recurso. </w:t>
      </w:r>
    </w:p>
    <w:p w:rsidR="00FE0907" w:rsidRDefault="00FE0907" w:rsidP="00FE0907">
      <w:pPr>
        <w:pStyle w:val="TextoNormal"/>
      </w:pPr>
      <w:r>
        <w:t xml:space="preserve">D) La actora, en escrito del día 11 de abril, se dirigió a la Sala adjuntando los recibos correspondientes a los meses de marzo y abril de 1989. </w:t>
      </w:r>
    </w:p>
    <w:p w:rsidR="00FE0907" w:rsidRDefault="00FE0907" w:rsidP="00FE0907">
      <w:pPr>
        <w:pStyle w:val="TextoNormal"/>
      </w:pPr>
      <w:r>
        <w:t xml:space="preserve">E) A través de la Sentencia impugnada, la Audiencia desestimó la apelación y declaró firme la decisión del Juzgado de Distrito. Ello con base en esta argumentación: </w:t>
      </w:r>
    </w:p>
    <w:p w:rsidR="00FE0907" w:rsidRDefault="00FE0907" w:rsidP="00FE0907">
      <w:pPr>
        <w:pStyle w:val="TextoNormal"/>
      </w:pPr>
      <w:r>
        <w:t>"Acreditado que ha sido en el rollo, mediante... los recibos de renta aportados por la propia parte apelante, que en el momento de interposición del recurso de apelación el día 24 de enero del año en curso, la última mensualidad pagada fue la de diciembre de 1988..., sin que en aquella fecha hubiese hecho efectiva la mensualidad correspondiente al mes en curso en el momento de recurrir, es decir, enero, que pagó el día 10 de febrero de 1989; es evidente, pues que el demandado apelante en el momento de interponer el recurso no cumplía el requisito exigido por el apartado 2º del art. 148 de la Ley de Arrendamientos Urbanos...; y siendo así que según consta en el contrato el pago se pactó por meses adelantados se hace evidente que aquella obligación quedó incumplida, sin que, como declaran las Sentencias del T.S. de 3 de abril de 1963 y 23 de febrero del mismo año, esta omisión pueda subsanarse con la presentación posterior del recibo acreditativo del pago de la renta, y menos cuando de dicho recibo se desprende que en la fecha del recurso no estaba al corriente en el pago; dada la redacción literal del indicado precepto cuando dispone 'habrán de acreditar, al interponerlo', y por cuanto los efectos del pago posterior no pueden retrotraerse al trámite señalado por la ley en dicho precepto; lo que, siguiendo que es doctrina jurisprudencial constante, ha de llevarnos a tener por no presentado en forma el recurso de apelación, y por tanto, sin entrar en las alegaciones efectuadas por la parte apelante en esta alzada, declarar la firmeza de la resolución recurrida".</w:t>
      </w:r>
    </w:p>
    <w:p w:rsidR="00FE0907" w:rsidRDefault="00FE0907" w:rsidP="00FE0907">
      <w:pPr>
        <w:pStyle w:val="TextoNormal"/>
      </w:pPr>
    </w:p>
    <w:p w:rsidR="00FE0907" w:rsidRDefault="00FE0907" w:rsidP="00FE0907">
      <w:pPr>
        <w:pStyle w:val="TextoNormal"/>
      </w:pPr>
      <w:r w:rsidRPr="00FE0907">
        <w:rPr>
          <w:rStyle w:val="NumeroAFNegritaCaracter"/>
        </w:rPr>
        <w:t>2</w:t>
      </w:r>
      <w:r>
        <w:t>. Según la actora, el motivo de su queja radica en el "contenido excesivamente riguroso y formalista" de la Sentencia impugnada, pues, si bien es cierto que en el momento de interponerse la apelación, el 24 de enero, no se había satisfecho el pago del alquiler co</w:t>
      </w:r>
      <w:r>
        <w:lastRenderedPageBreak/>
        <w:t xml:space="preserve">rrespondiente a dicho mes, dicha deficiencia fue subsanada de forma inmediata con la aportación del pertinente recibo, "por lo que hubiera bastado que el órgano jurisdiccional hubiera concedido un plazo al arrendatario para que pudiera justificar el pago o la consignación..., práctica común y habitual por lo demás, dado que de esta manera quedarían debidamente protegidos los intereses del arrendador..., y a la par los del arrendatario a acudir a una 2ª instancia, afirmación que cobra todo su sentido si se toma en consideración que el procedimiento versaba sobre una resolución contractual por obras inconsentidas y no por falta de pago, de tal manera que no ha existido ni conducta fraudulenta ni mala fe...". </w:t>
      </w:r>
    </w:p>
    <w:p w:rsidR="00FE0907" w:rsidRDefault="00FE0907" w:rsidP="00FE0907">
      <w:pPr>
        <w:pStyle w:val="TextoNormal"/>
      </w:pPr>
      <w:r>
        <w:t xml:space="preserve">De otro lado, entiende la actora que la doctrina del Tribunal Supremo evocada por la Audiencia, de marcada rigidez formal y procedimental, ha de considerarse superada, tanto por la propia jurisprudencia posterior del T.S. y la del Tribunal Constitucional cuanto por lo preceptuado en el art. 11.3 de la Ley Orgánica del Poder Judicial. La tutela judicial efectiva "impone una interpretación finalista y antiformalista que se refleja en los principios de máxima conservación de los actos y trámites procesales, de proporcionalidad entre defecto y sanción y de consagración de la subsanación como regla general". Así lo confirma la doctrina de este Tribunal (SSTC, entre otras, 46/1989 y 172/1985). </w:t>
      </w:r>
    </w:p>
    <w:p w:rsidR="00FE0907" w:rsidRDefault="00FE0907" w:rsidP="00FE0907">
      <w:pPr>
        <w:pStyle w:val="TextoNormal"/>
      </w:pPr>
      <w:r>
        <w:t xml:space="preserve">Suplica por ello la actora que, dada la infracción producida del art. 24.1 de la C.E., se dicte Sentencia otorgándole el amparo que solicita y declarando la nulidad de la decisión judicial impugnada, así como reconociendo su derecho a que se celebre nueva vista oral en apelación o, subsidiariamente, a que se dicte Sentencia sin más trámites en la que se entre a enjuiciar y fallar sobre el fondo de la cuestión dilucidada en los autos de cognición 441/88. </w:t>
      </w:r>
    </w:p>
    <w:p w:rsidR="00FE0907" w:rsidRDefault="00FE0907" w:rsidP="00FE0907">
      <w:pPr>
        <w:pStyle w:val="TextoNormal"/>
      </w:pPr>
      <w:r>
        <w:t>Mediante otrosí, suplica asimismo, de acuerdo con lo establecido en los arts. 56 y siguientes y concordantes de la Ley Orgánica del Tribunal Constitucional, que se acuerde la suspensión de la ejecución de la Sentencia recurrida, habida cuenta de que el lanzamiento de la vivienda le acarrearía un perjuicio irreparable, haciendo perder al amparo su finalidad, ofreciéndose a prestar fianza bastante en la cuantía que en su caso fije el Tribunal.</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Sección, por providencia de 21 de julio de 1989, acordó admitir a trámite la demanda, así como, a tenor de lo dispuesto en el art. 51 de la LOTC, requerir atentamente al Juzgado de Distrito núm. 16 de Barcelona, y a la Audiencia de dicha capital, para que en el plazo de diez días remitieran testimonio de los autos relativos al amparo solicitado, interesando al propio tiempo se emplazase a quienes hubieren sido parte en el procedimiento para que en el plazo de diez días pudieran comparecer en el proceso constitucional. Acordó igualmente formar la correspondiente pieza de suspensión. </w:t>
      </w:r>
    </w:p>
    <w:p w:rsidR="00FE0907" w:rsidRDefault="00FE0907" w:rsidP="00FE0907">
      <w:pPr>
        <w:pStyle w:val="TextoNormal"/>
      </w:pPr>
      <w:r>
        <w:t>El 10 de agosto de 1989, la Sección de Vacaciones del Tribunal Constitucional acordó suspender la ejecución de las resoluciones impugnadas, mediante la prestación de fianza o garantía con cargo a los recurrentes, y en las condiciones que estableciese el juez de la ejecución. El 4 de diciembre del mismo año, la Sección Segunda acordó tener por recibidas las actuaciones interesadas del Juzgado de Distrito y de la Audiencia de Barcelona: tener por personado y parte al Procurador de los Tribunales Sr. Morales Price, en nombre y representación de doña Josefa Alá Rubiol; y dar vista de todas las actuaciones del recurso de amparo, por un plazo común de veinte días, al Ministerio Fiscal y a los Procuradores Sres. Guinea y Gauna y Morales Price para que dentro de dicho término pudieran presentar las alegaciones que a su derecho convinieran.</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Presenta las suyas el Ministerio Fiscal, con fecha 2 de enero de 1990, manifestando que la jurisprudencia del Tribunal Constitucional, de manera reiterada y constante, ha </w:t>
      </w:r>
      <w:r>
        <w:lastRenderedPageBreak/>
        <w:t>afirmado que el requisito exigido por el art. 148.2 de la LAU es plenamente constitucional, dada la finalidad perseguida por este requisito, la naturaleza del contrato de arrendamiento y los derechos del arrendador. Distingue tal jurisprudencia entre el cumplimiento del requisito del abono o consignación de las rentas vencidas y no pagadas, y la prueba de dicho pago o consignación. Si no se han pagado o consignado las rentas vencidas no cabe el abono con posterioridad al plazo del recurso, por lo que éste debe ser inadmitido. Pero si se han pagado o consignado en su momento, es posible que el Tribunal abra o conceda un plazo para acreditar ese pago. En el presente caso el órgano judicial afirma, y la recurrente confirma, que en el momento de interponer la apelación, la actora no había abonado ni consignado el importe de la renta vencida de un mes. Había incumplido pues la carga legal impuesta por el art. 148.2 LAU, lo que justifica, sin que se aprecie formalismo en su interpretación, la inadmisión del recurso. En consecuencia, el Ministerio Fiscal interesa se desestime la demanda de amparo.</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representación de doña Josefa Alá Rubiol, en escrito de 29 de diciembre de 1989, manifiesta que no existe la vulneración del derecho constitucional pretendida por la recurrente, pues el órgano judicial actuó correctamente. La solicitante de amparo no recurrió en forma contra la Sentencia dictada por el Juzgado de Distrito, pues incumplió el requisito del art. 148.2 LAU, pues no acreditó estar al corriente en el pago de los alquileres ni consignó los que pudiera estar adeudando. La recurrente interpuso el recurso el 24 de enero, pero no satisfizo el alquiler del mes de enero hasta el 10 de febrero, cuando debía haber satisfecho la renta por mensualidades anticipadas. Se trata la falta de pago o consignación, de una omisión insubsanable que determina la inviabilidad del recurso. Cita a continuación doctrina del Tribunal Constitucional (SSTC 46/1989 y 49/1989), y solicita se desestime el amparo interpuesto, con expresa imposición de costas a la recurrente por mala fe y temeridad. </w:t>
      </w:r>
    </w:p>
    <w:p w:rsidR="00FE0907" w:rsidRDefault="00FE0907" w:rsidP="00FE0907">
      <w:pPr>
        <w:pStyle w:val="TextoNormal"/>
      </w:pPr>
      <w:r>
        <w:t>La representación de la recurrente, en escrito de 2 de enero de 1990, en que reitera que la Sentencia impugnada adolece de excesivo rigorismo formal, vulnerando el derecho a la tutela judicial efectiva, máxime cuando el motivo de la resolución del contrato fue la realización de obras inconsentidas, y no de falta de pago de la renta: por lo que solicita se conceda el amparo solicitado.</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fecha 30 de marzo de 1992, se acordó señalar el día 2 de abril siguiente,para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 la presente demanda de amparo reside en determinar si ha resultado vulnerado el derecho a la tutela judicial efectiva reconocido en el art. 24.1 de la Constitución, en su vertiente de acceder al sistema de recursos, como consecuencia de haber decidido la Audiencia de Barcelona tener por no presentado en forma recurso de apelación, y declarar la firmeza de la resolución recurrida, por no haber cumplido la hoy demandante de amparo el requisito exigido por el apartado 2º del artículo 148 de la Ley de Arrendamientos Urbanos, que exige al inquilino o arrendatario, para que puedan usar de los recursos que les reconoce la propia ley, la previa consignación o el pago de las mensualidades vencidas cuando el proceso lleve aparejado el lanzamiento.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2</w:t>
      </w:r>
      <w:r>
        <w:t>. Para resolver el recurso, es necesario tener en cuenta la doctrina elaborada al respecto por este Tribunal, entre otras, en sus SSTC 46/1989, 49/1989 y 63/1989. Decíamos en estas Sentencias (recogiendo jurisprudencia constitucional anterior) en relación con el art. 148.2 de la LAU, que antes de decidir la inadmisión de un recurso de apelación en razón del vicio advertido en la interposición del mismo, debe el órgano judicial interpretar conforme a la Constitución aquel precepto de la ley arrendaticia, determinando el carácter subsanable o no del defecto apreciado en la consignación y otorgando, en el caso de que fuese posible la subsanación, oportunidad a la parte para llevar ésta a cabo. Y proseguíamos manifestando que debe prevalecer una interpretación teleológica o finalista de dicha norma que tenga presente el sentido de las formas en el proceso y no convierta en obstáculo insalvable el incumplimiento involuntario y no malicioso de requisitos formales, siempre y cuando tales omisiones no impidan la buena marcha del proceso ni afecten a la finalidad perseguida por el legislador, que es la de asegurar los intereses del arrendador que ha obtenido una sentencia favorable, evitando que el proceso arrendaticio -y el derecho del arrendatario a acceder al sistema de recursos legalmente establecido- sea instrumentalizado como una maniobra dilatoria, en claro perjuicio de la contraparte.</w:t>
      </w:r>
    </w:p>
    <w:p w:rsidR="00FE0907" w:rsidRDefault="00FE0907" w:rsidP="00FE0907">
      <w:pPr>
        <w:pStyle w:val="TextoNormal"/>
      </w:pPr>
      <w:r>
        <w:t>En este sentido, y según la doctrina de este Tribunal, ha de distinguirse entre el hecho del pago o consignación previa al recurso, de la acreditación de ese pago o consignación. Esta acreditación constituye un simple requisito formal, cuya omisión debe permitir al Juez que sea subsanada.  Pero tal no es el caso con respecto del mismo hecho del pago o consignación. En efecto, éste no constituye un requisito formal, sino que viene a cumplir una finalidad cautelar y de legítima salvaguardia de los intereses del arrendador; y se configura por tanto, según lo previsto en el art.  148.2 LAU, y como manifestó este Tribunal en las Sentencias citadas, como un requisito esencial para el acceso al recurso.  La exigencia, por tanto, para la admisibilidad del recurso, y la emisión de una resolución sobre el fondo del mismo, de que efectivamente ese pago o consignación se haya efectuado, no resulta un formalismo desproporcionado, sino una vía razonable y adecuada para garantizar los intereses del arrendador.</w:t>
      </w:r>
    </w:p>
    <w:p w:rsidR="00FE0907" w:rsidRDefault="00FE0907" w:rsidP="00FE0907">
      <w:pPr>
        <w:pStyle w:val="TextoNormal"/>
      </w:pPr>
    </w:p>
    <w:p w:rsidR="00FE0907" w:rsidRDefault="00FE0907" w:rsidP="00FE0907">
      <w:pPr>
        <w:pStyle w:val="TextoNormal"/>
      </w:pPr>
      <w:r w:rsidRPr="00FE0907">
        <w:rPr>
          <w:rStyle w:val="NumeroAFNegritaCaracter"/>
        </w:rPr>
        <w:t>3</w:t>
      </w:r>
      <w:r>
        <w:t>. Desde esta perspectiva, no cabe estimar que se haya producido la vulneración alegada del derecho a la tutela judicial efectiva. Pues resulta de las actuaciones (y no es negado por la recurrente) que cuando se interpuso el recurso de apelación, esto es, el día 24 de enero de 1989, no se había efectuado en ese momento el pago correspondiente a ese mes, aún cuando según el contrato de arrendamiento el pago debía efectuarse por meses adelantados.  Tal pago, en efecto, se realizó únicamente en el mes siguiente, el 10 de febrero de 1989. En consecuencia, la Audiencia de Barcelona, al decidir no entrar en el fondo del recurso, por no haberse cumplido los requisitos necesarios para su planteamiento vino a efectuar una interpretación razonable y motivada del art. 148.2 de la Ley de Arrendamientos Urbanos, estimando, de acuerdo con la finalidad de la ley, la presencia de un obstáculo procesal, no desproporcionado ni arbitrario, para conocer del fondo del asunto.</w:t>
      </w:r>
    </w:p>
    <w:p w:rsidR="00FE0907" w:rsidRDefault="00FE0907" w:rsidP="00FE0907">
      <w:pPr>
        <w:pStyle w:val="TextoNormal"/>
      </w:pPr>
      <w:r>
        <w:t>No cabe apreciar, por tanto, que cuando la Audiencia, en esas circunstancias, consideró no presentado en forma el recurso de apelación, impidiera injustificadamente el acceso a un recurso previsto por la ley, ni vulnerara el derecho a la tutela judicial efectiva. Por lo que debe desestimarse el recurso de amparo. Sin que proceda, por otra parte, estimar que haya concurrido mala fe o temeridad en el planteamiento del recurso, ni, por ello, imponer las costas a la recurrente.</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 por doña Pilar Gutiérrez Cabezos.</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5" w:name="SENTENCIA_1992_52"/>
      <w:r>
        <w:lastRenderedPageBreak/>
        <w:t>SENTENCIA 52/1992, de 8 de abril de 1992</w:t>
      </w:r>
    </w:p>
    <w:bookmarkEnd w:id="55"/>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ECLI:ES:TC:1992:52</w:t>
      </w:r>
    </w:p>
    <w:p w:rsidR="00FE0907" w:rsidRDefault="00FE0907" w:rsidP="00FE0907">
      <w:pPr>
        <w:pStyle w:val="SntesisDescriptiva"/>
      </w:pPr>
    </w:p>
    <w:p w:rsidR="00FE0907" w:rsidRDefault="00FE0907" w:rsidP="00FE0907">
      <w:pPr>
        <w:pStyle w:val="SntesisDescriptiva"/>
      </w:pPr>
      <w:r>
        <w:t>Recurso de amparo 1.733/1988. Contra Resolución administrativa y subsiguiente Sentencia de la Sala Quinta del Tribunal Supremo, recaída en recurso de apelación, relativas a vocalías que corresponden a la PIMEM en la Comisión Consultiva del Patrimonio Sindical Acumulado.</w:t>
      </w:r>
    </w:p>
    <w:p w:rsidR="00FE0907" w:rsidRDefault="00FE0907" w:rsidP="00FE0907">
      <w:pPr>
        <w:pStyle w:val="SntesisDescriptiva"/>
      </w:pPr>
    </w:p>
    <w:p w:rsidR="00FE0907" w:rsidRDefault="00FE0907" w:rsidP="00FE0907">
      <w:pPr>
        <w:pStyle w:val="SntesisAnaltica"/>
      </w:pPr>
      <w:r>
        <w:t>Supuesta vulneración de la libertad sindical y del principio de igualdad: diferenciación de trato justificada</w:t>
      </w:r>
    </w:p>
    <w:p w:rsidR="00FE0907" w:rsidRDefault="00FE0907" w:rsidP="00FE0907">
      <w:pPr>
        <w:pStyle w:val="SntesisAnaltica"/>
      </w:pPr>
    </w:p>
    <w:p w:rsidR="00FE0907" w:rsidRDefault="00FE0907" w:rsidP="00FE0907">
      <w:pPr>
        <w:pStyle w:val="Extracto"/>
      </w:pPr>
      <w:r>
        <w:t>1.</w:t>
      </w:r>
      <w:r>
        <w:tab/>
        <w:t>La vía procesal del amparo constitucional no es el cauce adecuado para solicitar y obtener un pronunciamiento abstracto y genérico sobre la constitucionalidad de determinado criterio de interpretación de la norma [F.J. 1].</w:t>
      </w:r>
    </w:p>
    <w:p w:rsidR="00FE0907" w:rsidRDefault="00FE0907" w:rsidP="00FE0907">
      <w:pPr>
        <w:pStyle w:val="Extracto"/>
      </w:pPr>
    </w:p>
    <w:p w:rsidR="00FE0907" w:rsidRDefault="00FE0907" w:rsidP="00FE0907">
      <w:pPr>
        <w:pStyle w:val="Extracto"/>
      </w:pPr>
      <w:r>
        <w:t>2.</w:t>
      </w:r>
      <w:r>
        <w:tab/>
        <w:t>Este Tribunal ha expresado con no poca contundencia que la «sindicación de los empresarios» (términos antagónicos) se sitúa extramuros del art. 28.1 de la Constitución, encontrando su acomodo en la genérica libertad de asociación del art. 22 de la misma (ATC 113/1984). Es preciso insistir en que la libertad sindical es predicable tan sólo de los trabajadores y sus organizaciones, sin que pueda incluirse en la misma el asociacionismo empresarial, dado que es incompatible con la propia naturaleza del derecho de libertad sindical, que es siempre una proyección de la defensa y promoción del interés de los trabajadores [F.J. 3].</w:t>
      </w:r>
    </w:p>
    <w:p w:rsidR="00FE0907" w:rsidRDefault="00FE0907" w:rsidP="00FE0907">
      <w:pPr>
        <w:pStyle w:val="Extracto"/>
      </w:pPr>
    </w:p>
    <w:p w:rsidR="00FE0907" w:rsidRDefault="00FE0907" w:rsidP="00FE0907">
      <w:pPr>
        <w:pStyle w:val="Extracto"/>
      </w:pPr>
      <w:r>
        <w:t>3.</w:t>
      </w:r>
      <w:r>
        <w:tab/>
        <w:t>Ante el vacío normativo existente en torno a la delimitación de la mayor representatividad de las asociaciones empresariales, la decisión que excluye de la Comisión Consultiva del Patrimonio Sindical Acumulado a determinada Asociación empresarial, sólo cabe plantearse si existen motivos justificados para tal exclusión o, dicho de otra manera, si la denegación aparece desprovista de una motivación objetiva y razonable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García-Món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1.733/88 promovido por don Demetrio J. Peña Collado, representado por doña María Jesús González Díez y asistido del Letrado don Antonio Sansaloni Humbert contra la Resolución de la Subdirección General de Patrimonio y Obras del Ministerio de Trabajo y Seguridad Social de 29 de octubre de 1986 y la Sentencia dictada por la Sala Quinta del Tribunal Supremo el 27 de julio de 1988 en el recurso de apelación núm. 3.241/87. Han comparecido el Ministerio Fiscal, el Abogado del Estado y la Confederación Española de Organizaciones Empresariales (C.E.O.E.), representada por el Procurador don Juan Antonio García San Miguel y Orueta y asistida del Letrado don Rafael de Aldeme. Ha sido Ponente el Pre-sidente del Tribunal don Francisco Tomás y Valiente,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en el Juzgado de Guardia de Madrid el día 28 de octubre de 1988, la Procuradora de los Tribunales doña María Jesús González Díez, actuando en nombre y representación de don Demetrio J. Peña Collado, Presidente de la Federación de la Pequeña y Mediana Empresa de Mallorca (PIMEM) interpuso recurso de amparo constitucional contra el acto administrativo emanado de la Subdirección General de Patrimonio y Obras del Ministerio de Trabajo y Seguridad Social de 29 de octubre de 1986 y la Sentencia de la Sala Quinta del Tribunal Supremo de 27 de julio de 1988 recaída en el recurso de apelación núm. 3.241/87, relativo a vocalías que corresponden a la PIMEM en la Comisión Consultiva del Patrimonio Sindical Acumulado.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Constituyen la base fáctica de la demanda los siguientes antecedentes de hecho: </w:t>
      </w:r>
    </w:p>
    <w:p w:rsidR="00FE0907" w:rsidRDefault="00FE0907" w:rsidP="00FE0907">
      <w:pPr>
        <w:pStyle w:val="TextoNormal"/>
      </w:pPr>
      <w:r>
        <w:t xml:space="preserve">a) En el año 1986 la Federación de Petita y Mitjana Empresa de Mallorca (PIMEM) solicitó que se le atribuyera una o varias vocalías en la Comisión consultiva prevista en el art. 6 de la Ley 4/1986, de 8 de enero. Su pretensión fue denegada por resolución de la Subdirección General de Patrimonio y Obras del Ministerio de Trabajo y Seguridad Social de 29 de octubre de 1986, al considerar que la representatividad había que entenderla referida al ámbito nacional, en el que esa Federación no consta acreditada como más representativa. </w:t>
      </w:r>
    </w:p>
    <w:p w:rsidR="00FE0907" w:rsidRDefault="00FE0907" w:rsidP="00FE0907">
      <w:pPr>
        <w:pStyle w:val="TextoNormal"/>
      </w:pPr>
      <w:r>
        <w:t xml:space="preserve">b) Contra esa Resolución ministerial interpuso el actor recurso contencioso administrativo, al amparo de la Ley 62/1978 de protección jurisdiccional de los derechos fundamentales, ante la Audiencia Nacional, que desestimó el recurso declarando la resolución impugnada conforme con el ordenamiento jurídico, en Sentencia de 9 de julio de 1987. </w:t>
      </w:r>
    </w:p>
    <w:p w:rsidR="00FE0907" w:rsidRDefault="00FE0907" w:rsidP="00FE0907">
      <w:pPr>
        <w:pStyle w:val="TextoNormal"/>
      </w:pPr>
      <w:r>
        <w:t xml:space="preserve">c) Promovido recurso de apelación contra la anterior Sentencia ante la Sala Quinta del Tribunal Supremo, fue desestimado por medio de la Sentencia de 27 de julio de 1988, que confirmó la Sentencia recurrida de la Audiencia Nacional. </w:t>
      </w:r>
    </w:p>
    <w:p w:rsidR="00FE0907" w:rsidRDefault="00FE0907" w:rsidP="00FE0907">
      <w:pPr>
        <w:pStyle w:val="TextoNormal"/>
      </w:pPr>
      <w:r>
        <w:t xml:space="preserve">d) Para completar la relación circunstanciada de hechos interesa, además, señalar: de un lado, que en fecha 2 de mayo de 1987 el recurrente en su calidad de Presidente de PIMEM remitió un escrito al Ministerio de Trabajo y Seguridad Social, pidiendo que fuese reconocida a la Federación su capacidad de representación institucional en defensa de los intereses generales de los empresarios ante las Administraciones públicas y otras Entidades y Organismos de carácter estatal o de Comunidad Autónoma que la tengan prevista; y, de otro, que el Subsecretario del Ministerio de Trabajo y Seguridad Social, en comunicación </w:t>
      </w:r>
      <w:r>
        <w:lastRenderedPageBreak/>
        <w:t>de 18 de noviembre de 1987, es decir, con posterioridad a su anterior denegación, reconoció a la PIMEM "por notoriedad", su condición de "Asociación Empresarial más representativa a nivel de Comunidad Autónoma", de acuerdo con la Disposición adicional Sexta del Estatuto de los Trabajadores.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cuanto a la fundamentación jurídica de la demanda, se invocan como vulnerados los arts. 14, 24.1 y 28.1 de la Constitución. El principio de igualdad ha sido lesionado, según el demandante, porque no se da a la PIMEM el mismo trato que a la CEOE-CEPYME, en cuanto a la participación institucional, pese a haber obtenido reconocimiento del Ministerio de Trabajo de la condición de organización empresarial más representativa en la Comunidad Autónoma de las Islas Baleares, y ostentar idéntico título o condición que la CEOE-CEPYME, bien que limitado al ámbito autonómico. Al mismo tiempo se considera transgredido el art. 14 C.E. al no permitir la presencia de PIMEM en la Comisión consultiva mencionada y dar entrada, sin embargo, a otras organizaciones que no tienen ámbito nacional, concretamente el Sindicato de Trabajadores Vascos (ELA-STV) y la Intersindical de Trabajadores Gallegos (INTG). Por su parte, el art. 24 de la C.E. resultaría conculcado por la Sentencia impugnada desde el momento en que, al declarar conforme a Derecho la Resolución administrativa, "no hace sino impedir la realización del derecho a la justicia recogido en dicho artículo, impidiendo el reconocimiento de un derecho fundamental, mediante una interpretación del ordenamiento jurídico de dudosa constitucionalidad". Por último, se habría trasgredido el art. 28.1 de la C.E. en la medida en que, al no reconocerse en favor de PIMEM, su derecho a que se le atribuya las vocalías que le pudieran corresponder, se impide a esta parte el pleno ejercicio de la libertad sindical. </w:t>
      </w:r>
    </w:p>
    <w:p w:rsidR="00FE0907" w:rsidRDefault="00FE0907" w:rsidP="00FE0907">
      <w:pPr>
        <w:pStyle w:val="TextoNormal"/>
      </w:pPr>
      <w:r>
        <w:t>De acuerdo con todo ello, el recurrente solicita de este Tribunal que declare la nulidad de la Resolución de fecha 29 de octubre de 1986 dictada por el Subdirector General de Patrimonio y Obras del Ministerio de Trabajo y Seguridad Social así como de la Sentencia de la Sala Quinta del Tribunal Supremo de 27 de julio de 1988, dictada en recurso de apelación 3.241/87, declarando asimismo que PIMEM ostenta la condición de Asociación Empresarial más representativa a nivel de Comunidad Autónoma y que tiene derecho al ejercicio de la representación institucional en defensa de los intereses generales de los empresarios ante las Administraciones Públicas, y por tanto, a que se le atribuya la vocalía o vocalías que le correspondan en la Comisión Consultiva Nacional del Patrimonio Sindical Acumulado.</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21 de noviembre de 1988, la Sección Tercera de la entonces Sala Segunda de este Tribunal Constitucional acordó tener por interpuesto recurso de amparo por don Demetrio J. Peña Collado y por personado y parte en nombre y representación del mismo a la Procuradora de los Tribunales Sra. González Díez, a quien se concedió un plazo de diez días para presentar el omitido poder original de representación.</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Por providencia de 19 de diciembre de 1988, la Sección Tercera de la Sala Segunda de este Tribunal Constitucional acordó admitir a trámite la demanda de amparo, y al mismo tiempo requerir al Ministerio de Trabajo y Seguridad Social, al Tribunal Supremo y a la Audiencia Nacional para que en el plazo de diez días remitieran, respectivamente, testimonio del expediente administrativo relativo a la solicitud de la PIMEM a dicho Ministerio del recurso de apelación núm. 3.241/87 seguido ante la Sala Quinta, y del recurso contencioso administrativo núm. 17141/86 seguido ante la Sección Primera de la Sala de lo </w:t>
      </w:r>
      <w:r>
        <w:lastRenderedPageBreak/>
        <w:t>Contencioso- Administrativo, interesándose al propio tiempo el emplazamiento de quienes fueron parte en el mencionado procedimiento, con excepción del recurrente, para que dentro del plazo de diez días pudieran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3 de abril de 1989, la Sección Primera de la Sala Primera de este Tribunal Constitucional acordó tener por recibidas las actuaciones remitidas por el Ministerio de Trabajo y Seguridad Social, por el Tribunal Supremo y por la Audiencia Nacional. Asímismo, se tuvo por personados y partes al Abogado del Estado y al Procurador Sr. García San Miguel, este último en nombre y representación de la Confederación Española de Organizaciones Empresariales. </w:t>
      </w:r>
    </w:p>
    <w:p w:rsidR="00FE0907" w:rsidRDefault="00FE0907" w:rsidP="00FE0907">
      <w:pPr>
        <w:pStyle w:val="TextoNormal"/>
      </w:pPr>
      <w:r>
        <w:t>A tenor de lo dispuesto en el art. 52 de la Ley Orgánica del Tribunal Constitucional, se dio vista de todas las actuaciones del presente recurso de amparo, por un plazo común de veinte días al Ministerio Fiscal, al Abogado del Estado y a los Procuradores Sres. González Díez y García San Miguel, para que dentro de dicho término pudieran presentar las alegaciones oportunas.</w:t>
      </w:r>
    </w:p>
    <w:p w:rsidR="00FE0907" w:rsidRDefault="00FE0907" w:rsidP="00FE0907">
      <w:pPr>
        <w:pStyle w:val="TextoNormal"/>
      </w:pPr>
    </w:p>
    <w:p w:rsidR="00FE0907" w:rsidRDefault="00FE0907" w:rsidP="00FE0907">
      <w:pPr>
        <w:pStyle w:val="TextoNormal"/>
      </w:pPr>
      <w:r w:rsidRPr="00FE0907">
        <w:rPr>
          <w:rStyle w:val="NumeroAFNegritaCaracter"/>
        </w:rPr>
        <w:t>7</w:t>
      </w:r>
      <w:r>
        <w:t>. Don Juan Antonio García San Miguel, Procurador de los Tribunales y de la Confederación Española de Organizaciones Empresariales (CEOE), en escrito presentado el 19 de abril de 1989 se opone a la estimación de la demanda. En relación con algunas pretensiones que se deducen en la demanda de amparo, concretamente la del enjuiciamiento por este Tribunal sobre la legislación reguladora del modelo de representatividad afectante a las organizaciones empresariales, y la legalidad constitucional del concepto de "notoriedad" en cuya virtud opera el Ministerio de Trabajo para otorgar el título de "organización empresarial más representativa", sostiene que son cuestiones nuevas, al no haber sido enjuiciadas previamente en vía ordinaria y que no pueden ser objeto de análisis por este Tribunal. Después de subrayar que el ámbito de la entidad recurrente es de carácter local, niega que se haya lesionado el art. 14 de la C.E., porque el punto de comparación elegido para hablar de discriminación, el sindicato ELA-STV no es apto para ello, por tener ámbito autonómico del que carece la recurrente. Desde la perspectiva del derecho a la libertad sindical, tampoco estima que puede considerarse vulnerado, pues PIMEM no ha probado la implantación necesaria conforme al ET (1980) de su notoriedad, y además, con base en la STC 57/1989, considera que no es aceptable el criterio de la entidad recurrente, pues todas las organizaciones empresariales territoriales o sectoriales deberían formar parte de todas las comisiones representativas existentes en España, lo que terminaría haciendo ineficaz la pretendida libertad sindical formal. Por último, rechaza que el art. 24 quede vulnerado por la Sentencia impugnada, dado que lo denunciado no tiene cabida dentro del artículo referido de la Constitución.</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El Fiscal ante el Tribunal Constitucional, en escrito presentado el 28 de abril de 1989 formula sus alegaciones, proponiendo asimismo la desestimación. Después de expresar la escasa solidez del reproche formulado contra la Sentencia del Tribunal Supremo desde la perspectiva del art. 24 CE, en vista de que no tiene otro apoyo que la mera discrepancia con lo fallado, centra su atención en los otros dos derechos que se dicen vulnerados. </w:t>
      </w:r>
    </w:p>
    <w:p w:rsidR="00FE0907" w:rsidRDefault="00FE0907" w:rsidP="00FE0907">
      <w:pPr>
        <w:pStyle w:val="TextoNormal"/>
      </w:pPr>
      <w:r>
        <w:t xml:space="preserve">Por lo que respecta al art. 28.1 de la C.E., descarta que se haya producido lesión, porque considera que el derecho a sindicarse se extiende exclusivamente a los trabajadores y no a los empresarios; todo ello sin perjuicio de que, conforme declara la STC 57/1989 la </w:t>
      </w:r>
      <w:r>
        <w:lastRenderedPageBreak/>
        <w:t>representación institucional de las asociaciones empresariales se homologue a lo previsto para los sindicatos en la LOLS. En cuanto a la alegada violación del derecho de igualdad, estima que, desechada la igualdad que lleva aparejada el derecho de libertad de sindicación, la cuestión queda limitada al distinto trato que recibe en relación con otras organizaciones patronales o sindicales. Dado que la comparación no se establece por el recurrente con los primeros, entiende que hay que hacerla con los sindicatos, en particular con respecto del sindicato regionalista ELA, cuya representatividad está limitada al ámbito de su Comunidad Autónoma. La pregunta sería, dice el Ministerio Fiscal, por qué no se extiende a las asociaciones patronales el mismo criterio seguido para las centrales sindicales; la desigualdad consistiría en el, al menos, aparente distinto trato dado a unas u otras partes. A ello responde, diciendo que el ejemplo de comparación ofrecido -lo ocurrido con los sindicatos- no es acogible, ya que sindicatos y centrales u organizaciones empresariales no son términos equiparables, por las razones que antes se vieron, que no permitieron aceptar la invocación del art. 28.1 C.E., y porque los criterios que permiten determinar la representatividad de los sindicatos de modo objetivo e inequívoco -elecciones sindicales- no se dan, no existen, para las asociaciones de empresarios. Ante la ausencia de previsión legal, entiende el Ministerio Fiscal que el asunto se reduce a una mera cuestión de legalidad -de interpretación jurídica de la Disposición adicional sexta del ET-, sin que la homologación entre sindicatos y patronales que, en alguna ocasión anterior haya admitido la jurisdicción para la composición de otras comisiones, haya de ser necesariamente seguida en este caso.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El Abogado del Estado por su parte alegó el 28 de abril de 1989 en favor de la denegación del amparo solicitado. En el escrito señala que no existe discriminación ni ha sido vulnerado el art. 14 C.E., por cuanto, ninguno de los que la recurrente propone, puede servir o admitirse como término de comparación, al ser evidente la distinta condición de la CEOE-CEPYME y del Sindicato ELA-STV. La asociación recurrente tiene ámbito y dimensión limitado a la Isla de Mallorca sin extender se, ni siquiera al resto del archipiélago balear. En tales condiciones, compararse con una federación empresarial de ámbito nacional o un sindicato de trabajadores de ámbito autonómico, para construir, a partir de esas comparaciones, los razonamientos demostrativos de la discriminación de que alega haber sido objeto, resulta contrario a la más reiterada doctrina jurisprudencial relativa al principio de igualdad y como tal debe ser rechazado. </w:t>
      </w:r>
    </w:p>
    <w:p w:rsidR="00FE0907" w:rsidRDefault="00FE0907" w:rsidP="00FE0907">
      <w:pPr>
        <w:pStyle w:val="TextoNormal"/>
      </w:pPr>
      <w:r>
        <w:t xml:space="preserve">De otro lado, considera que no ha resultado vulnerado el art. 28.1 C.E., por cuanto ni la asociación recurrente ha logrado acreditar el grado de representación exigible para participar en la Comisión de la que desea formar parte, ni, aunque la tuviera, de tal representatividad deriva necesariamente el derecho a participar en todo caso, ni tal derecho forma parte del contenido esencial de la libertad sindical. </w:t>
      </w:r>
    </w:p>
    <w:p w:rsidR="00FE0907" w:rsidRDefault="00FE0907" w:rsidP="00FE0907">
      <w:pPr>
        <w:pStyle w:val="TextoNormal"/>
      </w:pPr>
      <w:r>
        <w:t>Aun admitiendo a efectos dialécticos la representatividad que la recurrente afirma ostentar, el Abogado del Estado afirma que no cabe olvidar que reclama ser parte de una Comisión de carácter nacional en la que la ley que la crea tan sólo reconoce a las organizaciones empresariales el derecho a ocupar seis puestos de representación, de manera que no resulta posible que todas las que a priori pudieran entenderse que gozan de la suficiente representatividad formen parte de la Comisión.</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Doña María Jesús González Díez, Procuradora de los Tribunales y de don Demetrio J. Peña Collado, Presidente de la PIMEM, en escrito presentado el 28 de abril de 1989 insiste en que al haberse reconocido la condición de Asociación empresarial más representativa de la Comunidad Autónoma por parte del Ministerio de Trabajo, y mientras ello no </w:t>
      </w:r>
      <w:r>
        <w:lastRenderedPageBreak/>
        <w:t xml:space="preserve">se modifique, tiene derecho la PIMEM a ejercer la representación ante las Administraciones Públicas y en su virtud, a que se le atribuya la vocalía o vocalías que le correspondan en la Comisión Consultiva de reparto del Patrimonio Sindical acumulado, por lo que su denegación vulnera el art. 28 de la Constitución. Agrega que, ante la falta de desarrollo de la Disposición adicional Sexta del ET, el único criterio de elección actual que opera para alcanzar la condición de asociación empresarial más representativa es la "notoriedad", sobre cuya constitucionalidad pide un pronunciamiento de este Tribunal. Afirma que la notoriedad de PIMEM está acreditada conforme a una serie de documentos en que la representatividad está plenamente aceptada por los interlocutores sociales, lo que motivó que el Ministerio de Trabajo accediera al reconocimiento de su cualidad de Asociación empresarial más representativa. </w:t>
      </w:r>
    </w:p>
    <w:p w:rsidR="00FE0907" w:rsidRDefault="00FE0907" w:rsidP="00FE0907">
      <w:pPr>
        <w:pStyle w:val="TextoNormal"/>
      </w:pPr>
      <w:r>
        <w:t xml:space="preserve">De otra parte, señala que la CEOE-CEPYME, viene ejerciendo su representación institucional en defensa de los intereses generales de los empresarios ante las Administraciones Públicas, en base exclusivamente al reconocimiento de su condición adquirida conforme al criterio de notoriedad, lo que también ha obtenido la PIMEM, pero que, sin embargo, ha quedado excluída de aquel ejercicio, en contra del principio de igualdad. </w:t>
      </w:r>
    </w:p>
    <w:p w:rsidR="00FE0907" w:rsidRDefault="00FE0907" w:rsidP="00FE0907">
      <w:pPr>
        <w:pStyle w:val="TextoNormal"/>
      </w:pPr>
      <w:r>
        <w:t>Finalmente, discrepa del argumento esgrimido en el fundamento tercero de la Sentencia recurrida, según el cual se puede ostentar la condición de más representativa dentro de la Comunidad Autónoma pero no fuera de ella, pues considera que si se tiene capacidad de representación institucional se tiene a todos los niveles, ya sea autonómico o estatal.</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7 de abril de 1992 se señaló para deliberación y votación del presente recurso el día 8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suscitada en el presente recurso de amparo estriba en determinar si, como alega el recurrente en calidad de Presidente de la Federación de la Pequeña y Mediana Empresa de Mallorca (PIMEM), la denegación de la petición de formar parte de la Comisión Consultiva del Patrimonio Sindical Acumulado a la Federación empresarial mencionada, por no acreditar representatividad a nivel nacional, a pesar de haber obtenido reconocimiento de la condición de "Asociación Empresarial más representativa a nivel de Comunidad Autónoma" por el propio Ministerio de Trabajo y Seguridad Social, viola los derechos fundamentales de igualdad, libertad sindical y tutela judicial efectiva garantizados respectivamente en los arts. 14, 28.1 y 24 de la Constitución.  La demanda presenta un objetivo bifronte, en cuanto va dirigida, tanto contra la resolución administrativa emanada de la Subdirección General de Patrimonio y Obras del Ministerio de Trabajo y Seguridad Social de 29 de octubre de 1986, que impidió a PIMEM el acceso a la Comisión Consultiva mencionada, como contra la resolución que puso fin a la vía judicial previa, concretamente la sentencia de la Sala Quinta del Tribunal Supremo de 27 de julio de 1988, confirmatoria de la legalidad del Acuerdo anterior.</w:t>
      </w:r>
    </w:p>
    <w:p w:rsidR="00FE0907" w:rsidRDefault="00FE0907" w:rsidP="00FE0907">
      <w:pPr>
        <w:pStyle w:val="TextoNormal"/>
      </w:pPr>
      <w:r>
        <w:t>A fin de precisar un grado más el objeto del presente recurso de amparo, interesa señalar que la pretensión deducida por el recurrente tendente a recabar de este Tribunal un pronunciamiento sobre la legalidad constitucional de la actual representación institucional de las organizaciones empresariales más representativas (en clara alusión a CEOE-CEPYME , única asociación empresarial presente en la citada Comisión), así como sobre el concepto de la "notoriedad", en cuya virtud, a juicio del recurrente, se opera actualmen</w:t>
      </w:r>
      <w:r>
        <w:lastRenderedPageBreak/>
        <w:t>te el otorgamiento del título de organización empresarial más representativa, no puede ser objeto de consideración. La vía procesal del amparo constitucional no es el cauce adecuado para solicitar y obtener un pronunciamiento abstracto y genérico sobre la constitucionalidad de determinado criterio de interpretación de la norma. La posible incorrección o inaplicabilidad de un criterio interpretativo sólo puede ser analizada por este Tribunal a través de este procedimiento cuando sea inexcusable para corregir la lesión de un derecho fundamental que sea consecuencia de la aplicación de dicho criterio.  En el asunto que nos ocupa, ninguna de las resoluciones impugnadas ha tomado en cuenta el criterio de la notoriedad, o su ausencia, referido a PIMEM, o ha utilizado como término de comparación la notoriedad de otras organizaciones empresariales más representativas para negar el derecho de la Federación reclamante a participar en la citada Comisión Consultiva del Patrimonio Sindical.  Así las cosas, la pretensión de solicitar de este Tribunal un juicio de constitucionalidad sobre el mencionado criterio, resulta manifiestamente improcedente.</w:t>
      </w:r>
    </w:p>
    <w:p w:rsidR="00FE0907" w:rsidRDefault="00FE0907" w:rsidP="00FE0907">
      <w:pPr>
        <w:pStyle w:val="TextoNormal"/>
      </w:pPr>
    </w:p>
    <w:p w:rsidR="00FE0907" w:rsidRDefault="00FE0907" w:rsidP="00FE0907">
      <w:pPr>
        <w:pStyle w:val="TextoNormal"/>
      </w:pPr>
      <w:r w:rsidRPr="00FE0907">
        <w:rPr>
          <w:rStyle w:val="NumeroAFNegritaCaracter"/>
        </w:rPr>
        <w:t>2</w:t>
      </w:r>
      <w:r>
        <w:t>. Invirtiendo el orden de las alegaciones formuladas, no cabe conceder ninguna relevancia constitucional a la imputación hecha a la Sentencia de la Sala Quinta del Tribunal Supremo de 27 de julio de 1988, de violación de art.  24.1 C.E., fundada en el hecho de que el Tribunal, al declarar conforme a derecho la resolución administrativa denegatoria, no hace sino impedir la realización del derecho a la justicia recogido en dicho artículo, imposibilitando el reconocimiento de un derecho fundamental, "mediante una interpretación del ordenamiento jurídico de dudosa constitucionalidad". El reproche encierra tan sólo una mera disconformidad de la parte recurrente con la resolución judicial impugnada, que resulta adversa a sus pretensiones.  Pero, como reiteradamente ha señalado este Tribunal, la tutela judicial efectiva, que reconoce y garantiza el precepto constitucional invocado, no supone el éxito de las pretensiones o de las razones de quien promueve la acción de la justicia. En suma, habiendo recaído una resolución razonada y fundada en derecho sobre la cuestión litigiosa se han cumplido las previsiones exigidas por el art. 24 de la Constitución.</w:t>
      </w:r>
    </w:p>
    <w:p w:rsidR="00FE0907" w:rsidRDefault="00FE0907" w:rsidP="00FE0907">
      <w:pPr>
        <w:pStyle w:val="TextoNormal"/>
      </w:pPr>
    </w:p>
    <w:p w:rsidR="00FE0907" w:rsidRDefault="00FE0907" w:rsidP="00FE0907">
      <w:pPr>
        <w:pStyle w:val="TextoNormal"/>
      </w:pPr>
      <w:r w:rsidRPr="00FE0907">
        <w:rPr>
          <w:rStyle w:val="NumeroAFNegritaCaracter"/>
        </w:rPr>
        <w:t>3</w:t>
      </w:r>
      <w:r>
        <w:t>. Desechada la tutela judicial la cuestión debatida se reduce a los motivos de alegación dirigidos a la Resolución del Ministerio de Trabajo y de la Seguridad Social, que son la violación del art. 14 y 28 de la Constitución.  Para el recurrente la denegación administrativa de la posibilidad de participar con una o varias vocalías en la Comisión Consultiva Nacional de reparto del Patrimonio Sindical Acumulado, conculca el art.  14 de la C.E., al no encontrarse justificada la diferencia de trato respecto de la organización empresarial CEOE-CEPYME, que monopoliza la representación empresarial, pese a ostentar idéntico título que la PIMEM, obtenida a través del criterio de "notoriedad", a falta de otros baremos objetivos de medición de la representatividad. Dicha infracción resultaría, además, por el hecho de permitir que ciertas organizaciones sindicales (concretamente el Sindicato Vasco ELA-STV y la Intersindical Gallega), a pesar de carecer de implantación nacional -al igual que PIMEM-, estén, sin embargo, representadas en la Comisión Consultiva. Por otro lado, entiende el recurrente que la Resolución administrativa vulnera el derecho de libertad sindical, en la medida en que, al haber sido reconocida por la Administración la condición de asociación empresarial más representativa a PIMEM, tanto antes de producirse la denegación a determinados efectos de representación institucional, como con posterioridad mediante comunicación del Subsecretario de Trabajo y Seguridad Social de 18 de noviembre de 1987, su exclusión de la citada Comisión del Patrimonio Sindical constituye un acto transgresor del referido derecho fundamental.</w:t>
      </w:r>
    </w:p>
    <w:p w:rsidR="00FE0907" w:rsidRDefault="00FE0907" w:rsidP="00FE0907">
      <w:pPr>
        <w:pStyle w:val="TextoNormal"/>
      </w:pPr>
      <w:r>
        <w:lastRenderedPageBreak/>
        <w:t>Respecto del art. 28.1 de la C.E., último precepto invocado, no cabe sino coincidir con lo señalado por el Ministerio Fiscal, en el sentido de que esta alegación está fuera de lugar, porque mal puede una Federación empresarial invocar un derecho que no le corresponde. En efecto, se ha de recordar que este Tribunal ha expresado con no poca contundencia que la "sindicación de los empresarios" (términos antagónicos) se sitúa extramuros del art. 28.1 de la Constitución, encontrando su acomodo en la genérica libertad de asociación del art. 22 de la misma (ATC 113/1984). Es preciso insistir en que la libertad sindical es predicable tan solo de los trabajadores y sus organizaciones, sin que pueda incluirse en la misma el asociacionismo empresarial, dado que es incompatible con la propia naturaleza del derecho de libertad sindical, que es siempre una proyección de la defensa y promoción del interés de los trabajadores.  A la vista de la referida doctrina, la improcedencia de invocar este derecho de libertad sindical es más que patente.</w:t>
      </w:r>
    </w:p>
    <w:p w:rsidR="00FE0907" w:rsidRDefault="00FE0907" w:rsidP="00FE0907">
      <w:pPr>
        <w:pStyle w:val="TextoNormal"/>
      </w:pPr>
      <w:r>
        <w:t>Así, el problema se reconduce a la existencia o no de lesión del principio de igualdad al haberse impedido la participación de la entidad recurrente en la Comisión Consultiva del Patrimonio Sindical Acumulado.</w:t>
      </w:r>
    </w:p>
    <w:p w:rsidR="00FE0907" w:rsidRDefault="00FE0907" w:rsidP="00FE0907">
      <w:pPr>
        <w:pStyle w:val="TextoNormal"/>
      </w:pPr>
    </w:p>
    <w:p w:rsidR="00FE0907" w:rsidRDefault="00FE0907" w:rsidP="00FE0907">
      <w:pPr>
        <w:pStyle w:val="TextoNormal"/>
      </w:pPr>
      <w:r w:rsidRPr="00FE0907">
        <w:rPr>
          <w:rStyle w:val="NumeroAFNegritaCaracter"/>
        </w:rPr>
        <w:t>4</w:t>
      </w:r>
      <w:r>
        <w:t>. Esta Comisión Consultiva se encuentra regulada en el art.  6 de la Ley 4/1986, de 6 de enero, desarrollado en el art.  17 del Real Decreto 1.671/1986, de 1 de agosto.  El primer precepto prevé la creación de una Comisión Consultiva, dependiente del Ministerio de Trabajo y Seguridad Social, e integrada por representantes de la Administración del Estado y de las Organizaciones Sindicales y Empresariales más representativas. Por su parte, el art. 17 del Reglamento citado contempla la forma de designación de los integrantes en la mencionada Comisión, reconociendo a las organizaciones empresariales más representativas, en función de su grado de representatividad, el derecho a ostentar seis puestos en dicha Comisión.</w:t>
      </w:r>
    </w:p>
    <w:p w:rsidR="00FE0907" w:rsidRDefault="00FE0907" w:rsidP="00FE0907">
      <w:pPr>
        <w:pStyle w:val="TextoNormal"/>
      </w:pPr>
      <w:r>
        <w:t>Para denegar la presencia de la Federación empresarial recurrente en la Comisión, la Administración alegó la falta de representatividad de esta Federación a nivel nacional, ámbito al que, según la Administración, hay que entender referida la representatividad. La Federación recurrente sostiene, por el contrario, que, de acuerdo con la Disposición adicional sexta del Estatuto de los Trabajadores, que reconoce capacidad para ostentar representación institucional a las Asociaciones Empresariales de Comunidad Autónoma que cuenten en ésta con un mínimo del 15 por 100 de empresarios y trabajadores, tiene derecho a participar en la Comisión Consultiva, porque cuenta con la suficiente implantación en el ámbito autonómico de las Islas Baleares.</w:t>
      </w:r>
    </w:p>
    <w:p w:rsidR="00FE0907" w:rsidRDefault="00FE0907" w:rsidP="00FE0907">
      <w:pPr>
        <w:pStyle w:val="TextoNormal"/>
      </w:pPr>
      <w:r>
        <w:t>El conflicto proviene de un vacío normativo existente en torno a la delimitación de la mayor representatividad de las asociaciones empresariales, tanto a nivel estatal, donde se exige que cuenten con el 10 por 100 o más de las empresas y trabajadores en todo el territorio español, como a nivel autonómico. Aunque la Disposición adicional primera de la Ley Orgánica de Libertad Sindical 11/1985 de 2 de agosto, ha previsto la aprobación de criterios, encomendando al Gobierno que dicte las disposiciones que sean precisas para el desarrollo y aplicación de lo prevenido en la Disposición adicional sexta del ET, lo cierto es que aún no se han adoptado dichos criterios y, en consecuencia, se carece de un sistema de medición seguro de los porcentajes, relativos a empresas y trabajadores, habilitantes para gozar de la condición de organización empresarial más representativa. Ante esta ausencia de criterios, la entidad recurrente PIMEM se ampara en la "notoriedad" que afirma tener en la Comunidad Autónoma de las Islas Baleares para reclamar su admisión, notoriedad que dice haber sido reconocida por la propia Administración.</w:t>
      </w:r>
    </w:p>
    <w:p w:rsidR="00FE0907" w:rsidRDefault="00FE0907" w:rsidP="00FE0907">
      <w:pPr>
        <w:pStyle w:val="TextoNormal"/>
      </w:pPr>
      <w:r>
        <w:lastRenderedPageBreak/>
        <w:t>Prescindiendo ahora de si el nivel de representatividad exigible para formar parte de la Comisión ha de ser el estatal, tal como la Administración parece imponer, que no es en definitiva sino una cuestión de legalidad ordinaria, de interpretación del contenido del derecho de participación institucional, que emana de la Disposición adicional Sexta del ET, ajena -como señala el Fiscal- al planteamiento de un recurso de amparo, lo que debe plantearse es si existen motivos justificados para dejar fuera de la Comisión a PIMEN; o dicho de otra manera, si la denegación aparece desprovista de una justificación objetiva y razonable que la convierta en lesiva del principio de igualdad.</w:t>
      </w:r>
    </w:p>
    <w:p w:rsidR="00FE0907" w:rsidRDefault="00FE0907" w:rsidP="00FE0907">
      <w:pPr>
        <w:pStyle w:val="TextoNormal"/>
      </w:pPr>
      <w:r>
        <w:t>Ninguna duda sobre lesión de igualdad puede albergarse respecto a la decisión de la Administración, por cuanto la desigualdad de trato dada a la Federación empresarial PIMEM mediante su exclusión viene determinada por la propia situación de hecho diferenciada que se da con respecto de las organizaciones representadas en la Comisión Consultiva. De un lado, es claro que la entidad recurrente no opera en el ámbito de actuación de la organización empresarial CEOE-CEPYME. Mientras el área de influencia de esta confederación empresarial alcanza el ámbito nacional, no está acreditado -tal como razonan la Audiencia Nacional y el Tribunal Supremo en sus respectivas sentencias- que el de la recurrente llegue a alcanzar tan siquiera el ámbito autonómico.  Su implantación se encuentra fundamentalmente en la Isla de Mallorca sin que se extienda al resto del archipiélago Balear.</w:t>
      </w:r>
    </w:p>
    <w:p w:rsidR="00FE0907" w:rsidRDefault="00FE0907" w:rsidP="00FE0907">
      <w:pPr>
        <w:pStyle w:val="TextoNormal"/>
      </w:pPr>
      <w:r>
        <w:t>A este elemento diferencial, que anula cualquier razonamiento demostrativo de discriminación con respecto de la parte empresarial, se une, de otro lado, la distinta cualidad y régimen jurídico en cuanto a la determinación de la mayor representatividad de las organizaciones sindicales.  Cualquier comparación con los dos sindicatos presentes en la Comisión (ELA-STV y INTG) resulta inconsistente, no ya solo, porque, al tratarse de organizaciones distintas, son términos no homologables, sino porque éstos tienen acreditada su representatividad de forma objetiva, con arreglo a la norma que determina con precisión la mayor representatividad sindical y atribuye la participación institucional a unas organizaciones sindicales con exclusión de otras (la Ley Orgánica de Libertad Sindical 11/1985, de 2 de agosto).</w:t>
      </w:r>
    </w:p>
    <w:p w:rsidR="00FE0907" w:rsidRDefault="00FE0907" w:rsidP="00FE0907">
      <w:pPr>
        <w:pStyle w:val="TextoNormal"/>
      </w:pPr>
      <w:r>
        <w:t>Todo ello, en fin, lleva a la conclusión de que la diferenciación de trato dispensada a PIMEM, por la no aceptación de su presencia en el seno de la Comisión Consultiva del Patrimonio Sindical Acumulado, no es constitutiva de lesión constitucional, en tanto que concurren elementos diferenciadores que conducen a eliminar la desigualdad injustificada, procediendo, por tanto, la desestimación del recurso de amparo.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recurso de amparo interpuesto por don Demetrio J.  Peña Collado contra la Resolución de la Subdirección General de Patrimonio y Obras del Ministerio de Trabajo y Seguridad Social de 29 de octubre de 1986 y la Sentencia de la Sala Quinta del Tribunal Supremo de 27 de julio de 1988.</w:t>
      </w:r>
    </w:p>
    <w:p w:rsidR="00FE0907" w:rsidRDefault="00FE0907" w:rsidP="00FE0907">
      <w:pPr>
        <w:pStyle w:val="TextoNormal"/>
      </w:pPr>
    </w:p>
    <w:p w:rsidR="00FE0907" w:rsidRDefault="00FE0907" w:rsidP="00FE0907">
      <w:pPr>
        <w:pStyle w:val="TextoNormal"/>
      </w:pPr>
      <w:r>
        <w:lastRenderedPageBreak/>
        <w:t>Publíquese esta Sentencia en el "Boletín Oficial del Estado".</w:t>
      </w:r>
    </w:p>
    <w:p w:rsidR="00FE0907" w:rsidRDefault="00FE0907" w:rsidP="00FE0907">
      <w:pPr>
        <w:pStyle w:val="TextoNormal"/>
      </w:pPr>
      <w:r>
        <w:t>Dada en Madrid, a ocho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6" w:name="SENTENCIA_1992_53"/>
      <w:r>
        <w:lastRenderedPageBreak/>
        <w:t>SENTENCIA 53/1992, de 8 de abril de 1992</w:t>
      </w:r>
    </w:p>
    <w:bookmarkEnd w:id="56"/>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ECLI:ES:TC:1992:53</w:t>
      </w:r>
    </w:p>
    <w:p w:rsidR="00FE0907" w:rsidRDefault="00FE0907" w:rsidP="00FE0907">
      <w:pPr>
        <w:pStyle w:val="SntesisDescriptiva"/>
      </w:pPr>
    </w:p>
    <w:p w:rsidR="00FE0907" w:rsidRDefault="00FE0907" w:rsidP="00FE0907">
      <w:pPr>
        <w:pStyle w:val="SntesisDescriptiva"/>
      </w:pPr>
      <w:r>
        <w:t>Recurso de amparo 1.746/1988. Contra Sentencia de la Audiencia Territorial de Cáceres que inadmitió recurso contencioso-administrativo contra Acuerdo de la Junta de Gobierno de la Universidad de Extremadura en relación con la provisión de una Cátedra universitaria.</w:t>
      </w:r>
    </w:p>
    <w:p w:rsidR="00FE0907" w:rsidRDefault="00FE0907" w:rsidP="00FE0907">
      <w:pPr>
        <w:pStyle w:val="SntesisDescriptiva"/>
      </w:pPr>
    </w:p>
    <w:p w:rsidR="00FE0907" w:rsidRDefault="00FE0907" w:rsidP="00FE0907">
      <w:pPr>
        <w:pStyle w:val="SntesisAnaltica"/>
      </w:pPr>
      <w:r>
        <w:t>Vulneración de la tutela judicial efectiva (derecho a los recursos), así como del derecho a la defensa (privación al actor de la oportunidad de alegar sobre el motivo de inadmisión invocado)</w:t>
      </w:r>
    </w:p>
    <w:p w:rsidR="00FE0907" w:rsidRDefault="00FE0907" w:rsidP="00FE0907">
      <w:pPr>
        <w:pStyle w:val="SntesisAnaltica"/>
      </w:pPr>
    </w:p>
    <w:p w:rsidR="00FE0907" w:rsidRDefault="00FE0907" w:rsidP="00FE0907">
      <w:pPr>
        <w:pStyle w:val="Extracto"/>
      </w:pPr>
      <w:r>
        <w:t>1.</w:t>
      </w:r>
      <w:r>
        <w:tab/>
        <w:t>Este Tribunal ha manifestado en reiteradas ocasiones que, si bien, es cierto que la determinación del alcance de las normas procesales y la precisión de los requisitos de procedibilidad pertenece, en principio, al ámbito y márgenes de interpretación de la legalidad ordinaria, sin embargo, la inadmisión basada en un motivo manifiestamente inexistente o irrazonable constituye no sólo ilegalidad sino inconstitucionalidad que afecta al derecho fundamental del art. 24.1 C.E. y por ello este Tribunal puede comprobar la razonabilidad de la aplicación efectuada de la causa de inadmisión tenida en cuenta, no desarrollando la función que corresponde a los propios Jueces, sino analizando si la interpretación efectuada es arbitraria o infundada [F.J. 2].</w:t>
      </w:r>
    </w:p>
    <w:p w:rsidR="00FE0907" w:rsidRDefault="00FE0907" w:rsidP="00FE0907">
      <w:pPr>
        <w:pStyle w:val="Extracto"/>
      </w:pPr>
    </w:p>
    <w:p w:rsidR="00FE0907" w:rsidRDefault="00FE0907" w:rsidP="00FE0907">
      <w:pPr>
        <w:pStyle w:val="Extracto"/>
      </w:pPr>
      <w:r>
        <w:t>2.</w:t>
      </w:r>
      <w:r>
        <w:tab/>
        <w:t>De acuerdo con doctrina anterior de este Tribunal (STC 201/1987), cuando se trata de la inadmisión por motivo insubsanable alegado por la Administración de un recurso contencioso-administrativo, seguido por el procedimiento especial sumario que en materia de personal establecen los arts. 113 y siguientes L.J.C.A., sin haber dado la Sala oportunidad a los actores para hacer las alegaciones pertinentes sobre la concurrencia de dicha causa de inadmisión antes de ser apreciada en Sentencia, una interpretación integradora de sus especialidades procedimentales que sea acorde con los postulados del art. 24.1 C.E., debe comportar la oportunidad de alegaciones sobre las mismas, aplicando el mismo principio de contradicción que inspira el art. 62.2 L.J.C.A.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1.746/88, interpuesto por don Florencio-Javier García Mogollón, representado por don Ramiro Reynolds de Miguel y asistido por el Letrado don Ignacio Díaz Nieto, contra la Sentencia de 10 de octubre de 1988, de la Sala de lo Contencioso-Administrativo de la Audiencia Territorial de Cáceres, que inadmitió el recurso contencioso-administrativo interpuesto por el actor contra el Acuerdo de la Junta de Gobierno de la Universidad de Extremadura, de 5 de junio de 1987, en relación con la provisión de la Cátedra de Historia del Arte convocada por resolución de 14 de abril de 1987. Han comparecido el recurrente, el Ministerio Fiscal, el Abogado del Estado y doña Mª del Mar Lozano Bartolozzi en condición de coadyuvante de la Administración demandada, asistida por la Letrada doña Mª Remedios Lorenzo Vian. Ha sido Ponente el Presidente, don Francisco Tomás y Valiente,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4 de noviembre de 1988 tuvo entrada en el Registro de este Tribunal un escrito de don Ramiro Reynolds de Miguel que, en nombre y representación de don Florencio-Javier García Mogollón, interpone recurso de amparo contra la Sentencia de 10 de octubre de 1988, de la Sala de lo Contencioso-Administrativo de la Audiencia Territorial de Cáceres, por la que se inadmitió su recurso contencioso-administrativo contra el Acuerdo de la Junta de Gobierno de la Universidad de Extremadura, de 5 de junio de 1987, en relación con la provisión de la Cátedra de Historia del Arte, convocada por Resolución de 14 de abril de 1987.</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los que se fundamenta la demanda de amparo son, en síntesis, los siguientes: </w:t>
      </w:r>
    </w:p>
    <w:p w:rsidR="00FE0907" w:rsidRDefault="00FE0907" w:rsidP="00FE0907">
      <w:pPr>
        <w:pStyle w:val="TextoNormal"/>
      </w:pPr>
      <w:r>
        <w:t xml:space="preserve">a) El 6 de abril de 1987, el Departamento de Historia del Arte de la Facultad de Filosofía y Letras de la Universidad de Extremadura acordó proponer la convocatoria de concurso para la provisión de una Cátedra de Historia del Arte Moderno y Contemporáneo de nueva creación, designando al efecto los miembros titulares y suplentes de la Comisión juzgadora del concurso que corresponde nombrar a la Universidad. </w:t>
      </w:r>
    </w:p>
    <w:p w:rsidR="00FE0907" w:rsidRDefault="00FE0907" w:rsidP="00FE0907">
      <w:pPr>
        <w:pStyle w:val="TextoNormal"/>
      </w:pPr>
      <w:r>
        <w:t xml:space="preserve">b) El 22 de abril de 1987, el actor dirigió un escrito al Rector de la Universidad de Extremadura solicitando que adoptase una Resolución con los siguientes extremos: a) declaración de la inexistencia jurídica del que viene funcionando como Departamento de Historia del Arte, de la Facultad de Filosofía y Letras de esta Universidad; b) declaración de nulidad de pleno Derecho de los Acuerdos adoptados por el citado Departamento relativos a la denominación de la Cátedra de Historia del Arte y a la propuesta de nombramiento de Presidente y Vocal para la Comisión que habría de juzgar su provisión; c) creación de un Departamento de Historia del Arte; y d) atribución de la denominación genérica "Historia del Arte" a la Cátedra recientemente creada en la Facultad de Filosofía y Letras de la Universidad de Extremadura. </w:t>
      </w:r>
    </w:p>
    <w:p w:rsidR="00FE0907" w:rsidRDefault="00FE0907" w:rsidP="00FE0907">
      <w:pPr>
        <w:pStyle w:val="TextoNormal"/>
      </w:pPr>
      <w:r>
        <w:t xml:space="preserve">c) Ante la publicación en el BOE de 6 de mayo de 1987 de la convocatoria de concurso para la provisión de una Cátedra de Historia del Arte Moderno y Contemporáneo, el actor mediante escrito dirigido al Rector el 11 de mayo de 1987 solicitó, alternativamente, la </w:t>
      </w:r>
      <w:r>
        <w:lastRenderedPageBreak/>
        <w:t xml:space="preserve">suspensión de la convocatoria, en tanto se dicte Resolución sobre el escrito anterior, de 22 de abril, o la corrección de la convocatoria, en el sentido de que las actividades a realizar para quien obtenga la plaza sean de "Docencia en Historia del Arte". </w:t>
      </w:r>
    </w:p>
    <w:p w:rsidR="00FE0907" w:rsidRDefault="00FE0907" w:rsidP="00FE0907">
      <w:pPr>
        <w:pStyle w:val="TextoNormal"/>
      </w:pPr>
      <w:r>
        <w:t xml:space="preserve">d) El 5 de junio de 1987, la Junta de Gobierno de la Universidad de Extremadura adoptó Resolución en la que tras señalarse que el Rector exponía que la citada convocatoria "ha sido impugnada" ante la propia Junta por el Profesor García Mogollón, se acordaba "no tomar decisión sobre el recurso presentado... ratificando lo que en su momento la Junta de Gobierno decidió al aprobar la convocatoria...". En dicha Resolución se señalaba que contra la misma podía interponerse recurso contencioso-administrativo. </w:t>
      </w:r>
    </w:p>
    <w:p w:rsidR="00FE0907" w:rsidRDefault="00FE0907" w:rsidP="00FE0907">
      <w:pPr>
        <w:pStyle w:val="TextoNormal"/>
      </w:pPr>
      <w:r>
        <w:t>e) El 28 de septiembre de 1987 interpuso el actor recurso contencioso-administrativo por el cauce especial del art. 113 y siguientes de la Ley de la Jurisdicción Contencioso-Administrativa (procedimiento en materia de personal). Formulada oposición por el Abogado del Estado y por quien se personó como parte codemandada, la Sala competente de la Audiencia Territorial de Cáceres dictó Sentencia, el 10 de octubre de 1988, desestimando el recurso por considerarlo inadmisible. En sustancia, razona la Sala que si la resolución impugnada, que es sustancialmente la de la Junta de Gobierno de la Universidad, de 5 de junio de 1988, se considera como resolutoria de un recurso contra un informe del Departamento, se trata de un acto de trámite no impugnable (art. 37 L.J.C.A), mientras que si lo que resuelve es un recurso de reposición "contra el Acuerdo de la Junta de 7 de abril", estamos ante un acto colegiado en el que el recurrente no salvó su voto en contra, lo cual le quita legitimación procesal, y que además es también un acto de trámite. En realidad el único acto definitivo del expediente es el de convocatoria del concurso, hecha el 14 de abril y publicada el 6 de mayo, convocatoria que por no haber sido impugnada ha de tenerse por acto consentido.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demandante de amparo alega que esta Sentencia incurre en un error manifiesto, pues el citado Acuerdo de la Junta de 7 de abril de 1987, no es de la Junta de Gobierno de la Universidad, sino de la Junta de la Facultad de Filosofía y Letras, y que su oposición a este Acuerdo consta en el expediente. La Sentencia aplica así una causa de inadmisibilidad del recurso inexistente, pues entendió con error que se había formulado recurso de reposición contra un acto de mero trámite cuando en realidad se había cuestionado lo actuado en el procedimiento que fue ratificado por la Universidad en su Acuerdo recurrido, de 5 de junio de 1987, con impugnación, además, de la convocatoria del concurso, la cual, a juicio de la Sala, tampoco había sido impugnada. Con ello se infringe el art. 24.1 de la C.E. </w:t>
      </w:r>
    </w:p>
    <w:p w:rsidR="00FE0907" w:rsidRDefault="00FE0907" w:rsidP="00FE0907">
      <w:pPr>
        <w:pStyle w:val="TextoNormal"/>
      </w:pPr>
      <w:r>
        <w:t xml:space="preserve">En segundo lugar, alega el recurrente que la Sala ha infringido también el precepto constitucional citado porque no se le concedió el trámite de alegaciones para que pudiera contradecir los motivos de inadmisibilidad del recurso alegados por el Abogado del Estado y la parte codemandada, causándole así indefensión. </w:t>
      </w:r>
    </w:p>
    <w:p w:rsidR="00FE0907" w:rsidRDefault="00FE0907" w:rsidP="00FE0907">
      <w:pPr>
        <w:pStyle w:val="TextoNormal"/>
      </w:pPr>
      <w:r>
        <w:t xml:space="preserve">En tercer lugar, se vulnera el art. 24.1 C.E. porque la Sentencia supone una especie de reformatio in peius, puesto que no admite el recurso contencioso-administrativo que el propio Acuerdo impugnado admitía contra sí mismo. Por último, entiende que si no se accediera al amparo quedarían violados los arts. 14 y 23.2 de la C.E. en el procedimiento de acceso a la Cátedra de Historia del Arte que se denunciaba ante la Audiencia. </w:t>
      </w:r>
    </w:p>
    <w:p w:rsidR="00FE0907" w:rsidRDefault="00FE0907" w:rsidP="00FE0907">
      <w:pPr>
        <w:pStyle w:val="TextoNormal"/>
      </w:pPr>
      <w:r>
        <w:t>En virtud de todo lo expuesto, el demandante de amparo solicita que se anule la Sentencia recurrida y se retrotraigan las actuaciones para que el mismo órgano judicial resuelva sobre el fondo de las pretensiones formuladas en el proceso. Se solicita también que se suspendan los efectos de la Sentencia recurrida.</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Por providencia de 30 de noviembre de 1988, la Sección acordó admitir a trámite la demanda de amparo formulada por don Florencio Javier García Mogollón y, a tenor de lo dispuesto en el art. 51 de la LOTC, requerir a la Sala de lo Contencioso-Administrativo de la Audiencia de Cáceres, para que en el plazo de diez días remita testimonio del recurso contencioso-administrativo núm. 504/87, y emplace a quienes fueron parte en el mencionado procedimiento, con excepción del recurrente en amparo, para que en el plazo de diez días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6 de febrero de 1989, la Sección acordó tener por recibidas las actuaciones remitidas por la Sala de lo Contencioso-Administrativo de Cáceres y, a tenor de lo dispuesto en el art. 52 LOTC, dar vista de todas las actuaciones del presente recurso de amparo, por un plazo común de veinte días, al Ministerio Fiscal, al Abogado del Estado y al solicitante de amparo para que aleguen lo que estimen pertinente.</w:t>
      </w:r>
    </w:p>
    <w:p w:rsidR="00FE0907" w:rsidRDefault="00FE0907" w:rsidP="00FE0907">
      <w:pPr>
        <w:pStyle w:val="TextoNormal"/>
      </w:pPr>
    </w:p>
    <w:p w:rsidR="00FE0907" w:rsidRDefault="00FE0907" w:rsidP="00FE0907">
      <w:pPr>
        <w:pStyle w:val="TextoNormal"/>
      </w:pPr>
      <w:r w:rsidRPr="00FE0907">
        <w:rPr>
          <w:rStyle w:val="NumeroAFNegritaCaracter"/>
        </w:rPr>
        <w:t>6</w:t>
      </w:r>
      <w:r>
        <w:t>. Por escrito que tuvo entrada en el Registro de este Tribunal el 1 de febrero de 1989, doña María del Mar Lozano Bartolozzi representada por el Procurador de los Tribunales don Román Velasco Fernández, solicita que se le tenga por personada en calidad de codemandada en 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13 de febrero de 1989, la Sección acuerda tener por personado y parte, en nombre y representación de doña María del Mar Lozano Bartolozzi, al Procurador Sr. Velasco Fernando y, en virtud de lo dispuesto en el art. 52 LOTC, dar vista a las actuaciones al citado Procurador por un plazo común de veinte días con el Ministerio Fiscal, el Abogado del Estado y el solicitante del amparo, para que dentro de dicho término puedan alegar lo que a su derecho convenga.</w:t>
      </w:r>
    </w:p>
    <w:p w:rsidR="00FE0907" w:rsidRDefault="00FE0907" w:rsidP="00FE0907">
      <w:pPr>
        <w:pStyle w:val="TextoNormal"/>
      </w:pPr>
    </w:p>
    <w:p w:rsidR="00FE0907" w:rsidRDefault="00FE0907" w:rsidP="00FE0907">
      <w:pPr>
        <w:pStyle w:val="TextoNormal"/>
      </w:pPr>
      <w:r w:rsidRPr="00FE0907">
        <w:rPr>
          <w:rStyle w:val="NumeroAFNegritaCaracter"/>
        </w:rPr>
        <w:t>8</w:t>
      </w:r>
      <w:r>
        <w:t>. Por escrito presentado el 1 de marzo de 1989, don Ramiro Reynolds de Miguel, en representación del actor, don Florencio Javier García Mogollón, manifiesta que se ratifica y da por reproducidos todos y cada uno de los hechos y fundamentos de Derecho contenidos en la demanda inicial del recurso de amparo, suplicando a la Sala tenga por evacuado el trámite de alegaciones y, en su día, dicte Sentencia otorgando el amparo solicitado.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En su escrito de 27 de febrero de 1989, el Fiscal interesa que por el Tribunal Constitucional se dicte Sentencia denegando el amparo por cuanto no resulta del proceso la lesión de los derechos fundamentales que sirven de apoyo a la demanda. Comienza el Fiscal recordando la ya consolidada doctrina de este Tribunal sobre el derecho a la tutela judicial efectiva y las resoluciones sobre inadmisión de recursos fundadas en causas legalmente previstas. En el presente caso, la inadmisión del recurso contencioso-administrativo se basa en causas legalmente previstas y está suficientemente razonada. En efecto, la Sala estimó que concurría la causa de inadmisión prevista en el art. 82c), en relación con el art. 81.1a), ambos de la L.J.C.A., por ser el objeto del recurso un acto de trámite, no susceptible de impugnación, según lo dispuesto en el art. 37 de la mencionada ley, sin que competa al Tribunal Constitucional revisar si nos encontramos o no ante verdaderos actos de trámite, por ser ésta una cuestión de mera legalidad ordinaria y, por ende, de la competencia exclusiva de los órganos judiciales. </w:t>
      </w:r>
    </w:p>
    <w:p w:rsidR="00FE0907" w:rsidRDefault="00FE0907" w:rsidP="00FE0907">
      <w:pPr>
        <w:pStyle w:val="TextoNormal"/>
      </w:pPr>
      <w:r>
        <w:lastRenderedPageBreak/>
        <w:t xml:space="preserve">En cuanto a la supuesta indefensión producida por la omisión del trámite de alegaciones previsto en el art. 42.2 (debe referirse al 72.2) y 62.2 L.J.C.A., tampoco puede prosperar tal alegato, pues las alegaciones del art. 62.2 L.J.C.A. están previstas para el supuesto de que se concluya el proceso por Auto, antes de formulada la demanda y la contestación, lo que no ocurre en el caso de autos. Por lo que se refiere a las alegaciones del art. 72 L.J.C.A. están expresamente excluidas de los procedimientos especiales en materia de personal por el art. 116 de la citada ley. </w:t>
      </w:r>
    </w:p>
    <w:p w:rsidR="00FE0907" w:rsidRDefault="00FE0907" w:rsidP="00FE0907">
      <w:pPr>
        <w:pStyle w:val="TextoNormal"/>
      </w:pPr>
      <w:r>
        <w:t xml:space="preserve">La llamada "reformatio in peius por analogía" no supone tampoco vulneración de la tutela judicial, no sólo porque parte de un órgano administrativo (la Junta de Gobierno de la UNEX), sino porque en cualquier caso es el actor el que debe formular la demanda cumpliendo todos los requisitos legales. </w:t>
      </w:r>
    </w:p>
    <w:p w:rsidR="00FE0907" w:rsidRDefault="00FE0907" w:rsidP="00FE0907">
      <w:pPr>
        <w:pStyle w:val="TextoNormal"/>
      </w:pPr>
      <w:r>
        <w:t>Finalmente, en cuanto a la posible vulneración de los arts. 14 y 23.2 C.E. que, en realidad, según la doctrina de este Tribunal se trata de una misma invocación, falta en el presente caso un tertium comparatonis válido para apoyar la alegación de discriminación. Las denuncias contra su oponente en la aspiración a la cátedra ni son concretas ni están probadas, por lo que no pueden servir de base al otorgamiento de un amparo por violación del art. 14 C.E.</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Por escrito presentado en este Tribunal el 10 de marzo de 1989, la representación de doña María del Mar Lozano Bartolozzi formula las siguientes alegaciones. Antes de entrar en el fondo de las cuestiones planteadas hace una serie de puntualizaciones a los antecedentes de hecho de la demanda para poner de manifiesto que el único acto administrativo impugnado jurídicamente es el Acuerdo de la Junta de Gobierno de la Universidad de Extremadura, de 5 de junio de 1986. Pretender subsumir en esta impugnación todos los actos y resoluciones que cita el demandante de amparo es inaceptable, tal y como queda sentado en la Sentencia de la Sala de lo Contencioso-Administrativo de la Audiencia Territorial de Cáceres. </w:t>
      </w:r>
    </w:p>
    <w:p w:rsidR="00FE0907" w:rsidRDefault="00FE0907" w:rsidP="00FE0907">
      <w:pPr>
        <w:pStyle w:val="TextoNormal"/>
      </w:pPr>
      <w:r>
        <w:t xml:space="preserve">En otro orden de cosas, argumenta la representación de doña María del Mar Lozano Bartolozzi que el presente recurso de amparo incurre en la causa de inadmisión prevista en el art. 50.1c), consistente en carecer la demanda de contenido constitucional. La sola lectura de la demanda pone de manifiesto que el recurrente, más que solicitar el necesario amparo de este Tribunal por violación de sus derechos fundamentales, intenta por vía indirecta que la Sala entre a conocer el fondo de la cuestión, pasando a enjuiciar nuevamente lo que no fue aceptado por la Sala en la anterior instancia. </w:t>
      </w:r>
    </w:p>
    <w:p w:rsidR="00FE0907" w:rsidRDefault="00FE0907" w:rsidP="00FE0907">
      <w:pPr>
        <w:pStyle w:val="TextoNormal"/>
      </w:pPr>
      <w:r>
        <w:t xml:space="preserve">No se ha vulnerado el derecho a la tutela judicial efectiva del recurrente porque éste obtuvo una resolución que acordó la inadmisión de su recurso fundándose en causas de inadmisibilidad legalmente previstas. Respecto de la omisión del trámite de alegaciones previsto en el art. 62.2 L.J.C.A., en el presente caso no se trata de una inadmisión a trámite de un recurso, sino de una inadmisión como forma de terminación de un procedimiento por medio de Sentencia. En cuanto a la invocación de la reformatio in peius, la situación del demandante de amparo no empeoró por la interposición de su recurso contencioso-administrativo, simplemente no fueron atendidos sus pedimentos, lo cual nada tiene que ver con el principio citado, pues si así fuese, en todos los casos en que se rechazan las pretensiones de los recurrentes por el órgano judicial habría reformatio in peius. </w:t>
      </w:r>
    </w:p>
    <w:p w:rsidR="00FE0907" w:rsidRDefault="00FE0907" w:rsidP="00FE0907">
      <w:pPr>
        <w:pStyle w:val="TextoNormal"/>
      </w:pPr>
      <w:r>
        <w:t>Finalmente argumenta respecto de la invocación del art. 14 C.E. que a la vista del expediente administrativo instruido al respecto, que obra en esta Sala, es notorio que el Sr. García Mogollón, hoy demandante de amparo, tuvo acceso en condiciones de igualdad al concurso para la provisión de la Cátedra de Historia del Arte tantas veces citada.</w:t>
      </w:r>
    </w:p>
    <w:p w:rsidR="00FE0907" w:rsidRDefault="00FE0907" w:rsidP="00FE0907">
      <w:pPr>
        <w:pStyle w:val="TextoNormal"/>
      </w:pPr>
    </w:p>
    <w:p w:rsidR="00FE0907" w:rsidRDefault="00FE0907" w:rsidP="00FE0907">
      <w:pPr>
        <w:pStyle w:val="TextoNormal"/>
      </w:pPr>
      <w:r w:rsidRPr="00FE0907">
        <w:rPr>
          <w:rStyle w:val="NumeroAFNegritaCaracter"/>
        </w:rPr>
        <w:t>11</w:t>
      </w:r>
      <w:r>
        <w:t xml:space="preserve">. El Abogado del Estado, en su escrito de 10 de marzo de 1989, pone de manifiesto que procede denegar el amparo pretendido. En un primer apartado, dedicado al planteamiento del recurso, el Abogado del Estado declara que es improcedente la queja relativa al art. 23.2 C.E., ya que el presente recurso de amparo se articula a través del cauce que proporciona el art. 44 LOTC y la hipotética violación del precepto citado no se imputa a la Sentencia impugnada, sino a la actuación de la Universidad. El actor no impugnó la convocatoria del concurso ni combate ahora las actuaciones de la UNEX, y se limita a suplicar de este Tribunal que declare la nulidad de la Sentencia recurrida y la "procedencia de retrotraer las actuaciones al momento inmediatamente anterior al de dictar la Sentencia anulada, ordenando al mismo órgano judicial que dicte una nueva Sentencia en la que se resuelva el fondo de las pretensiones formuladas". </w:t>
      </w:r>
    </w:p>
    <w:p w:rsidR="00FE0907" w:rsidRDefault="00FE0907" w:rsidP="00FE0907">
      <w:pPr>
        <w:pStyle w:val="TextoNormal"/>
      </w:pPr>
      <w:r>
        <w:t xml:space="preserve">Después de recordar la doctrina del Tribunal Constitucional sobre el contenido del derecho a la tutela judicial efectiva, sostiene el Abogado del Estado que la argumentación contenida en la Sentencia recurrida aparece fundada en causa legal y ha sido debidamente razonada. La Sala no ha incurrido en ningún error, ni opera con un rigor excesivo en la interpretación de los requisitos formales, por lo que no existe ningún motivo que autorice la revisión por este Tribunal de la Sentencia recurrida. </w:t>
      </w:r>
    </w:p>
    <w:p w:rsidR="00FE0907" w:rsidRDefault="00FE0907" w:rsidP="00FE0907">
      <w:pPr>
        <w:pStyle w:val="TextoNormal"/>
      </w:pPr>
      <w:r>
        <w:t xml:space="preserve">El recurso contencioso-administrativo se dirige contra los actos que se citan en el escrito de interposición (art. 57.1 L.J.C.A.). En el caso que nos ocupa, el escrito de interposición indica claramente que el recurso se interpone contra el Acuerdo de la Junta de Gobierno de la UNEX de 5 de junio de 1987, que desestimó la impugnación formulada contra los acuerdos adoptados el 6 de abril de 1987 por el Departamento de Historia del Arte, en relación con la denominación de la Cátedra de Historia del Arte, y con la propuesta de nombramiento de Presidente y Vocal, titulares y suplentes representantes de la UNEX en la Comisión que habría de juzgar el concurso para la provisión de dicha Cátedra. La inadmisión se basó en una causa legal y existente, y fue debidamente razonada. El recurrente no ha padecido indefensión de alcance constitucional, ya que no se aprecia merma lesiva de sus posibilidades de defensa reales y efectivas. En la STC 201/1987, citada por el recurrente, el Tribunal apreció una aplicación manifiestamente errónea de la causa de inadmisión opuesta en la vía contenciosa por la Administración demandada, por ello la no concesión al recurrente de la oportunidad de formular alegaciones sobre los motivos de inadmisión insubsanables, aducidos en la contestación, no constituyó el motivo esencial determinante del fallo, sino un segundo escalón argumental que confirmó la solución a la que llegó el Tribunal ante un supuesto de indefensión material. Sin embargo, no es este el supuesto examinado en el presente caso, donde no se ha producido una situación de indefensión material, ya que la omisión del trámite de alegaciones no ha privado al recurrente del derecho de defensa, ni ha supuesto un perjuicio real para sus intereses. </w:t>
      </w:r>
    </w:p>
    <w:p w:rsidR="00FE0907" w:rsidRDefault="00FE0907" w:rsidP="00FE0907">
      <w:pPr>
        <w:pStyle w:val="TextoNormal"/>
      </w:pPr>
      <w:r>
        <w:t>Finalmente, en cuanto a la invocación de la reforma peyorativa, para el Abogado del Estado el error conceptual en que incurre el recurrente en su alegación hace innecesaria toda argumentación. Al respecto, basta recordar que la reformatio in peius es una modalidad de incongruencia procesal producida en la segunda instancia con la cual se quiere proscribir "toda posibilidad de reforma de la situación jurídica definida en la primera instancia que no sea consecuencia de una pretensión frente a la cual, aquél en cuyo daño se produce tal reforma, no tenga ocasión de defenderse, salvo, claro está, el daño que eventualmente resulte como consecuencia de la aplicación de normas de orden público" (SSTC 15/1987, 91/1988 y 143/1988).</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12</w:t>
      </w:r>
      <w:r>
        <w:t>. En la pieza separada de suspensión, se dictó Auto, de 23 de diciembre de 1988, en virtud del cual se acordó no acceder a la suspensión solicitada. La representación del recurrente, con fecha 2 de enero de 1989, formuló recurso de súplica contra dicho Auto que fue desestimado por Auto de 31 de enero de 1989.</w:t>
      </w:r>
    </w:p>
    <w:p w:rsidR="00FE0907" w:rsidRDefault="00FE0907" w:rsidP="00FE0907">
      <w:pPr>
        <w:pStyle w:val="TextoNormal"/>
      </w:pPr>
    </w:p>
    <w:p w:rsidR="00FE0907" w:rsidRDefault="00FE0907" w:rsidP="00FE0907">
      <w:pPr>
        <w:pStyle w:val="TextoNormal"/>
      </w:pPr>
      <w:r w:rsidRPr="00FE0907">
        <w:rPr>
          <w:rStyle w:val="NumeroAFNegritaCaracter"/>
        </w:rPr>
        <w:t>13</w:t>
      </w:r>
      <w:r>
        <w:t>. Por providencia 7 de abril de 1992 se señaló el día 8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Antes de entrar en el fondo de las cuestiones planteadas en el presente recurso de amparo, debemos responder a la alegación realizada por la representación de la coadyuvante, doña María del Mar Lozano Bartolozzi, sobre la carencia manifiesta de contenido constitucional de la demanda; causa de inadmisión prevista en el art. 50.1c) LOTC que de concurrir operaría ya en este estadio procesal como causa de desestimación, tal y como hemos declarado reiteradamente (STC 111/1989, entre otras muchas).  Fundamenta su alegación la coadyuvante en que el recurrente más que solicitar el amparo de este Tribunal porque se haya violado alguno de los preceptos de rango constitucional, intenta por vía indirecta que la Sala entre a conocer el fondo de la cuestión, pasando a enjuiciar nuevamente lo que no fue aceptado por la Sala de lo Contencioso-Administrativo de la Audiencia Territorial de Cáceres. Tal objeción debe, sin embargo, ser rechazada, pues lejos de ser cierto lo que afirma la representación de la Sra.</w:t>
      </w:r>
    </w:p>
    <w:p w:rsidR="00FE0907" w:rsidRDefault="00FE0907" w:rsidP="00FE0907">
      <w:pPr>
        <w:pStyle w:val="TextoNormal"/>
      </w:pPr>
      <w:r>
        <w:t>Lozano Bartolozzi, el recurrente ha denunciado ante este Tribunal la vulneración de su derecho a la tutela judicial efectiva (art. 24 C.E.)  que imputa a la Sentencia impugnada por tres motivos: inadmisión del recurso contencioso-administrativo, omisión del trámite de alegaciones exigido por los arts.  42.2 y 62.2 L.J.C.A.  y reformatio in peius, todo ello con una argumentación que impide afirmar que estemos ante un supuesto de manifiesta, esto es, evidente y notoria falta de contenido constitucional de la demanda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Con el fin de delimitar el objeto del presente recurso de amparo debe señalarse en primer lugar que el recurso se dirige exclusivamente contra la Sentencia de la Audiencia Territorial de Cáceres, de 10 de octubre de 1988, frente a la cual el demandante únicamente solicita de este Tribunal la anulación de la Sentencia impugnada y la retroacción de las actuaciones judiciales al momento inmediatamente anterior al de dictarla, para que la Sala se pronuncie sobre el fondo de la cuestión que le fue planteada. No obstante, en la demanda se dice que de no accederse a la solicitud de amparo quedaría conculcado el derecho de igualdad consagrado en los arts. 14 y 23.2 C.E., violado en el procedimiento del concurso de acceso a la Cátedra de Historia del Arte. Pero esta alegación resulta improcedente, pues el actor imputa dicha lesión a la actuación administrativa y no a la Sentencia judicial, único objeto del recurso de amparo cuyo petitum se circunscribe también únicamente a la nulidad de dicha Sentencia y a la retroacción de las actuaciones al momento anterior de dictarla.</w:t>
      </w:r>
    </w:p>
    <w:p w:rsidR="00FE0907" w:rsidRDefault="00FE0907" w:rsidP="00FE0907">
      <w:pPr>
        <w:pStyle w:val="TextoNormal"/>
      </w:pPr>
      <w:r>
        <w:t xml:space="preserve">Por lo que respecta a la primera de las quejas planteadas, relativa a la inadmisión del recurso contencioso-administrativo, la Sala de Cáceres fundó su resolución en la causa de inadmisibilidad prevista en el art.  82c) L.J.C.A., en relación con el art.  81.1a) de la misma ley, consistente en tener el recurso por objeto actos no susceptibles de impugnación. </w:t>
      </w:r>
      <w:r>
        <w:lastRenderedPageBreak/>
        <w:t>Al respecto este Tribunal ha manifestado en reiteradas ocasiones que si bien es cierto que la determinación del alcance de las normas procesales y la precisión de los requisitos de procedibilidad pertenece, en principio, al ámbito y márgenes de interpretación de la legalidad ordinaria, sin embargo, la inadmisión basada en un motivo manifiestamente inexistente o irrazonable constituye no sólo ilegalidad sino inconstitucionalidad que afecta al derecho fundamental del art. 24.1 C.E.  y por ello este Tribunal puede comprobar la razonabilidad de la aplicación efctuada de la causa de inadmisión tenida en cuenta, no desarrollando la función que corresponde a los propios jueces, sino analizando si la interpretación efectuada es arbitraria o infundada (SSTC 68/1983, 69/1984, 148/1986, 143/1987, 201/1987 y 160/1988, entre otras).</w:t>
      </w:r>
    </w:p>
    <w:p w:rsidR="00FE0907" w:rsidRDefault="00FE0907" w:rsidP="00FE0907">
      <w:pPr>
        <w:pStyle w:val="TextoNormal"/>
      </w:pPr>
      <w:r>
        <w:t>En el presente caso, según consta en las actuaciones, el demandante de amparo -que es profesor titular de Historia del Arte en la Facultad de Filosofía y Letras de la Universidad de Extremadura- llevó a cabo una intensa actividad impugnatoria a lo largo del procedimiento seguido para la provisión de una plaza de Catedrático de Historia del Arte Moderno y Contemporáneo de la citada Universidad, actividad impugnatoria que puede resumirse en los términos siguientes. En primer lugar, el actor impugnó el Acuerdo del Departamento antes citado, de 6 de abril de 1987, sobre denominación y perfil de una Cátedra de "Historia del Arte Moderno y Contemporáneo", y propuesta del Presidente y Secretario, titulares y suplentes, de la Comisión que habría de resolver el concurso para el acceso a la misma. En su escrito de 22 de abril de 1987 invocaba ya algunos preceptos constitucionales supuestamente vulnerados por el mencionado Acuerdo que fue ratificado posteriormente por la Junta de Facultad, en su sesión de 7 de abril, sin que ello, según declaró el actor, pudiera suponer la convalidación del acto impugnado. A continuación, a raíz de la publicación en el Boletín Oficial del Estado de la convocatoria de la mencionada Cátedra, el actor dirigió un nuevo escrito al Rector solicitando la suspensión de la convocatoria, en tanto se dictara Resolución sobre su escrito de 22 de abril de 1987, o alternativamente la corrección de la convocatoria en el sentido de rectificar la denominación de la Cátedra que debería pasar a denominarse "Historia del Arte", sin mas especificaciones innecesarias que vulnerarían los principios constitucionales de igualdad, capacidad y mérito. Posteriormente, el actor solicitó al Consejo de Universidades la suspensión del sorteo para la designación de los tres miembros restantes de la antes citada Comisión, en tanto -decía en su escrito de 3 de julio de 1987- se resuelvan los recursos instados por el que suscribe.  En sendos escritos de 22 de julio de 1987 y de 12 de agosto del mismo año denunció la mora respecto de sus recursos relativos al acuerdo del Departamento de 6 de abril y a la convocatoria de la Cátedra, publicada en el B.O.E. el 6 de mayo. Una vez publicada la Resolución de la Universidad de Extremadura, de 28 de julio de 1987, sobre composición de la Comisión que había de juzgar el concurso convocado para la provisión de la Cátedra en cuestión, el actor se dirigió de nuevo al Rector solicitando la nulidad de la Resolución y la suspensión del procedimiento.  Alternativamente, y para el caso de que no se accediese a su pretensión, el hoy demandante de amparo recusó al Vocal Secretario de la Comisión por enemistad manifiesta, solicitando su sustitución, a tenor de lo dispuesto en los arts. 20c) y 21 L.P.A. Esta actividad impugnatoria culminó con el recurso contencioso-administrativo interpuesto por el actor contra "el Acuerdo de la Junta de Gobierno de la Universidad de Extremadura, de 5 de junio de 1987, subsumidos en él cuantos otros le sirven de fundamento, así como contra los acuerdos y resoluciones que de uno y otro derivan por conexión directa".</w:t>
      </w:r>
    </w:p>
    <w:p w:rsidR="00FE0907" w:rsidRDefault="00FE0907" w:rsidP="00FE0907">
      <w:pPr>
        <w:pStyle w:val="TextoNormal"/>
      </w:pPr>
      <w:r>
        <w:t>Lo dicho pone de relieve que, sea cual sea la calificación que el actor fue dando a los distintos escritos que dirigió al Rectorado, lo cierto es que a lo largo de todo el procedi</w:t>
      </w:r>
      <w:r>
        <w:lastRenderedPageBreak/>
        <w:t>miento reaccionó frente a todos y cada uno de los actos de las diversas instancias universitarias que concurren en la compleja tramitación de los concursos para la provisión de plazas de los Cuerpos Docentes Universitarios, incluída la Resolución que pone fin a dicho procedimiento marcando el dies a quo a partir del cual debe constituirse la Comisión para celebrar las pruebas del concurso, esto es, la Resolución de 28 de julio de 1987 que hizo pública la composición de la Comisión que habría de juzgar el concurso en cuestión y que señalaba el plazo de cuatro meses para su constitución y el comienzo de las pruebas. Una interpretación antiformalista, como la que exige el derecho a la tutela judicial efectiva (art. 24.1 C.E.)  debió llevar a la Sala a entender que la verdadera y única finalidad de esos escritos era la impugnación de los diversos actos del procedimiento seguido para la provisión de la Cátedra de "Historia del Arte Moderno y Contemporáneo", incluido el escrito de 13 de mayo de 1987 en el que solicitó la suspensión de la convocatoria o su rectificación, por entender que el perfil con el que se había convocado vulneraba los principios constitucionales de igualdad, capacidad y mérito. Ello determinó precisamente que el Rector de la Universidad de Cáceres, en la Junta de Gobierno celebrada el 5 de junio de 1987, dijese que la convocatoria de la Cátedra mencionada había sido impugnada por el Profesor García Mogollón, hoy recurrente en amparo.  El carácter impugnatorio de los escritos dirigidos por el recurrente contra los distintos Acuerdos y Resoluciones del procedimiento seguido para la provisión de la Cátedra en cuestión, y no sólo frente al Informe del Departamento se pone de manifiesto de forma evidente en la demanda formulada por el actor en el recurso contencioso-administrativo ante la Audiencia Territorial de Cáceres, recurso que interpone contra el Acuerdo de la Junta de Gobierno de la Universidad de Extremadura de 5 de junio -en el que precisamente se decía que se ratificaba "lo que en su momento la Junta de Gobierno decidió al aprobar la convocatoria de la plaza por usted impugnada"- así como contra las Resoluciones que le hayan servido de fundamento y las que de uno y otras derivan por conexión directa. En dicha expresión está incluida, sin lugar a dudas, la Resolución de la convocatoria del concurso que la Sala considera el final del expediente, con lo cual, si la Sala estimó que la convocatoria no había sido impugnada en vía administrativa, debió conceder al actor el trámite de subsanación previsto en el art. 116 L.J.C.A. en relación con el art. 129.2 de la misma ley. No lo hizo así la Sala de lo Contencioso-Administrativo de Cáceres que jugó con dos hipótesis sobre el objeto del recurso contencioso-administrativo que le llevaron a declarar su inadmisión por Sentencia.  La primera considera como único objeto del recurso contencioso-administrativo la desestimación del recurso contra el Informe del Departamento, la segunda se basa en un error al considerar hipotéticamente como un recurso de reposición lo que de ninguna manera podría serlo, ya que la Junta de 7 de abril a la que se refiere la Sentencia no fue una Junta de Gobierno de la Universidad de Extremadura, órgano al que se dirigió el recurso y aprobó el acuerdo impugnado, sino una Junta de la Facultad de Filosofía y Letras, en la que, según dijo en su primer escrito de 22 de abril de 1987, el actor hizo constar su total rechazo, solicitando que constara en acta, y frente a cuya ilegalidad también reaccionó desde ese primer escrito dirigido al Rector de la Universidad.</w:t>
      </w:r>
    </w:p>
    <w:p w:rsidR="00FE0907" w:rsidRDefault="00FE0907" w:rsidP="00FE0907">
      <w:pPr>
        <w:pStyle w:val="TextoNormal"/>
      </w:pPr>
      <w:r>
        <w:t>Por todo lo cual, debemos concluir que la Sala de Cáceres ha privado al actor de una resolución de fondo, aplicando una causa legal de inadmisión fundada en una interpretación que no es razonable ni tampoco la más favorable a la efectividad del derecho fundamental a la tutela judicial, por lo que dicho derecho ha sido, en efecto, vulnerado por la resolución que se recurre.</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La segunda queja del demandante de amparo se refiere a la indefensión absoluta que la Sala le ha causado al no concederle el trámite de alegaciones que imperativamente establecen los arts. 43.2 y 62.2 L.J.C.A., con lo cual se le ha privado de toda oportunidad de contradecir el motivo insubsanable alegado por la Administración y por la coadyuvante y que fue apreciado por la Sala. En apoyo de su queja cita la doctrina de este Tribunal contenida en diversas Sentencias y, muy especialmente, en la 201/1987. Precisamente en aplicación de la doctrina sentada en esta Sentencia, debemos acoger ahora la pretensión del demandante de amparo y estimar su recurso, ya que en aquel supuesto, al igual que en el presente, se trataba también de la inadmisión de un recurso contencioso-administrativo, seguido por el procedimiento especial que en materia de personal establecen los arts. 113 y siguientes L.J.C.A., sin haber dado la Sala oportunidad a los actores para que hubiesen hecho las alegaciones pertinentes sobre la concurrencia de la causa de inadmisión antes de ser apreciada en Sentencia. Dijimos entonces, y debemos mantener ahora, que "la tramitación seguida fue la del proceso especial sumario y concentrado que en materia de personal establecen los arts.  113 y siguientes de la Ley de la Jurisdicción Constencioso-Administrativa, en el que el art.  116, sólo para los motivos de inadmisión subsanables del art.  129, establece expresamente el traslado de la contestación a la demanda; pero, teniendo en cuenta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w:t>
      </w:r>
    </w:p>
    <w:p w:rsidR="00FE0907" w:rsidRDefault="00FE0907" w:rsidP="00FE0907">
      <w:pPr>
        <w:pStyle w:val="TextoNormal"/>
      </w:pPr>
      <w:r>
        <w:t>Es necesario concluir, por lo que ha quedado dicho, que se ha causado indefensión al actor al privársele de toda oportunidad de alegar sobre la concurrencia del motivo insubsanable de inadmisión alegado por la Administración demandada y que fue apreciado por la Sala como determinante para su resolución.  Procede, por tanto, conceder el amparo solicitado.</w:t>
      </w:r>
    </w:p>
    <w:p w:rsidR="00FE0907" w:rsidRDefault="00FE0907" w:rsidP="00FE0907">
      <w:pPr>
        <w:pStyle w:val="TextoNormal"/>
      </w:pPr>
    </w:p>
    <w:p w:rsidR="00FE0907" w:rsidRDefault="00FE0907" w:rsidP="00FE0907">
      <w:pPr>
        <w:pStyle w:val="TextoNormal"/>
      </w:pPr>
      <w:r w:rsidRPr="00FE0907">
        <w:rPr>
          <w:rStyle w:val="NumeroAFNegritaCaracter"/>
        </w:rPr>
        <w:t>4</w:t>
      </w:r>
      <w:r>
        <w:t>. Debemos desestimar, por el contrario, la queja relativa a la reformatio in peius que según el demandante de amparo se habría producido porque después de declarar la Universidad de Extremadura su derecho a acudir a la vía contencioso-administrativa, la Sentencia de la Audiencia Territorial de Cáceres declaró inadmisible el recurso contencioso-administrativo interpuesto.  Al respecto debemos concluir con el Abogado del Estado que la propia definición de la reformatio in peius pone de manifiesto, sin mayor esfuerzo argumentativo, la inconsistencia de la queja planteada por el demandante.  En efecto, este Tribunal ha mantenido reiteradamente que "la prohibición de la reforma peyorativa es una garantía de la no indefensión, incluída en el derecho protegido por el art. 24.1 C.E., cuyo objeto es impedir que la situación jurídica establecida en una Sentencia sea modificada en perjuicio del que recurre contra ella, a no ser que exista pretensión de signo contrario dirigida a obtener ese resultado peyorativo para el recurrente o este resultado venga legitimado en la aplicación de normas de orden público" (STC 17/1989).  Nada tiene que ver, pues, según lo que acaba de decirse, la indicación sobre recursos contenidos en un acto administrativo -que no constituye más que una información al interesado- con la reformatio in peius como modalidad de incongruencia procesal prohibida por el art. 24 de la Constitución.</w:t>
      </w:r>
    </w:p>
    <w:p w:rsidR="00FE0907" w:rsidRDefault="00FE0907" w:rsidP="00FE0907">
      <w:pPr>
        <w:pStyle w:val="TextoNormal"/>
      </w:pPr>
    </w:p>
    <w:p w:rsidR="00FE0907" w:rsidRDefault="00FE0907" w:rsidP="00FE0907">
      <w:pPr>
        <w:pStyle w:val="TextoNormal"/>
      </w:pPr>
      <w:r w:rsidRPr="00FE0907">
        <w:rPr>
          <w:rStyle w:val="NumeroAFNegritaCaracter"/>
        </w:rPr>
        <w:t>5</w:t>
      </w:r>
      <w:r>
        <w:t>. Si la estimación del presente recurso estuviera basada de modo exclusivo en lo que aquí hemos denominado segunda queja (sobre la cual se razona en el fundamento cuarto) nuestro fallo debería contener un pronunciamiento consistente en retrotraer las actuaciones para que se le diera la oportunidad procesal de alegar que le fue indebidamente denegada con efectos de indefensión.  No obstante como en tal hipótesis se le debería oir acerca de si impugnó (y sólo impugnó) un acto de trámite, o si no salvó su voto en el acto de la Junta de 7 de abril, y a ambas hipótesis sobre las que versa la primera causa petendi de su amparo le hemos dado respuesta razonada y estimatoria en el fundamento segundo de esta Sentencia, no tendría sentido otorgarle ahora aquella audiencia indebidamente negada puesto que el contenido de sus alegaciones habría de versar sobre problemas constitucionales de la otra vulneración de su derecho a la tutela judicial, derecho que en este punto consideramos lesionado por la concurrencia de un error cometido en la Sentencia impugnada al confundir una Junta con otra, y por la manifiesta impugnación por el actor no sólo de un acto de trámite, sino de todo el iter procedimental, de todos los pasos o actos de aquel procedimiento, por lo que la Sentencia de la Sala le privó indebidamente de una resolución sobre el fondo de su recurso. En consecuencia, la convergencia o superposición de ambas lesiones debe conducir a un fallo estimatorio para que la Sala entre a conocer del fondo del recurso contencioso-administrativo interpuesto en su día por el hoy recurrente en amparo.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por don Florencio Javier García Mogollón, y, en su virtud:</w:t>
      </w:r>
    </w:p>
    <w:p w:rsidR="00FE0907" w:rsidRDefault="00FE0907" w:rsidP="00FE0907">
      <w:pPr>
        <w:pStyle w:val="TextoNormal"/>
      </w:pPr>
      <w:r>
        <w:t>1º Declarar la nulidad de la Sentencia de la Sala de lo Contencioso-Administrativo de la Audiencia Territorial de Cáceres de 10 de octubre de 1988.</w:t>
      </w:r>
    </w:p>
    <w:p w:rsidR="00FE0907" w:rsidRDefault="00FE0907" w:rsidP="00FE0907">
      <w:pPr>
        <w:pStyle w:val="TextoNormal"/>
      </w:pPr>
      <w:r>
        <w:t>2º Reconocer el derecho del recurrente a la tutela judicial efectiva.</w:t>
      </w:r>
    </w:p>
    <w:p w:rsidR="00FE0907" w:rsidRDefault="00FE0907" w:rsidP="00FE0907">
      <w:pPr>
        <w:pStyle w:val="TextoNormal"/>
      </w:pPr>
      <w:r>
        <w:t>3º Restablecer el indicado derecho del recurrente para que se dicte por dicha Sala nueva Sentencia de fondo que resuelva sobre la pretensión formulada en el proceso contencioso-administrativo.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ocho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7" w:name="SENTENCIA_1992_54"/>
      <w:r>
        <w:lastRenderedPageBreak/>
        <w:t>SENTENCIA 54/1992, de 8 de abril de 1992</w:t>
      </w:r>
    </w:p>
    <w:bookmarkEnd w:id="57"/>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ECLI:ES:TC:1992:54</w:t>
      </w:r>
    </w:p>
    <w:p w:rsidR="00FE0907" w:rsidRDefault="00FE0907" w:rsidP="00FE0907">
      <w:pPr>
        <w:pStyle w:val="SntesisDescriptiva"/>
      </w:pPr>
    </w:p>
    <w:p w:rsidR="00FE0907" w:rsidRDefault="00FE0907" w:rsidP="00FE0907">
      <w:pPr>
        <w:pStyle w:val="SntesisDescriptiva"/>
      </w:pPr>
      <w:r>
        <w:t>Recurso de amparo 2.121/1988. Contra Auto del Juzgado de Vigilancia Penitenciaria de La Coruña que acordó mantener Resolución anterior de la Administración penitenciaria (aplicación al recurrente del régimen especial previsto en el art. 10 L.G.P.), así como contra Autos posteriores del mismo Juzgado resolviendo que contra la citada Resolución no cabía recurso alguno.</w:t>
      </w:r>
    </w:p>
    <w:p w:rsidR="00FE0907" w:rsidRDefault="00FE0907" w:rsidP="00FE0907">
      <w:pPr>
        <w:pStyle w:val="SntesisDescriptiva"/>
      </w:pPr>
    </w:p>
    <w:p w:rsidR="00FE0907" w:rsidRDefault="00FE0907" w:rsidP="00FE0907">
      <w:pPr>
        <w:pStyle w:val="SntesisAnaltica"/>
      </w:pPr>
      <w:r>
        <w:t>Vulneración a la tutela judicial efectiva (falta de motivación de las Resoluciones judiciales) y a no sufrir indefensión (derecho alos recursos)</w:t>
      </w:r>
    </w:p>
    <w:p w:rsidR="00FE0907" w:rsidRDefault="00FE0907" w:rsidP="00FE0907">
      <w:pPr>
        <w:pStyle w:val="SntesisAnaltica"/>
      </w:pPr>
    </w:p>
    <w:p w:rsidR="00FE0907" w:rsidRDefault="00FE0907" w:rsidP="00FE0907">
      <w:pPr>
        <w:pStyle w:val="Extracto"/>
      </w:pPr>
      <w:r>
        <w:t>1.</w:t>
      </w:r>
      <w:r>
        <w:tab/>
        <w:t>Según doctrina de este Tribunal Constitucional, no cumple la exigencia legal y constitucional de motivar las resoluciones la mera referencia a los informes de la Junta de Régimen del Centro y del Ministerio Fiscal, sin más argumentos ni razones que permitieran al interesado exponer las suyas para oponerse a la medida y, en su caso, a un órgano judicial superior su apreciación crítica o control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y don Fernando Garcia-Mon y González-Regueral, don Carlos de la Vega Benayas,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2.121/88, promovido por el Procurador de los Tribunales don Saturnino Estevez Rodriguez, en nombre y representación de don Luis Falcón Pérez, bajo la dirección letrada de don Gonzalo Rodriguez Mourullo, contra el Auto del Juzgado de Vigilancia Penitenciaria de La Coruña, de 5 de octubre de 1988, por el que se acordó mantener la Resolución de la Junta de Régimen del Centro Penitenciario de Preventivos de La Coruña, de 5 de septiembre de 1988; y contra los Autos de ese mismo Juzgado, de 3 y 23 de noviembre de 1988, afirmando que contra la citada resolución judicial no cabía recurso alguno. Ha sido parte el Ministerio Fiscal y Ponente don Carlos de la Vega Benayas,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Mediante escrito registrado en este Tribunal el 23 de diciembre de 1988,el Procurador de los Tribunales don Saturnino Estevez Rodriguez, en nombre y representación de don Luis Falcón Pérez, interpuso recurso de amparo contra el Auto del Juzgado de Vigilancia Penitenciaria de la Coruña, de 5 de octubre de 1988, en el que se acordaba mantener la resolución de ese mismo Juzgado, de fecha 13 de noviembre de 1988, que ratificaba el Acuerdo de la Junta de Régimen del Centro Penitenciario de Preventivos de Pontevedra de 5 de septiembre de 1988 por el que se imponía al recurrente el régimen especial de vida previsto en el art.10 de la Ley Orgánica General Penitenciaria (LOGP), así como contra los Autos de ese mismo Juzgado, de fechas 2 y 23 de noviembre de 1988, en los que se disponía que contra el citado Auto de 5 de octubre no cabía recurso alguno.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basaba en síntesis en los siguientes hechos: </w:t>
      </w:r>
    </w:p>
    <w:p w:rsidR="00FE0907" w:rsidRDefault="00FE0907" w:rsidP="00FE0907">
      <w:pPr>
        <w:pStyle w:val="TextoNormal"/>
      </w:pPr>
      <w:r>
        <w:t xml:space="preserve">A) El recurrente se encontraba en situación de prisión provisional, acordada en sumario núm. 63/88 del Juzgado de Instrucción núm. 3 de San Sebastián, pendiente ante la Audiencia Provincial de dicha ciudad, en cuya causa fue procesado como presunto autor de un delito contra la salud pública (supuesto tráfico de sustancias que no causan grave daño a la salud). </w:t>
      </w:r>
    </w:p>
    <w:p w:rsidR="00FE0907" w:rsidRDefault="00FE0907" w:rsidP="00FE0907">
      <w:pPr>
        <w:pStyle w:val="TextoNormal"/>
      </w:pPr>
      <w:r>
        <w:t xml:space="preserve">El citado Juzgado autorizó el traslado del recurrente desde la prisión de Martutene de San Sebastián al Centro Penitenciario de Preventivos de Pontevedra, "por entender que tanto desde el punto de vista jurídico como humanitario y familiar era lo más justo y conveniente". Al no oponer Instituciones Penitenciarias objeción alguna a dicho traslado, éste tuvo lugar en el mes de agosto de 1988. </w:t>
      </w:r>
    </w:p>
    <w:p w:rsidR="00FE0907" w:rsidRDefault="00FE0907" w:rsidP="00FE0907">
      <w:pPr>
        <w:pStyle w:val="TextoNormal"/>
      </w:pPr>
      <w:r>
        <w:t xml:space="preserve">B) Sin que la situación del interno se hubiese modificado, y sin que existiese razón penitenciaria alguna, la Junta de Régimen y Administración del Centro Penitenciario de Preventivos de Pontevedra acordó, en sesión extraordinaria celebrada el 5 de septiembre de 1988, la aplicación al recurrente del régimen especial de vida previsto en el art.10 de la Ley General Penitenciaria "a la vista de los informes policiales recibidos en esta Dirección, en evitación de alguna posible venganza que pudiera recaer en su persona, u otros incidentes, en atención a lo dispuesto en los apartados 1 y 2 del art.34, y por concurrir las circunstancias a que hace referencia la norma tercera del art.43 del Reglamento penitenciario". </w:t>
      </w:r>
    </w:p>
    <w:p w:rsidR="00FE0907" w:rsidRDefault="00FE0907" w:rsidP="00FE0907">
      <w:pPr>
        <w:pStyle w:val="TextoNormal"/>
      </w:pPr>
      <w:r>
        <w:t xml:space="preserve">C) Con fecha 6 de septiembre de 1988, el recurrente formuló las oportunas alegaciones contra dicho Acuerdo ante el Juez de Vigilancia Penitenciaria de La Coruña quien, no obstante, ratificó, por providencia de 13 de septiembre de 1988, la aplicación del mencionado régimen especial de vida. Esta decisión supuso, además de un notorio endurecimiento del régimen penitenciario del interno, su traslado el 21 de septiembre de 1988 al otro extremo de la Península, concretamente al Centro Penitenciario de Almería, con el consiguiente e innecesario desarraigo familiar, "más doloroso aún por tratarse de una persona ya de edad y depresiva, factores que habían sido tenidos en cuenta por el órgano judicial a cuya disposición se encontraba cuando se ordenó su traslado a Pontevedra". </w:t>
      </w:r>
    </w:p>
    <w:p w:rsidR="00FE0907" w:rsidRDefault="00FE0907" w:rsidP="00FE0907">
      <w:pPr>
        <w:pStyle w:val="TextoNormal"/>
      </w:pPr>
      <w:r>
        <w:t xml:space="preserve">D) Contra la resolución del Juzgado de Vigilancia Penitenciaria de La Coruña, de 13 de septiembre de 1988, ratificando la aplicación del régimen especial de vida previsto en el art.10 de la LGP, interpuso la representación del recurrente el correspondiente recurso de reforma, que fue desestimado por Auto de ese mismo Juzgado, de 5 de octubre de 1988, en el que se argumentaba que "en base a los informes emitidos por la Junta de Régimen </w:t>
      </w:r>
      <w:r>
        <w:lastRenderedPageBreak/>
        <w:t xml:space="preserve">del Centro Penitenciario de Pontevedra, que dieron lugar a la imposición del art.10 de la Ley General Penitenciaria, así como conforme con lo dictaminado por el Ministerio Fiscal, procede mantener la resolución recurrida". </w:t>
      </w:r>
    </w:p>
    <w:p w:rsidR="00FE0907" w:rsidRDefault="00FE0907" w:rsidP="00FE0907">
      <w:pPr>
        <w:pStyle w:val="TextoNormal"/>
      </w:pPr>
      <w:r>
        <w:t xml:space="preserve">E) Al haberse comunicado dicha resolución con infracción de lo previsto en el art.248.4 de la LOPJ, la representación del recurrente solicitó que se le notificara en forma legal, lo que se llevó a cabo mediante Auto de 3 de noviembre de 1988 en el que se señalaba que la anterior resolución del propio Juzgado, de 5 de octubre de 1988, "será declarada firme una vez notificada a las partes" y que "una vez declarada firme contra la misma no cabe recurso alguno". </w:t>
      </w:r>
    </w:p>
    <w:p w:rsidR="00FE0907" w:rsidRDefault="00FE0907" w:rsidP="00FE0907">
      <w:pPr>
        <w:pStyle w:val="TextoNormal"/>
      </w:pPr>
      <w:r>
        <w:t xml:space="preserve">F) Mediante escrito de 8 de noviembre de 1988, la representación del recurrente interpuso recurso de apelación contra la anterior resolución por entender que a ello le autorizaba la Disposición adicional quinta, apartado 3, de la Ley Orgánica del Poder Judicial (LOPJ). Recurso cuya admisión a trámite fue denegada por Auto del Juzgado de Vigilancia Penitenciaria de 23 de noviembre de 1988, notificado el día 28 de ese mismo mes. </w:t>
      </w:r>
    </w:p>
    <w:p w:rsidR="00FE0907" w:rsidRDefault="00FE0907" w:rsidP="00FE0907">
      <w:pPr>
        <w:pStyle w:val="TextoNormal"/>
      </w:pPr>
      <w:r>
        <w:t xml:space="preserve">La demanda de amparo sostiene, en primer lugar, que, al apartarse arbitrariamente de la forma, presupuestos y requisitos establecidos taxativamente por la Ley para la adopción de la medida penitenciaria prevista en el art.10 de la LOGP, tanto el inicial acuerdo de la Junta de Régimen del Centro Penitenciario de Preventivos de Pontevedra, como las sucesivas resoluciones del Juzgado de Vigilancia Penitenciaria de La Coruña de 5 de octubre y 3 y 23 de noviembre de 1988, han violado frontalmente el art.17.1 de la C.E. que dispone que "nadie puede ser privado de su libertad, sino con observancia de lo dispuesto en este artículo y en los casos y en la forma previstos en la ley". </w:t>
      </w:r>
    </w:p>
    <w:p w:rsidR="00FE0907" w:rsidRDefault="00FE0907" w:rsidP="00FE0907">
      <w:pPr>
        <w:pStyle w:val="TextoNormal"/>
      </w:pPr>
      <w:r>
        <w:t xml:space="preserve">La pretendida vulneración vendría dada por el hecho de que la imposición al recurrente de la medida prevista en el art.10 de la LOGP se llevó a cabo sin que concurrieran los presupuestos y requisitos que para ello exigen tanto el citado precepto como el art.34.1 y 2 del Reglamento Penitenciario: previa declaración de extremada peligrosidad o inadaptación del interno al régimen abierto u ordinario, apreciada en resolución motivada por causas objetivas teniendo para ello en cuenta los factores enumerados en el art.43.3 del Reglamento Penitenciario. Pues bien: habida cuenta de que ninguno de dichos factores concurría en el demandante de amparo, cuyo comportamiento penitenciario podía calificarse de "modélico", ha de concluirse que la resolución de 5 de septiembre de 1988 se adoptó contrariando la legalidad vigente, únicamente sobre la base de unos informes policiales que, en ningún caso, pueden suplir la ausencia de los presupuestos legalmente establecidos, y con un objetivo aparentemente tuitivo que contradice la esencia netamente disciplinaria de la medida contenida en el art.10 de la LOGP. Y que el mismo reproche merecen los sucesivos Autos del Juzgado de Vigilancia Penitenciaria de La Coruña por los que se confirma la imposición al recurrente de la citada medida. Vulnerando al propio tiempo dichas resoluciones judiciales el art.24.1 de la C.E., dada su ausencia de motivación. </w:t>
      </w:r>
    </w:p>
    <w:p w:rsidR="00FE0907" w:rsidRDefault="00FE0907" w:rsidP="00FE0907">
      <w:pPr>
        <w:pStyle w:val="TextoNormal"/>
      </w:pPr>
      <w:r>
        <w:t xml:space="preserve">Por otra parte, el Auto del Juzgado de Vigilancia Penitenciaria de La Coruña de 23 de noviembre de 1988 supondría por sí sólo una infracción del art.24.1 de la C.E. por cuanto, al haberse privado con él al recurrente de un recurso legalmente previsto, se habría lesionado su derecho a la tutela judicial efectiva. Pues frente a lo que en dicho Auto se sostiene, la Disposición adicional quinta, apartado 3, de la LOPJ autorizaba la interposición de un recurso de apelación frente al Auto de ese mismo Juzgado, de 5 de octubre de 1988. </w:t>
      </w:r>
    </w:p>
    <w:p w:rsidR="00FE0907" w:rsidRDefault="00FE0907" w:rsidP="00FE0907">
      <w:pPr>
        <w:pStyle w:val="TextoNormal"/>
      </w:pPr>
      <w:r>
        <w:t>En virtud de lo expuesto, se pide en la demanda de amparo la anulación de los sucesivos Autos dictados por el Juzgado de Vigilancia Penitenciaria de La Coruña por considerarlos lesivos de los derechos fundamentales contenidos en los arts.17.1 y 24.1 de la C.E.</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Por providencia de fecha 23 de enero de 1989, la Sección Cuarta de la Sala Primera decidió tener por interpuesto el recurso de amparo promovido por don Luis Falcón Pérez y, de conformidad con lo dispuesto en el art.50.3 de la Ley Orgánica del Tribunal Constitucional, conceder al demandante de amparo y al Ministerio Fiscal un plazo común de diez días para la presentación de cuantas alegaciones estimasen pertinentes frente a la posible concurrencia de los motivos de inadmisión respectivamente previstos en los arts.44.1 a) y 44.1 c) de la LOTC, y consistentes en la falta de agotamiento de los recursos utilizables en la vía judicial, y en la falta de invocación formal en el proceso de los derechos constitucionales vulnerados.</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Con fecha 13 de febrero de 1989, el Procurador de los Tribunales don Saturnino Estévez Rodriguez presentó un escrito de alegaciones en el que, frente a la posible existencia del motivo de inadmisión previsto en el art.44.1 a) de la LOTC, se argumentaba que se habían agotado todos los recursos utilizables en la vía judicial puesto que, contra el acuerdo de la Junta de Régimen y Administración del Centro de Preventivos de Pontevedra, de 5 de septiembre de 1988, que decretaba la aplicación del régimen especial de vida a don Luis Falcón Pérez, formuló el propio afectado, con fecha de 6 de septiembre de 1988, un escrito de alegaciones ante el Juez de Vigilancia Penitenciaria de la Audiencia Territorial de la Coruña. Y contra el Auto de dicho Juzgado por el que se ratificaba la mencionada resolución administrativa, interpuso la representación del recurrente sucesivos recursos de reforma y de apelación, este último a pesar de que el Auto de ese mismo Juzgado de 3 de noviembre de 1988, desestimatorio del recurso de reforma interpuesto, decía expresamente que contra el mismo no cabía recurso alguno. </w:t>
      </w:r>
    </w:p>
    <w:p w:rsidR="00FE0907" w:rsidRDefault="00FE0907" w:rsidP="00FE0907">
      <w:pPr>
        <w:pStyle w:val="TextoNormal"/>
      </w:pPr>
      <w:r>
        <w:t>Por lo que se refiere a la posible concurrencia en la demanda del motivo de inadmisión previsto en el art.44.1 c) de la LOTC, se alegaba en dicho escrito que, en el recurso de apelación interpuesto ante el Juzgado de Vigilancia Penitenciaria con fecha de 8 de noviembre de 1988, se decía textualmente que el Auto de dicho Juzgado de 3 de noviembre de 1988 que con él se recurría "vulnera los derechos a la tutela judicial efectiva y a la defensa, garantizados por el art.24 de la Constitución". De manera que podía afirmarse que se habían invocado formal y expresamente los derechos constitucionales que se estimaban vulnerados.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Asimismo con fecha de 13 de febrero de 1989, el Ministerio Fiscal presentó escrito de alegaciones en el que manifestaba, en relación con la existencia del primero de los mencionados motivos de inadmisión, que, de acuerdo con la Disposición adicional quinta de la LOPJ, única norma de nuestro ordenamiento jurídico que regula los recursos posibles contra las resoluciones de los Jueces de Vigilancia Penitenciaria, contra las mismas caben los recursos de reforma, apelación y queja; éste último, solo respecto de aquellas resoluciones que denieguen la admisión de un recurso de apelación. Pues bien, teniendo en cuenta que los Autos del Juzgado de Vigilancia Penitenciaria de la Coruña, de 3 y 23 de noviembre de 1988, denegaban la admisión de un recurso de apelación, ha de concluirse que, al no haber interpuesto el demandante de amparo recurso de queja contra los mismos, no agotó todos los recursos utilizables en la vía judicial y que, por consiguiente, concurre en el presente caso la causa de inadmisión prevista en el art.44.1 a) en relación con el art.50.1 a), ambos de la LOTC. </w:t>
      </w:r>
    </w:p>
    <w:p w:rsidR="00FE0907" w:rsidRDefault="00FE0907" w:rsidP="00FE0907">
      <w:pPr>
        <w:pStyle w:val="TextoNormal"/>
      </w:pPr>
      <w:r>
        <w:t>En cuanto a la posible concurrencia del motivo de inadmisión previsto en el art.44.1 c) en relación con el art.50.1 a) de la LOTC, estimaba el Ministerio Fiscal que de los docu</w:t>
      </w:r>
      <w:r>
        <w:lastRenderedPageBreak/>
        <w:t xml:space="preserve">mentos unidos a la demanda podía deducirse que, efectivamente, el demandante de amparo no había invocado ante el órgano judicial los derechos constitucionales que estimaba vulnerados por las resoluciones del Juzgado de Vigilancia Penitenciaria de La Coruña. </w:t>
      </w:r>
    </w:p>
    <w:p w:rsidR="00FE0907" w:rsidRDefault="00FE0907" w:rsidP="00FE0907">
      <w:pPr>
        <w:pStyle w:val="TextoNormal"/>
      </w:pPr>
      <w:r>
        <w:t>En virtud de lo expuesto, el Fiscal ante el Tribunal Constitucional estimaba que procedía que este Tribunal dictase un Auto por el que declarase la inadmisión del presente recurso de amparo.</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23 de febrero de 1989, la Sección Cuarta de la Sala Segunda acordó tener por recibidos los escritos de alegaciones presentados por la representación del recurrente y por el Ministerio Fiscal, admitir a trámite la demanda y, a tenor de lo dispuesto en el art.51 de la LOTC, requerir al Juzgado de Vigilancia Penitenciaria de La Coruña para que, en el plazo de diez días, remitiese testimonio de todas las actuaciones.</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17 de abril de 1989, la Sección Segunda de la Sala Primera acordó tener por recibidas las actuaciones remitidas por el Juzgado de Vigilancia Penitenciaria de La Coruña y, a tenor de lo dispuesto en el art.52 de la LOTC, dar vista de las mismas al Ministerio Fiscal y al solicitante de amparo para que, en el plazo común de veinte días, alegasen cuanto a su derecho conviniera.</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Con fecha 11 de mayo de 1989, el Procurador de los Tribunales don Saturnino Estevez Rodriguez presentó un escrito de alegaciones en el que reiteraba la tesis mantenida en la demanda en el sentido de afirmar que los sucesivos Autos del Juzgado de Vigilancia Penitenciaria de La Coruña de 5 de octubre, 3 de noviembre y 23 de noviembre de 1988 habían vulnerado los derechos de su representado a la libertad y a la tutela judicial efectiva. </w:t>
      </w:r>
    </w:p>
    <w:p w:rsidR="00FE0907" w:rsidRDefault="00FE0907" w:rsidP="00FE0907">
      <w:pPr>
        <w:pStyle w:val="TextoNormal"/>
      </w:pPr>
      <w:r>
        <w:t xml:space="preserve">El acuerdo adoptado el 5 de septiembre de 1988 por la Junta del Centro Penitenciario de Preventivos de Pontevedra, por el que se disponía la aplicación a don Luis Falcón Pérez del régimen especial de vida previsto en el art.10 de la LGP, y los sucesivos Autos del Juzgado de Vigilancia Penitenciaria de La Coruña de 5 de octubre y 3 y 23 de noviembre de 1988 ratificando dicho acuerdo, vulneraron abiertamente lo dispuesto en el art.17.1, segundo inciso, de la C.E. en el que se dispone que "nadie puede ser privado de libertad, sino con observancia de lo establecido en este artículo y en los casos y la forma previstos en la Ley", al haberse apartado de manera evidente de la forma, presupuestos y requisitos establecidos taxativamente en la Ley para la adopción de esta medida penitenciaria. Pues ni puede decirse que el sometido a tal medida fuese un interno extremadamente peligroso, ni había mostrado jamás la menor inadaptación al régimen de los distintos establecimientos penitenciarios visitados, sino que, por el contrario, su comportamiento había sido en todo momento irreprochable. De manera que ha de concluirse que la imposición al mismo del régimen especial de vida previsto en el art.10 de la LGP no vino motivada por las causas objetivas mencionadas en los arts.34.1 y 2 y 43.3 del Reglamento penitenciario y que, por consiguiente, debe ser revocada. </w:t>
      </w:r>
    </w:p>
    <w:p w:rsidR="00FE0907" w:rsidRDefault="00FE0907" w:rsidP="00FE0907">
      <w:pPr>
        <w:pStyle w:val="TextoNormal"/>
      </w:pPr>
      <w:r>
        <w:t xml:space="preserve">Por otra parte, el Auto del Juzgado de Vigilancia Penitenciaria de La Coruña de 23 de noviembre de 1988, al haber negado al hoy demandante de amparo la posibilidad de recurrir en apelación el Auto de ese mismo Juzgado de 5 de octubre de 1988, privándole así del derecho a obtener una resolución fundada en Derecho y a utilizar los recursos ordinarios y extraordinarios previstos en la Ley, violó abiertamente el derecho a la tutela judicial efectiva consagrado en el art.24.1 de la C.E. Sin que frente a ello quepa argüir que, en el </w:t>
      </w:r>
      <w:r>
        <w:lastRenderedPageBreak/>
        <w:t>caso de autos, no era de aplicación el apartado tercero de la Disposición adicional quinta de la LOPJ que posibilita la interposición de recurso de apelación contra las resoluciones del Juzgado de Vigilancia Penitenciaria, por tratarse en origen de una resolución administrativa ya recurrida en apelación ante dicho Juzgado y contra la cual no cabía, por consiguiente, ulterior recurso. Pues con esta interpretación se ignoraría que el escrito de alegaciones presentado en su propio nombre por don Luis Falcón Pérez el 6 de septiembre de 1988 ante el Juzgado de Vigilancia Penitenciaria de La Coruña no tuvo carácter de recurso de apelación propiamente dicho,y que, por consiguiente,la resolución judicial por la que se ratificó dicho acuerdo no resolvía recurso alguno, y mucho menos de apelación. Debe, por ello, concluirse que el Auto de 23 de noviembre de 1988, al no admitir la interposición de recurso de apelación contra el Auto de 5 de octubre de 1988, infringió claramente dicha Disposición quinta, apartado 3°, de la LOPJ y, con ello, el derecho a la tutela judicial efectiva de Jueces y Tribunales.</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Con fecha de 12 de mayo de 1989, el Ministerio Fiscal presentó un escrito de alegaciones en el que desarrollaba las siguientes consideraciones: </w:t>
      </w:r>
    </w:p>
    <w:p w:rsidR="00FE0907" w:rsidRDefault="00FE0907" w:rsidP="00FE0907">
      <w:pPr>
        <w:pStyle w:val="TextoNormal"/>
      </w:pPr>
      <w:r>
        <w:t xml:space="preserve">Del examen del acuerdo de la Junta de Régimen penitenciario y de las resoluciones impugnadas, así como de los antecedentes que obran en el expediente, no parece que pueda deducirse la pretendida vulneración del derecho a la libertad reconocido en el art.17.1 de la C.E., ni que se adviertan los graves defectos de falta de motivación que les atribuye la representación del recurrente. Por el contrario, la Junta de Régimen Penitenciario fundó su resolución en el art.10 de la LGP y en los arts.34 y 43 del Reglamento Penitenciario, sobre la base de un escrito del Excmo.Sr.Gobernador de la Provincia en el que se daba cuenta de los incidentes y alteraciones producidos en el Centro Penitenciario de Pontevedra al tener conocimiento los internos de la presencia del Sr.Falcón, alteraciones que requirieron la intervención de efectivos policiales y la instrucción de diligencias penales por parte del Juzgado de Guardia. Estas fueron las circunstancias objetivas que tuvo en cuenta la administración penitenciaria para adoptar una medida, en verdad de excepción, que se ajusta a las previsiones legales y reglamentarias. </w:t>
      </w:r>
    </w:p>
    <w:p w:rsidR="00FE0907" w:rsidRDefault="00FE0907" w:rsidP="00FE0907">
      <w:pPr>
        <w:pStyle w:val="TextoNormal"/>
      </w:pPr>
      <w:r>
        <w:t xml:space="preserve">Por otra parte, como se dice en la STC 74/1985, es claro que el interno de un Centro penitenciario tiene una relación de sujeción especial con la Administración penitenciaria, de la que se deriva para ésta última una potestad sancionadora disciplinaria cuyo ejercicio y límites se regulan en el Reglamento penitenciario. Lo que no obsta para que los actos que lleve a cabo en virtud de dicha potestad estén sometidos al control jurisdiccional del Juez de Vigilancia Penitenciaria siempre que afecten a los derechos fundamentales de los presos y condenados. Control que en este caso se ha efectuado, por lo que las limitaciones que al derecho a la libertad haya supuesto el acuerdo de la Junta de Régimen Penitenciario no vulneran, como se pretende en la demanda de amparo, el derecho consagrado en el art.17.1 de la C.E. </w:t>
      </w:r>
    </w:p>
    <w:p w:rsidR="00FE0907" w:rsidRDefault="00FE0907" w:rsidP="00FE0907">
      <w:pPr>
        <w:pStyle w:val="TextoNormal"/>
      </w:pPr>
      <w:r>
        <w:t>En cuanto a la pretendida vulneración del derecho a la tutela judicial efectiva, basada en la demanda en la inadmisión del recurso de apelación intentado contra el Auto del Juzgado de Vigilancia Penitenciaria de 5 de octubre de 1988, lo cierto es que el recurrente presentó el 6 de septiembre de 1988 ante el Juez de Vigilancia Penitenciaria un escrito recurriendo el acuerdo de la Junta de Régimen Penitenciario por el que se le imponía la aplicación del art.10 de la LPG. Sin que el hecho de que el recurrente no haya utilizado al referirse a él la expresión "recurso de apelación", sino la de "escrito de alegaciones", pueda alterar la verdadera naturaleza de recurso de apelación de dicho escrito, como tampoco la altera el dato de que fuera firmado únicamente por el interesado, ya que en materia pe</w:t>
      </w:r>
      <w:r>
        <w:lastRenderedPageBreak/>
        <w:t xml:space="preserve">nitenciaria el interno está legitimado para recurrir por sí mismo ante el Juez de Vigilancia penitenciaria, sin necesidad de Abogado o de Procurador, pudiendo incluso interponerse el recurso verbalmente y sin formalidad alguna en el propio acto de la notificación (arts.131 y 132 del Reglamento Penitenciario). </w:t>
      </w:r>
    </w:p>
    <w:p w:rsidR="00FE0907" w:rsidRDefault="00FE0907" w:rsidP="00FE0907">
      <w:pPr>
        <w:pStyle w:val="TextoNormal"/>
      </w:pPr>
      <w:r>
        <w:t xml:space="preserve">Obtenida la anterior conclusión, ningún reproche cabe hacer al Juzgado de Vigilancia Penitenciaria de La Coruña por no haber admitido a trámite el recurso de apelación presentado contra el Auto de ese mismo Juzgado, de 5 de octubre de 1988. Pues, a tenor de lo dispuesto en el primer apartado de la Disposición adicional quinta de la LOPJ, contra las resoluciones del Juez de Vigilancia resolviendo la apelación deducida contra una resolución administrativa sólo cabe recurso de reforma, agotándose con dicho recurso, por consiguiente, la posibilidad de impugnar el acto administrativo por vía judicial. </w:t>
      </w:r>
    </w:p>
    <w:p w:rsidR="00FE0907" w:rsidRDefault="00FE0907" w:rsidP="00FE0907">
      <w:pPr>
        <w:pStyle w:val="TextoNormal"/>
      </w:pPr>
      <w:r>
        <w:t>En virtud de lo expuesto, el Fiscal ante el Tribunal Constitucional proponía a este Tribunal que dictase Sentencia declarando no haber lugar el amparo promovido por don Luis Falcón Pérez.</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7 de abril de 1992, se señaló para deliberación y fallo de la presente Sentencia el día 8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Varios son los motivos en los que se basa la demanda de amparo para solicitar la anulación por este Tribunal de los Autos del Juzgado de Vigilancia Penitenciaria de La Coruña de 5 de octubre y 3 y 23 de noviembre de 1988. De un lado, se alega que se ha vulnerado el art.17.1 de la C.E. al haber mantenido el Acuerdo de la Junta de Régimen del Centro Penitenciario de Preventivos de Pontevedra por el que se acordaba la imposición al recurrente del régimen especial de vida previsto en el art.10 de la Ley Orgánica General Penitenciaria, sin que para ello concurriesen los necesarios presupuestos y requisitos legalmente exigidos por ese mismo precepto y por los arts.34.1 y 2 y 43.3 del Reglamento Penitenciario. De otro, se reprocha a dichas resoluciones falta de motivación, lesiva del derecho a la tutela judicial efectiva del art. 24.1 de la C.E. Y, más en concreto, se invoca la vulneración de este último derecho por parte del Auto de fecha 23 de noviembre de 1988, en el que se denegaba la admisión a trámite del recurso de apelación intentado contra el Auto de 5 de octubre de 1988, por considerar el recurrente que con ello se le ha impedido el ejercicio de su derecho a la defensa, al privársele indebidamente de la posibilidad de interponer un recurso legalmente establecido.</w:t>
      </w:r>
    </w:p>
    <w:p w:rsidR="00FE0907" w:rsidRDefault="00FE0907" w:rsidP="00FE0907">
      <w:pPr>
        <w:pStyle w:val="TextoNormal"/>
      </w:pPr>
    </w:p>
    <w:p w:rsidR="00FE0907" w:rsidRDefault="00FE0907" w:rsidP="00FE0907">
      <w:pPr>
        <w:pStyle w:val="TextoNormal"/>
      </w:pPr>
      <w:r w:rsidRPr="00FE0907">
        <w:rPr>
          <w:rStyle w:val="NumeroAFNegritaCaracter"/>
        </w:rPr>
        <w:t>2</w:t>
      </w:r>
      <w:r>
        <w:t>. Por lo que se refiere a la vulneración del art. 17 de la C.E.  bien se observa que lo que con ello se quiere decir es que no se cumplieron, por el juez que mantuvo el acuerdo de la Junta de Régimen del Centro Penitenciario, ni por ésta al adaptarlo, los presupuestos y requisitos que pudieran fundar el cambio de situación penitenciaria del recurrente, previstos en los arts.  10 de la Ley General Penitenciaria y 34.1 y 2 y 43.3 del Reglamento.  Pero como ello constituye la cuestión subyacente, que es la que debe ser estudiada y explicitada en su caso por el Juez de Vigilancia al pronunciarse y motivar la resolución fiscalizadora del acuerdo de la Junta, es claro que no debemos ahora pronunciarnos en esta Sentencia sin antes decidir sobre el motivo de falta de motivación, de lo que también se acusa a las resoluciones impugnadas.</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Sostiene el recurrente, como se ha dicho, que los Autos del Juzgado de Vigilancia Penitenciaria de La Coruña de 5 de octubre y 3 y 23 de noviembre de 1988 han violado el derecho a la tutela judicial efectiva y a no sufrir indefensión, consagrado en el art.24.1 de la C.E.</w:t>
      </w:r>
    </w:p>
    <w:p w:rsidR="00FE0907" w:rsidRDefault="00FE0907" w:rsidP="00FE0907">
      <w:pPr>
        <w:pStyle w:val="TextoNormal"/>
      </w:pPr>
      <w:r>
        <w:t>Esta pretendida vulneración se argumenta en la demanda por una doble vía.  De un lado, se reprocha a todos los Autos impugnados su falta de fundamentación en relación con la imposición de la medida penitenciaria cuya arbitrariedad se predica.  De otro, se alega que el Auto de 23 de noviembre de 1988 ha incidido muy especialmente en infracción del art.24.1 de la C.E. al haber privado al recurrente de la posibilidad de interponer un recurso legalmente previsto.</w:t>
      </w:r>
    </w:p>
    <w:p w:rsidR="00FE0907" w:rsidRDefault="00FE0907" w:rsidP="00FE0907">
      <w:pPr>
        <w:pStyle w:val="TextoNormal"/>
      </w:pPr>
      <w:r>
        <w:t>Pues bien, a la vista de las resoluciones judiciales que se impugnan, puede afirmarse que inciden en las vulneraciones constitucionales que se denuncian.  En cuanto a la falta de motivación porque, en efecto, no puede afirmarse que lo constituya la mera referencia, para fundar el Auto de 5 de octubre de 1988, a los informes de la Junta de Régimen del Centro y del Ministerio Fiscal, sin más argumentos ni razones que permitieran al interesado exponer las suyas para oponerse a la medida y, en su caso, a un órgano judicial superior su apreciación crítica o control, que es, según doctrina de este Tribunal Constitucional, el fundamento de la exigencia legal y constitucional de motivar las resoluciones.</w:t>
      </w:r>
    </w:p>
    <w:p w:rsidR="00FE0907" w:rsidRDefault="00FE0907" w:rsidP="00FE0907">
      <w:pPr>
        <w:pStyle w:val="TextoNormal"/>
      </w:pPr>
      <w:r>
        <w:t>Respecto de la vulneración del derecho a la tutela judicial efectiva por parte del Auto de 23 de noviembre de 1988 requiere dilucidar, con carácter previo, cuál de los distintos apartados de la Disposición adicional quinta de la Ley Orgánica del Poder Judicial -única norma procesal que regula, de manera poco clara e insatisfactoria en opinión doctrinal generalizada, el tema de los recursos posibles frente a las resoluciones de los Jueces de Vigilancia Penitenciaria- era aplicable en el caso de autos.  Pues, si como sostiene el citado Auto, la norma aplicable era la contenida en el apartado 2 de dicho precepto, ningún reproche cabría dirigirle desde el punto de vista del derecho contenido en el art.24.1 de la C.E.</w:t>
      </w:r>
    </w:p>
    <w:p w:rsidR="00FE0907" w:rsidRDefault="00FE0907" w:rsidP="00FE0907">
      <w:pPr>
        <w:pStyle w:val="TextoNormal"/>
      </w:pPr>
      <w:r>
        <w:t>La Disposición adicional quinta de la Ley Orgánica del Poder Judicial, tras sentar en su primer apartado el principio de que todos los Autos del Juez de Vigilancia Penitenciaria son recurribles en reforma, dice textualmente en su segundo apartado que "las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FE0907" w:rsidRDefault="00FE0907" w:rsidP="00FE0907">
      <w:pPr>
        <w:pStyle w:val="TextoNormal"/>
      </w:pPr>
      <w:r>
        <w:t>En esta norma se basó el Auto del Juzgado de Vigilancia Penitenciaria de La Coruña, de fecha 23 de noviembre de 1988, para denegar toda posibilidad de recurso frente al Auto de ese mismo Juzgado de 5 de octubre de 1988, por considerar que este último se había dictado resolviendo el recurso de apelación interpuesto por el hoy demandante de amparo contra la resolución de la Junta de Régimen del Centro Penitenciario de Preventivos de Pontevedra, de fecha 5 de septiembre de 1988.</w:t>
      </w:r>
    </w:p>
    <w:p w:rsidR="00FE0907" w:rsidRDefault="00FE0907" w:rsidP="00FE0907">
      <w:pPr>
        <w:pStyle w:val="TextoNormal"/>
      </w:pPr>
      <w:r>
        <w:t>Pero dicha interpretación no puede ser admitida y ello por la simple razón de no ser cierta la premisa de la que parte, ésto es, que el Auto de 5 de octubre de 1988 fuese dictado resolviendo un recurso de apelación contra una resolución administrativa.</w:t>
      </w:r>
    </w:p>
    <w:p w:rsidR="00FE0907" w:rsidRDefault="00FE0907" w:rsidP="00FE0907">
      <w:pPr>
        <w:pStyle w:val="TextoNormal"/>
      </w:pPr>
      <w:r>
        <w:t xml:space="preserve">En efecto, a tenor de lo dispuesto en el art.43.3 del Reglamento Penitenciario, que en este punto se remite a lo establecido en el art.76.2 j) de la Ley Orgánica General Penitenciaria, en caso de adopción de la medida penitenciaria prevista en el art.10 de la misma, deberá comunicarse al Juez de Vigilancia Penitenciaria, en un plazo no superior a setenta y dos horas, el acuerdo motivado del Centro penitenciario, para que aquel lo ratifique o lo </w:t>
      </w:r>
      <w:r>
        <w:lastRenderedPageBreak/>
        <w:t>revoque; dicho acuerdo será notificado al interno el mismo día de su adopción, mediante entrega del contenido literal del mismo, indicándole que, en el plazo de las 48 horas siguientes, podrá elevar ante el Juez de Vigilancia Penitenciaria las alegaciones y proposiciones de prueba que estime oportunas (art.34.3 del Reglamento Penitenciario).</w:t>
      </w:r>
    </w:p>
    <w:p w:rsidR="00FE0907" w:rsidRDefault="00FE0907" w:rsidP="00FE0907">
      <w:pPr>
        <w:pStyle w:val="TextoNormal"/>
      </w:pPr>
      <w:r>
        <w:t>Pues bien, todo ello concuerda con el "iter" recorrido en el presente caso, según se desprende de una atenta lectura de las actuaciones. En efecto, con fecha 7 de septiembre de 1988, la Dirección del Centro de Preventivos de Pontevedra remitió al Juez de Vigilancia Penitenciaria de La Coruña la documentación requerida en el art. 34.3 del Reglamento penitenciario, a efectos de ratificación del acuerdo de la Junta de Régimen, de fecha 5 de septiembre de 1988. Documentación que incluía una certificación del Acta de sesiones de la mencionada Junta, en la que, entre otras cosas, se hacía constar su decisión de mantener al recurrente en sus dependencias mientras "el Sr.  Juez de Vigilancia Penitenciaria no apruebe y ratifique" la medida aprobada por unanimidad; constando asimismo que, con fecha de 5 de septiembre de 1988, se notificó a don Luis Falcón Pérez el acuerdo de la Junta de Régimen de ese mismo día, advirtiéndole expresamente de la posibilidad de presentar ante el Juez de Vigilancia penitenciaria, en las cuarenta y ocho horas siguientes, las alegaciones y proposiciones de prueba que estimase oportunas.  Lo que así hizo, por medio de escrito de alegaciones de 6 de septiembre de 1988, dictando seguidamente el Juez de Vigilancia Penitenciaria de La Coruña una providencia, de fecha 13 de septiembre de 1988, por la que ratificaba la imposición al recurrente del "régimen especial de vida" previsto en el art. 10 de la Ley Orgánica General Penitenciaria.</w:t>
      </w:r>
    </w:p>
    <w:p w:rsidR="00FE0907" w:rsidRDefault="00FE0907" w:rsidP="00FE0907">
      <w:pPr>
        <w:pStyle w:val="TextoNormal"/>
      </w:pPr>
      <w:r>
        <w:t>En consecuencia puede concluirse que, en contra de lo que se dice en el Auto de 23 de noviembre de 1988, la resolución del Juez de Vigilancia Penitenciaria de La Coruña de 13 de septiembre de 1988 no fue dictada en segunda instancia, resolviendo un recurso de apelación supuestamente presentado el 6 de septiembre de 1988 por don Luis Falcón Pérez contra la resolución administrativa de la Junta de Régimen del Centro de Preventivos de Pontevedra, sino en primera instancia, otorgando validez a un acto administrativo que, hasta ese momento, no pasaba de ser una mera propuesta necesitada de respaldo judicial. Frente a dicha resolución cabían, por consiguiente, de conformidad con los apartados 3 y 4 de la Disposición adicional quinta de la Ley Orgánica del Poder Judicial, no sólo el recurso de reforma efectivamente interpuesto y resuelto por Auto de 5 de octubre de 1988, sino también recursos de apelación y queja, éste último sólo en el caso de que se denegase la admisión a trámite del recurso de apelación. Mas como en el presente caso no se denegó el recurso de apelación, sino que, equivocadamente, se entendió interpuesto y resuelto, procede deshacer el error padecido y restablecer al recurrente en su derecho a interponer los recursos que autoriza la Disposición adicional quinta de la Ley Orgánica del Poder Judicial.</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presentado en nombre de don Luis Falcón Pérez y, en consecuencia:</w:t>
      </w:r>
    </w:p>
    <w:p w:rsidR="00FE0907" w:rsidRDefault="00FE0907" w:rsidP="00FE0907">
      <w:pPr>
        <w:pStyle w:val="TextoNormal"/>
      </w:pPr>
      <w:r>
        <w:lastRenderedPageBreak/>
        <w:t>1°.  Reconocer al recurrente su derecho fundamental a la tutela judicial efectiva.</w:t>
      </w:r>
    </w:p>
    <w:p w:rsidR="00FE0907" w:rsidRDefault="00FE0907" w:rsidP="00FE0907">
      <w:pPr>
        <w:pStyle w:val="TextoNormal"/>
      </w:pPr>
      <w:r>
        <w:t>2°.  Declarar la nulidad de los Autos del Juzgado de Vigi lancia Penitenciaria de La Coruña, de 5 de octubre de 1988 y de 3 y 23 de noviembre de 1988.</w:t>
      </w:r>
    </w:p>
    <w:p w:rsidR="00FE0907" w:rsidRDefault="00FE0907" w:rsidP="00FE0907">
      <w:pPr>
        <w:pStyle w:val="TextoNormal"/>
      </w:pPr>
      <w:r>
        <w:t>3º Retrotraer las actuaciones al momento inmediatamente anterior a la emisión por dicho Juzgado del Auto de 5 de octubre de 1988, al objeto de que el recurrente pueda hacer uso de su derecho a recurrir.</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ocho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8" w:name="SENTENCIA_1992_55"/>
      <w:r>
        <w:lastRenderedPageBreak/>
        <w:t>SENTENCIA 55/1992, de 8 de abril de 1992</w:t>
      </w:r>
    </w:p>
    <w:bookmarkEnd w:id="58"/>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ECLI:ES:TC:1992:55</w:t>
      </w:r>
    </w:p>
    <w:p w:rsidR="00FE0907" w:rsidRDefault="00FE0907" w:rsidP="00FE0907">
      <w:pPr>
        <w:pStyle w:val="SntesisDescriptiva"/>
      </w:pPr>
    </w:p>
    <w:p w:rsidR="00FE0907" w:rsidRDefault="00FE0907" w:rsidP="00FE0907">
      <w:pPr>
        <w:pStyle w:val="SntesisDescriptiva"/>
      </w:pPr>
      <w:r>
        <w:t>Recurso de amparo 778/1989. Contra Auto de la Sala Primera del Tribunal Supremo inadmitiendo recurso de casación contra Sentencia de la Audiencia Territorial de Madrid, en proceso sobre reclamación de cantidad.</w:t>
      </w:r>
    </w:p>
    <w:p w:rsidR="00FE0907" w:rsidRDefault="00FE0907" w:rsidP="00FE0907">
      <w:pPr>
        <w:pStyle w:val="SntesisDescriptiva"/>
      </w:pPr>
    </w:p>
    <w:p w:rsidR="00FE0907" w:rsidRDefault="00FE0907" w:rsidP="00FE0907">
      <w:pPr>
        <w:pStyle w:val="SntesisAnaltica"/>
      </w:pPr>
      <w:r>
        <w:t>Vulneración del derecho a la tutela judicial efectiva en un supuesto de determinación de la cuantía litigiosa: interpretación de las leyes más favorable al derecho fundamental de acceso a los recursos</w:t>
      </w:r>
    </w:p>
    <w:p w:rsidR="00FE0907" w:rsidRDefault="00FE0907" w:rsidP="00FE0907">
      <w:pPr>
        <w:pStyle w:val="SntesisAnaltica"/>
      </w:pPr>
    </w:p>
    <w:p w:rsidR="00FE0907" w:rsidRDefault="00FE0907" w:rsidP="00FE0907">
      <w:pPr>
        <w:pStyle w:val="Extracto"/>
      </w:pPr>
      <w:r>
        <w:t>1.</w:t>
      </w:r>
      <w:r>
        <w:tab/>
        <w:t>Si bien entre los límites que condicionan la inadmisibilidad del recurso de casación civil, el art. 1.710.2 L.E.C., en relación con los arts. 1. 697 y 1.687.1 de la misma, incluye el consistente en que la cuantía del juicio declarativo en que haya recaído la Sentencia objeto del recurso exceda de 3.000. 000 de pesetas, debe a tal efecto computarse por separado, según el art. 489.17 de la misma Ley, el valor de la pretensión del demandante y la que haya ejercitado el demandado por vía reconvencional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Tomas y Valiente, Presidente, don Fernando García-Mon y Gonzalez-Regueral,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778/89 interpuesto por la Procuradora de los Tribunales doña Katiuska Marín Martín, en nombre y representación de doña Natividad Jimenez del Rey, asistida del Letrado don Felipe López y Martín de Loeches, contra el Auto de la Sala Primera del Tribunal Supremo de 13 de abril de 1989 que acordó no haber lugar a la admisión del recurso de casación formulado contra la Sentencia de 21 de diciembre de 1988 dictada por la Sala de lo Civil de la Audiencia Territorial de Madrid en proceso sobre reclamación de cantidad. Han comparecido el Ministerio Fiscal y la Caja de Ahorros de Galicia representada por el Procurador de los Tribunales don Juan Carlos Estevez Fernandez-Novoa y asistido por el Letrado don Pedro Pascual Cid, y ha sido Ponente el Magistrado don Luis López Guerra,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tuvo entrada en este Tribunal el día 28 de abril de 1989, la Procuradora de los Tribunales doña Katiuska Marín Martín, en nombre y representación de doña Natividad Jimenez del Rey, interpuso recurso de amparo contra el Auto de la Sala Primera del Tribunal Supremo de 13 de abril de 1989 que acordó no haber lugar al recurso de casación formulado contra la Sentencia de 21 de diciembre de 1988 dictada por la Sala de lo Civil de la Audiencia Territorial de Madrid, en proceso sobre reclamación de cantidad.</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en que se basa la demanda de amparo son, en síntesis, los siguientes: </w:t>
      </w:r>
    </w:p>
    <w:p w:rsidR="00FE0907" w:rsidRDefault="00FE0907" w:rsidP="00FE0907">
      <w:pPr>
        <w:pStyle w:val="TextoNormal"/>
      </w:pPr>
      <w:r>
        <w:t xml:space="preserve">A) Doña Natividad Jiménez del Rey, actual demandante de amparo, formuló por medio de su representación legal, recurso de casación contra la Sentencia de 21 de diciembre de 1988 dictada por la Sala de lo Civil de la Audiencia Territorial de Madrid en resolución del recurso de apelación formulado contra la Sentencia de instancia recaída en proceso declarativo ordinario de menor cuantía sobre reclamación de la cantidad de 1.012.500 pesetas -que se solicitaba en la demanda- y en cuyos autos, que se siguieron en el Juzgado de Primera Instancia núm. 17 de Madrid, la Sra. Jiménez del Rey -demandada en los referidos autos- formuló reconvención por valor de 6.127.500 pesetas. </w:t>
      </w:r>
    </w:p>
    <w:p w:rsidR="00FE0907" w:rsidRDefault="00FE0907" w:rsidP="00FE0907">
      <w:pPr>
        <w:pStyle w:val="TextoNormal"/>
      </w:pPr>
      <w:r>
        <w:t xml:space="preserve">El recurso de casación se tuvo por formulado mediante providencia de 24 de febrero de 1989, dictada por la Sala de lo Civil de la Audiencia Territorial de Madrid y el Ministerio Fiscal, evacuando el correspondiente trámite, devolvió los autos con la fórmula de "Visto". </w:t>
      </w:r>
    </w:p>
    <w:p w:rsidR="00FE0907" w:rsidRDefault="00FE0907" w:rsidP="00FE0907">
      <w:pPr>
        <w:pStyle w:val="TextoNormal"/>
      </w:pPr>
      <w:r>
        <w:t xml:space="preserve">B) En fecha 13 de abril de 1989 la Sala Primera del Tribunal Supremo dictó Auto cuya parte dispositiva es del tenor literal siguiente:... "No ha lugar a admitir el recurso de casación interpuesto por Natividad Jiménez del Rey contra la sentencia que en fecha 21 de diciembre de 1988 dictó la Sala de lo Civil de la Audiencia Territorial de Madrid". </w:t>
      </w:r>
    </w:p>
    <w:p w:rsidR="00FE0907" w:rsidRDefault="00FE0907" w:rsidP="00FE0907">
      <w:pPr>
        <w:pStyle w:val="TextoNormal"/>
      </w:pPr>
      <w:r>
        <w:t xml:space="preserve">Con base en los anteriores hechos, la demandante de amparo suplica de este Tribunal se dicte Sentencia por la que se declare la nulidad del Auto de 13 de abril de 1989 dictado por la Sala Primera del Tribunal Supremo a fin de que en su lugar se dicte otro que admita el recurso de casación interpuesto. Por medio de otrosí solicita la suspensión de la ejecución de la sentencia recurrida en casación, a fin de evitar que el recurso de amparo pierda su finalidad. </w:t>
      </w:r>
    </w:p>
    <w:p w:rsidR="00FE0907" w:rsidRDefault="00FE0907" w:rsidP="00FE0907">
      <w:pPr>
        <w:pStyle w:val="TextoNormal"/>
      </w:pPr>
      <w:r>
        <w:t xml:space="preserve">Alega la actora la vulneración del derecho a obtener tutela judicial efectiva consagrado en el art. 24.1 C.E. Considera la demandante que el Auto de inadmisión del recurso de casación dictado por el Tribunal Supremo, ha impedido su acceso a un recurso legalmente previsto, mediante la aplicación de una causa inexistente en este supuesto; y ello, porque tanto si se considera la cuantía de la reconvención por separado -en el sentido que establece la regla 17 del art. 489 de la L.E.C- como si se acumula a la cuantía de la demanda, en ambos casos la citada cantidad es superior a la suma de 3.000.000 de pesetas que fija el art. 1.687.1º L.E.C. para la procedencia del recurso. </w:t>
      </w:r>
    </w:p>
    <w:p w:rsidR="00FE0907" w:rsidRDefault="00FE0907" w:rsidP="00FE0907">
      <w:pPr>
        <w:pStyle w:val="TextoNormal"/>
      </w:pPr>
      <w:r>
        <w:t>Entiende la recurrente que nada impide, conforme a la legislación vigente, la acumulación de ambas demandas a efectos de la fijación de la cuantía, pero que, además, y en cualquier caso, la naturaleza de auténtica demanda que ostenta la reconvención formulada es indudable tanto si se consideran los preceptos de la L.E.C o del Decreto de 12 de noviembre de 1952, como si se acude para su determinación a la opinión expresada por la doctrina científica. Y siendo esto así, la suma a que ascendía dicha demanda reconvencional era suficiente para estimar la procedencia del recurso.</w:t>
      </w:r>
    </w:p>
    <w:p w:rsidR="00FE0907" w:rsidRDefault="00FE0907" w:rsidP="00FE0907">
      <w:pPr>
        <w:pStyle w:val="TextoNormal"/>
      </w:pPr>
    </w:p>
    <w:p w:rsidR="00FE0907" w:rsidRDefault="00FE0907" w:rsidP="00FE0907">
      <w:pPr>
        <w:pStyle w:val="TextoNormal"/>
      </w:pPr>
      <w:r w:rsidRPr="00FE0907">
        <w:rPr>
          <w:rStyle w:val="NumeroAFNegritaCaracter"/>
        </w:rPr>
        <w:t>3</w:t>
      </w:r>
      <w:r>
        <w:t>. Por providencia de 15 de septiembre de 1989, la Sección Segunda (Sala Primera) de este Tribunal acuerda admitir a trámite la demanda de amparo formulada y a tenor de lo dispuesto en el art. 51 de la Ley Orgánica del Tribunal Constitucional (LOTC), requerir atentamente a la Sala Primera del Tribunal Supremo y Tribunal Superior de Justicia, para que en el plazo de diez días remitan respectivamente, testimonio del recurso de casación núm. 260/89 y del rollo de apelación núm. 24/88, interesándose al propio tiempo del Juzgado núm. 17 de Madrid el emplazamiento de quienes fueron parte en el procedimiento con excepción de la recurrente en amparo, para que en el plazo de diez días puedan comparecer en este proceso constitucional. En cuanto a la petición de suspensión se acuerda formar la pieza separada, conforme se solicita por la actora.</w:t>
      </w:r>
    </w:p>
    <w:p w:rsidR="00FE0907" w:rsidRDefault="00FE0907" w:rsidP="00FE0907">
      <w:pPr>
        <w:pStyle w:val="TextoNormal"/>
      </w:pPr>
    </w:p>
    <w:p w:rsidR="00FE0907" w:rsidRDefault="00FE0907" w:rsidP="00FE0907">
      <w:pPr>
        <w:pStyle w:val="TextoNormal"/>
      </w:pPr>
      <w:r w:rsidRPr="00FE0907">
        <w:rPr>
          <w:rStyle w:val="NumeroAFNegritaCaracter"/>
        </w:rPr>
        <w:t>4</w:t>
      </w:r>
      <w:r>
        <w:t>. Con fecha 13 de noviembre de 1989 se recibe escrito mediante el cual el Procurador de los Tribunales don Juan Carlos Estevez Fernandez-Novoa, en nombre y representación de la Caja de Ahorros de Galicia, se persona en las actuaciones.</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29 de enero de 1990, la Sección acuerda tener por recibidas las actuaciones judiciales remitidas y por personado y parte al Procurador, Sr. Estevez Fernandez-Novoa, en nombre de quien comparece entendiéndose con él la presente y sucesivas diligencias;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FE0907" w:rsidRDefault="00FE0907" w:rsidP="00FE0907">
      <w:pPr>
        <w:pStyle w:val="TextoNormal"/>
      </w:pPr>
    </w:p>
    <w:p w:rsidR="00FE0907" w:rsidRDefault="00FE0907" w:rsidP="00FE0907">
      <w:pPr>
        <w:pStyle w:val="TextoNormal"/>
      </w:pPr>
      <w:r w:rsidRPr="00FE0907">
        <w:rPr>
          <w:rStyle w:val="NumeroAFNegritaCaracter"/>
        </w:rPr>
        <w:t>6</w:t>
      </w:r>
      <w:r>
        <w:t>. Mediante Auto de fecha 16 de octubre de 1989, la Sala, en la correspondiente pieza separada, acuerda no acceder a la suspensión solicitada.</w:t>
      </w:r>
    </w:p>
    <w:p w:rsidR="00FE0907" w:rsidRDefault="00FE0907" w:rsidP="00FE0907">
      <w:pPr>
        <w:pStyle w:val="TextoNormal"/>
      </w:pPr>
    </w:p>
    <w:p w:rsidR="00FE0907" w:rsidRDefault="00FE0907" w:rsidP="00FE0907">
      <w:pPr>
        <w:pStyle w:val="TextoNormal"/>
      </w:pPr>
      <w:r w:rsidRPr="00FE0907">
        <w:rPr>
          <w:rStyle w:val="NumeroAFNegritaCaracter"/>
        </w:rPr>
        <w:t>7</w:t>
      </w:r>
      <w:r>
        <w:t>. Con fecha 22 de febrero de 1990 se recibe el escrito de alegaciones del Ministerio Fiscal. En él, tras dar por reproducidos los antecedentes de hecho consignados en la demanda de amparo, analiza el fondo de la pretensión formulada por la actora, que invoca esencialmente la lesión del derecho consagrado en el art. 24.1 C.E. por impedir la resolución judicial que se impugna el acceso al recurso de casación legalmente establecido sin una causa legal que lo justifique. Constituye doctrina reiterada del Tribunal Constitucional, señala el Ministerio Fiscal, aquella que mantiene que el derecho fundamental invocado se satisface con una respuesta razonada de inadmisión en base a una causa legal debidamente acreditada por el órgano judicial, por lo que la inadmisión de un recurso de casación por razón de la cuantía es una cuestión que carece de dimensión constitucional por pertenecer al campo de la legalidad ordinaria y por ello a la decisión del órgano jurisdiccional, pero también hay que poner de relieve que la inadmisión impide el acceso a un recurso legalmente establecido y por ello, alcanza transcendencia constitucional en el supuesto de que carezca de justificación. En virtud de la Ley 34/1984, de 6 de agosto, de reforma urgente de la L.E.C, el acceso al recurso de casación civil se limitó, por razón de la cuantía litigiosa, a las Sentencias dictadas en los declarativos ordinarios de mayor y menor cuantía en los que esta última excediera de 3.000.000 de pesetas, sea inestimable o no haya podido determinarse. De las actuaciones judiciales a que se refiere el recurso de amparo resulta, que si bien el demadante fijó en la demanda como cuantía litigiosa 1.012.500 pesetas más los intereses legales, la demandada al formular reconvención seña</w:t>
      </w:r>
      <w:r>
        <w:lastRenderedPageBreak/>
        <w:t xml:space="preserve">ló como cuantía de la pretensión deducida en la demanda reconvencional la suma de 6.127.500 pesetas, más los intereses legales; también se desprende de lo actuado que la actora, al contestar a la reconvención, no impugnó la cuantía de la demanda reconvencional, con lo que quedó abierta a la casación la pretensión reconvencional, dado el carácter autónomo de ésta aunque se sustancie en el mismo proceso. La reconvención, añade el Fiscal, supone en efecto un incremento del objeto del proceso, independiente del que lo motivó, porque se funda en causa distinta de la que dió origen al pleito promovido por la demandante, que es aprovechado por la demandada para plantear otro sin conexión con aquel. Como no es una nueva oposición a la demanda, sino una nueva relación jurídica procesal o pretensión de fondo, que no se identifica con la cuestión suscitada por la actora más que en el hecho de darse entre los mismos sujetos con inversión de sus posiciones, hay pluralidad o diversidad de objetos procesales, con tratamiento jurídico diferenciado, y de ahí que la reconvención se valore por separado a fin de determinar la cuantía del pleito. En este supuesto -continúa- la actora no formuló oposición a la cuantía de la reconvención y por ello, la reconviniente tiene acceso a la casación conforme a lo previsto en el art. 1.687.1º de la L.E.C, porque la cuantía fijada en la demanda inicial del proceso no es la que debe tenerse en cuenta a los efectos del recurso de casación, sino la de la reconvención, que es superior al límite mínimo para el acceso al recurso de casación; es claro, pues, que procedía la admisión del recurso de casación interpuesto por la demandada, porque si bien la determinación de la cuantía a los efectos del recurso de casación es normalmente materia de legalidad ordinaria, rebasa este carácter cuando la causa de inadmisión por razón de la cuantía no está debidamente fundada y, por tanto, incide en el derecho fundamental a la tutela judicial. </w:t>
      </w:r>
    </w:p>
    <w:p w:rsidR="00FE0907" w:rsidRDefault="00FE0907" w:rsidP="00FE0907">
      <w:pPr>
        <w:pStyle w:val="TextoNormal"/>
      </w:pPr>
      <w:r>
        <w:t>La escueta motivación del Auto impugnado, que se limita a razonar que la cuantía no rebasa el límite establecido para la casación, tiene presente sólo la cuantía inferior a 3.000.000 de la demanda, pero parece olvidar que la reconvención se fijó -y no se impugnó por la otra parte- en cantidad superior, por lo que, tratando de hacer valer la recurrente, en casación, su pretensión reconvencional, ésta debió tener acceso al recurso, por todo lo cual, el Ministerio Público termina interesando se dicte Sentencia por la que se estime el recurso de amparo por vulneración del art. 24.1 C.E. por el Auto impugnado en el mismo.</w:t>
      </w:r>
    </w:p>
    <w:p w:rsidR="00FE0907" w:rsidRDefault="00FE0907" w:rsidP="00FE0907">
      <w:pPr>
        <w:pStyle w:val="TextoNormal"/>
      </w:pPr>
    </w:p>
    <w:p w:rsidR="00FE0907" w:rsidRDefault="00FE0907" w:rsidP="00FE0907">
      <w:pPr>
        <w:pStyle w:val="TextoNormal"/>
      </w:pPr>
      <w:r w:rsidRPr="00FE0907">
        <w:rPr>
          <w:rStyle w:val="NumeroAFNegritaCaracter"/>
        </w:rPr>
        <w:t>8</w:t>
      </w:r>
      <w:r>
        <w:t>. Con fecha 17 de febrero de 1990 se recibe el escrito de alegaciones formuladas por la representación de la recurrente en amparo. En ellas reitera las afirmaciones recogidas en el escrito de demanda, y añade que pese a la claridad del importe del pleito -que en lo que se refiere a la demanda principal asciende a 1.012.500 pesetas y a la reconvención a la suma de 6.127.500 pesetas- y es, en consecuencia, superior al límite mínimo fijado para la casación (de 3.000.000 de pesetas) el Auto impugnado no lo estima así, incurriendo en un error que, a juicio del actor es triple: primero porque el precepto que se aplica en él, art. 1.710 L.E.C, no contempla la inadmisión por cuantía insuficiente, siendo en realidad aplicable el art. 1687, en segundo lugar y con independencia de lo anterior, porque se omite la consideración del art. 489, regla 12, que no establece ninguna incompatibilidad entre la demandanda y la reconvención ni impide la suma de ambas y finalmente porque en razón a esa falta de prohibición en cuanto a la suma de las cantidades o a su consideración independiente, la resolución del Tribunal Supremo impugnada resulta carente de fundamentación jurídica y contraria al derecho que consagra el art. 24.1 C.E. En virtud de todo ello, reitera la súplica del escrito de demanda solicitando el otorgamiento del amparo.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9</w:t>
      </w:r>
      <w:r>
        <w:t>. Don Juan Carlos Estevez Fernandez-Novoa, en representación de la Caja de Ahorros de Galicia, presentó su escrito de alegaciones en fecha 23 de febrero de 1990, en ellas alega que el Auto impugnado se ajusta plenamente a lo previsto en la Ley de Enjuiciamiento Civil y a su interpretación jurisprudencial. Tanto el art. 1.710.2 L.E.C como el 1.687.1º resultan plenamente aplicables al caso litigioso, ya que, conforme razona el Tribunal no es procedente acumular la cuantía de la reconvención a la de la demanda y así se desprende del art. 489, regla 12, siendo interpretado en tal sentido este último precepto por la Sentencia del Tribunal Supremo de 30 de noviembre de 1978. Añade a continuación que el presente recurso de amparo no es sino un nuevo instrumento utilizado por el recurrente para retrasar la ejecución de lo resuelto y convertir al Tribunal Constitucional en un Tribunal de apelación, para terminar solicitando la desestimación del recurso de amparo e igualmente de la petición de la suspensión.</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fecha 7 de abril de 1992, se acordó, señalar para la deliberación y votación de esta senten cia el día 8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Auto que se impugna mediante el presente recurso de amparo -dictado en fecha 13 de abril de 1989 por la Sala Primera del Tribunal Supremo- acuerda la inadmisión del recurso de casación formulado por la actual recurrente en amparo contra la sentencia dictada por la entonces Audiencia Territorial de Madrid en proceso declarativo ordinario de menor cuantía que confirmaba la recaída en la primera instancia.  Entiende la actora que aquella decisión de inadmisión del recurso de casación vulnera el derecho fundamental a obtener tutela judicial efectiva, consagrado en el art. 24.1 C.E., en su vertiente de acceso a los recursos legalmente previstos, porque la resolución se fundamenta en la aplicación de la causa de inadmisión prevista en el art.  1.710 de la L.E.C en su relación con los arts.  1.687 1º y 489, regla 12, de la misma Ley procesal civil, esto es, se basa en que la cuantía del litigio -derivada de la de la pretensión recogida en la demanda- es inferior al importe mínimo (3.000.000 de pesetas), establecido en tales preceptos como requisito para la viabilidad del mencionado recurso de casación.  Pero la resolución no ha considerado, sin embargo, que en el proceso se formuló reconvención por la demandada y actual recurrente en amparo, por importe de 6.127.500 pesetas, es decir, superior a aquel límite cuantitativo; por lo que, sin necesidad de acumular ambas cuantías, y apreciando sólo la de la demanda reconvencional -que a tenor de lo dispuesto en la regla decimoséptima del art.  489 de la L.E.C "se valorará por separado"- era procedente la admisión a trámite del recurso de casación que, en consecuencia, fue indebidamente inadmitido por el Tribunal Supremo.  El objeto de este proceso constitucional consiste, pues, en determinar, según lo expuesto, si la resolución judicial impugnada ha realizado, en efecto, una interpretación y aplicación de las normas legales atinentes al supuesto contraria a la efectividad del derecho fundamental invocado, en especial, en este caso, en su vertiente de acceso al recurso de casación legalmente previsto.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Este Tribunal, en un supuesto similar al que nos ocupa, señaló ya en la STC 50/1990, recogiendo doctrina anterior, que la tutela judicial es un derecho de prestación que para su efectividad necesita de la mediación de la Ley; y que asegura el acceso a los </w:t>
      </w:r>
      <w:r>
        <w:lastRenderedPageBreak/>
        <w:t>recursos legalmente previstos, siempre que se cumplan y respeten los presupuestos, requisitos y límites que la propia ley establezca, cuya observancia corresponde controlar a los órganos judiciales competentes en ejercicio de la exclusiva potestad jurisdiccional que les atribuye el art.  117.3 C.E., en el cual no puede ni debe interferir este Tribunal Constitucional, a no ser que, admitiendo la legalidad procesal diversas interpretaciones, se haya elegido alguna que no sea la más favorable a la eficacia del derecho a la tutela judicial, ya que, en este caso, se habrá ocasionado vulneración de este derecho fundamental, cuya especial y superior fuerza vinculante exige a la jurisdicción ordinaria y, en último término, a este Tribunal Constitucional, conceder prevalencia a la interpretación y aplicación de las normas jurídicas que resulten ser las mas adecuadas a la viabilidad del mismo.  Asimismo se señala en esta resolución que, si bien entre los límites que condicionan la inadmisibilidad del recurso de casación civil, el art. 1.710. 2, en relación con el 1.697 y 1.687.1 de la Ley de Enjuiciamiento Civil, incluye el consistente en que la cuantía del juicio declarativo en que haya recaído la Sentencia objeto del recurso exceda de 3.000.000 de pesetas, debe a tal efecto computarse por separado, según el art.  489.17 de la misma Ley, el valor de la pretensión del demandante y la que haya ejercitado el demandado por via reconvencional.</w:t>
      </w:r>
    </w:p>
    <w:p w:rsidR="00FE0907" w:rsidRDefault="00FE0907" w:rsidP="00FE0907">
      <w:pPr>
        <w:pStyle w:val="TextoNormal"/>
      </w:pPr>
    </w:p>
    <w:p w:rsidR="00FE0907" w:rsidRDefault="00FE0907" w:rsidP="00FE0907">
      <w:pPr>
        <w:pStyle w:val="TextoNormal"/>
      </w:pPr>
      <w:r w:rsidRPr="00FE0907">
        <w:rPr>
          <w:rStyle w:val="NumeroAFNegritaCaracter"/>
        </w:rPr>
        <w:t>3</w:t>
      </w:r>
      <w:r>
        <w:t>. Pues bien, la simple aplicación de la anterior premisa doctrinal al presente supuesto, determina la procedencia de estimar el amparo que se solicita.  El examen de las actuaciones evidencia en este caso que la cuantía de la reconvención, fijada en el escrito de contestación a la demanda y que no fue objeto de impugnación alguna por la parte actora, supera ampliamente el límite mínimo de cuantía, establecido en la Ley procesal civil para el acceso a la casación; por lo que, solo en consideración a dicha cuantía de la demanda reconvencional y en aplicación de la regla 17 del art.  489 L.E.C., el recurso de casación no resulta afectado por la causa de inadmisión que, no obstante, se aplicó en el Auto objeto del presente proceso.  Ello implica que el órgano judicial ha efectuado en este supuesto una interpretación y aplicación de los preceptos legales que, conforme indica el Ministerio Fiscal, resulta contraria a la efectividad del derecho fundamental invocado y limitativa del acceso al recurso legalmente previsto, porque omite la aplicación de la citada regla 17 del art.  489 L.E.C que habría permitido en este caso concreto la viabilidad del recurso y por ello era la mas adecuada a la efectividad de dicho derecho fundamental.</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por doña Natividad Jimenez del Rey y, en su consecuencia:</w:t>
      </w:r>
    </w:p>
    <w:p w:rsidR="00FE0907" w:rsidRDefault="00FE0907" w:rsidP="00FE0907">
      <w:pPr>
        <w:pStyle w:val="TextoNormal"/>
      </w:pPr>
      <w:r>
        <w:t>1º Anular el Auto de la Sala Primera del Tribunal Supremo de 13 de abril de 1989, dictado en el recurso núm. 260/90.</w:t>
      </w:r>
    </w:p>
    <w:p w:rsidR="00FE0907" w:rsidRDefault="00FE0907" w:rsidP="00FE0907">
      <w:pPr>
        <w:pStyle w:val="TextoNormal"/>
      </w:pPr>
      <w:r>
        <w:t>2º Reconocer a la recurrente su derecho a la tutela judicial efectiva.</w:t>
      </w:r>
    </w:p>
    <w:p w:rsidR="00FE0907" w:rsidRDefault="00FE0907" w:rsidP="00FE0907">
      <w:pPr>
        <w:pStyle w:val="TextoNormal"/>
      </w:pPr>
      <w:r>
        <w:t>3º Retrotraer las actuaciones judiciales al momento procesal inmediatamente anterior al Auto que se anula, a fin de que dicha Sala resuelva sobre la admisión del recurso de casa</w:t>
      </w:r>
      <w:r>
        <w:lastRenderedPageBreak/>
        <w:t>ción en el sentido que considere legalmente procedente, sin que pueda declarar su inadmisibilidad por razones de orden cuantitativo.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ocho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59" w:name="SENTENCIA_1992_56"/>
      <w:r>
        <w:lastRenderedPageBreak/>
        <w:t>SENTENCIA 56/1992, de 8 de abril de 1992</w:t>
      </w:r>
    </w:p>
    <w:bookmarkEnd w:id="59"/>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ECLI:ES:TC:1992:56</w:t>
      </w:r>
    </w:p>
    <w:p w:rsidR="00FE0907" w:rsidRDefault="00FE0907" w:rsidP="00FE0907">
      <w:pPr>
        <w:pStyle w:val="SntesisDescriptiva"/>
      </w:pPr>
    </w:p>
    <w:p w:rsidR="00FE0907" w:rsidRDefault="00FE0907" w:rsidP="00FE0907">
      <w:pPr>
        <w:pStyle w:val="SntesisDescriptiva"/>
      </w:pPr>
      <w:r>
        <w:t>Recurso de amparo 2.262/1989. Contra Sentencia del Juzgado de Instrucción núm. 2 de Santander, dictada en vía de apelación de juicio de faltas seguido en el Juzgado de Distrito núm. 2 de Santander.</w:t>
      </w:r>
    </w:p>
    <w:p w:rsidR="00FE0907" w:rsidRDefault="00FE0907" w:rsidP="00FE0907">
      <w:pPr>
        <w:pStyle w:val="SntesisDescriptiva"/>
      </w:pPr>
    </w:p>
    <w:p w:rsidR="00FE0907" w:rsidRDefault="00FE0907" w:rsidP="00FE0907">
      <w:pPr>
        <w:pStyle w:val="SntesisAnaltica"/>
      </w:pPr>
      <w:r>
        <w:t>Vulneración de la tutela judicial efectiva: indefensión producida por resolución judicial dictada "inaudita parte"</w:t>
      </w:r>
    </w:p>
    <w:p w:rsidR="00FE0907" w:rsidRDefault="00FE0907" w:rsidP="00FE0907">
      <w:pPr>
        <w:pStyle w:val="SntesisAnaltica"/>
      </w:pPr>
    </w:p>
    <w:p w:rsidR="00FE0907" w:rsidRDefault="00FE0907" w:rsidP="00FE0907">
      <w:pPr>
        <w:pStyle w:val="Extracto"/>
      </w:pPr>
      <w:r>
        <w:t>1.</w:t>
      </w:r>
      <w:r>
        <w:tab/>
        <w:t>Como este Tribunal ha afirmado en reiteradas ocasiones, en todo proceso debe respetarse el principio de contradicción y el derecho de defensa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2.262/89, promovido por la entidad de seguros Porvenir, S.A., representada por el Procurador de los Tribunales don Javier Ulargui Echevarría y asistida por el Letrado don Benito Huerta Argenta, contra la Sentencia del Juzgado de Instrucción núm. 2 de Santander, de 18 de septiembre de 1989, dictada en el rollo de apelación núm. 85/89, dimanante del juicio de faltas núm. 145/86 seguido en el Juzgado de Distrito núm. 2 de Santander. Ha comparecido el Ministerio Fiscal. Ha sido Ponente el Magistrado don Jesús Leguina Villa,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Por escrito que tiene entrada en este Tribunal el 17 de noviembre de 1989, don Javier Ulargui Echevarría, Procurador de los Tribunales, en nombre y representación de la </w:t>
      </w:r>
      <w:r>
        <w:lastRenderedPageBreak/>
        <w:t>Entidad aseguradora Porvenir, S.A., interpone recurso de amparo contra la Sentencia del Juzgado de Instrucción núm. 2 de Santander de 18 de septiembre de 1989, dictada en apelación del juicio de faltas sustanciado por el Juzgado de Distrito núm. 2 de Santander, por haberse tramitado el recurso de apelación sin emplazar a la recurrente, que había interpuesto dicho recurso.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basa en los siguientes hechos: </w:t>
      </w:r>
    </w:p>
    <w:p w:rsidR="00FE0907" w:rsidRDefault="00FE0907" w:rsidP="00FE0907">
      <w:pPr>
        <w:pStyle w:val="TextoNormal"/>
      </w:pPr>
      <w:r>
        <w:t xml:space="preserve">a) Como consecuencia de un accidente de circulación ocurrido en Santander el día 4 de enero de 1986, se siguió juicio de faltas en el Juzgado de Distrito núm. 2 de Santander con el núm. 145/86, en el que recayó Sentencia de 20 de febrero de 1988, por la que se condenó a don Roque Vicario Muñoz, como autor de una falta del art. 586.3 C.P., a la pena de 3.000 pts. de multa o tres días de arresto sustitutorio, reprensión privada, privación por un mes del permiso de conducir, indemnización de 359.000 pts. a doña María de los Angeles Edesa Pérez y costas del juicio, declarándose la responsabilidad civil subsidiaria de la entidad ahora recurrente. </w:t>
      </w:r>
    </w:p>
    <w:p w:rsidR="00FE0907" w:rsidRDefault="00FE0907" w:rsidP="00FE0907">
      <w:pPr>
        <w:pStyle w:val="TextoNormal"/>
      </w:pPr>
      <w:r>
        <w:t xml:space="preserve">b) Contra la citada Sentencia interpusieron recurso de apelación tanto el condenado como la entidad aseguradora hoy actora. Ambos recursos fueron admitidos a trámite, pero sólo fueron emplazados el condenado, la perjudicada como parte apelada y el Ministerio Fiscal, para comparecer en el recurso ante el Juzgado de Instrucción núm. 2 de Santander, no siendo emplazada, por tanto, la recurrente. </w:t>
      </w:r>
    </w:p>
    <w:p w:rsidR="00FE0907" w:rsidRDefault="00FE0907" w:rsidP="00FE0907">
      <w:pPr>
        <w:pStyle w:val="TextoNormal"/>
      </w:pPr>
      <w:r>
        <w:t>c) Posteriormente se celebró la vista del recurso, para la cual se citó a las partes emplazadas y comparecidas, pero no a la entidad aseguradora Porvenir, S.A. En fecha 18 de septiembre de 1989, el Juzgado de Instrucción dictó Sentencia por la que se confirmaba la Sentencia dictada por el Juzgado de Distrito, excepto en lo referente a la pena de reprensión privada - que se suprimió - y en lo referente a la indemnización fijada a favor de la víctima que, de un lado, se elevó en su cuantía a 750.000 pts. y, de otro, se imputó a la entidad recurrente en concepto de responsable civil directa en vez de subsidiaria. Dicha sentencia fue notificada a la entidad recurrente.</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entidad recurrente aduce violación del derecho a la tutela judicial efectiva sin indefensión, consagrado en el art. 24.1 C.E., sobre la base de que habiéndose constituido como parte civil en el juicio de faltas y pese a ser una de las partes apelantes de la Sentencia del Juzgado de Distrito núm. 2 de Santander, en ningún momento de la sustanciación del recurso de apelación ha sido oída, ya que ni fue emplazada para comparecer en el recurso, ni posteriormente fue citada para que compareciera a la vista de dicho recurso, habiéndose limitado el órgano jurisdiccional a notificarle la sentencia recaída. Por ello, se ha producido una situación de indefensión, agudizada por el hecho de llevarse a cabo en la Sentencia una reforma peyorativa respecto de la recurrente, ya que pasa a ser considerada responsable civil directa y no subsidiaria, y se eleva la indemnización. </w:t>
      </w:r>
    </w:p>
    <w:p w:rsidR="00FE0907" w:rsidRDefault="00FE0907" w:rsidP="00FE0907">
      <w:pPr>
        <w:pStyle w:val="TextoNormal"/>
      </w:pPr>
      <w:r>
        <w:t>Por lo expuesto, solicita de este Tribunal que declare la nulidad de la Sentencia dictada por el Juzgado de Instrucción núm. 2 de Santander en el rollo de apelación 85/89, y que dicho Juzgado ordene al Juzgado de Distrito núm. 2 de Santander que la emplace para que pueda comparecer en el recurso y sea citada a comparecer en la vista del mismo. Por otrosí solicita, al amparo del art. 56 LOTC, la suspensión de la ejecutoriedad de la Sentencia impugnada, por los perjuicios graves que la ejecución de la misma le podría deparar.</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4</w:t>
      </w:r>
      <w:r>
        <w:t>. Por providencia de 11 de diciembre de 1989, la Sección Primera (Sala Primera) de este Tribunal acuerda tener por interpuesto recurso de amparo por la Sociedad Anónima de Seguros Porvenir, y por personado y parte en su nombre y representación al Procurador de los Tribunales Sr. Ulargui Echevarría, y, asimismo, acuerda, con carácter previo a la decisión sobre la admisión o inadmisión del recurso, requerir atentamente al Juzgado de Instrucción núm. 2 de Santander y al Juzgado de Distrito núm. 2 de dicha ciudad para que en el plazo de diez días remitan testimonio, respectivamente, del rollo de apelación 85/89 y del juicio de faltas 145/89, de conformidad con lo previsto en el art.88 LOTC.</w:t>
      </w:r>
    </w:p>
    <w:p w:rsidR="00FE0907" w:rsidRDefault="00FE0907" w:rsidP="00FE0907">
      <w:pPr>
        <w:pStyle w:val="TextoNormal"/>
      </w:pPr>
    </w:p>
    <w:p w:rsidR="00FE0907" w:rsidRDefault="00FE0907" w:rsidP="00FE0907">
      <w:pPr>
        <w:pStyle w:val="TextoNormal"/>
      </w:pPr>
      <w:r w:rsidRPr="00FE0907">
        <w:rPr>
          <w:rStyle w:val="NumeroAFNegritaCaracter"/>
        </w:rPr>
        <w:t>5</w:t>
      </w:r>
      <w:r>
        <w:t>. La Sección, por providencia de 26 de febrero de 1990, acuerda tener por recibidas las actuaciones interesadas y admitir a trámite la demanda de amparo, así como, a tenor de lo dispuesto en el art. 51 LOTC, interesar del Juzgado de Distrito núm. 2 de Santander el emplazamiento de cuantos fueron parte en el proceso judicial antecedente, excepto el recurrente en amparo, para que en el plazo de diez días puedan comparecer en el presente proceso constitucional. Asimismo acuerda formar la correspondiente pieza separada para la sustanciación del incidente de suspensión.</w:t>
      </w:r>
    </w:p>
    <w:p w:rsidR="00FE0907" w:rsidRDefault="00FE0907" w:rsidP="00FE0907">
      <w:pPr>
        <w:pStyle w:val="TextoNormal"/>
      </w:pPr>
    </w:p>
    <w:p w:rsidR="00FE0907" w:rsidRDefault="00FE0907" w:rsidP="00FE0907">
      <w:pPr>
        <w:pStyle w:val="TextoNormal"/>
      </w:pPr>
      <w:r w:rsidRPr="00FE0907">
        <w:rPr>
          <w:rStyle w:val="NumeroAFNegritaCaracter"/>
        </w:rPr>
        <w:t>6</w:t>
      </w:r>
      <w:r>
        <w:t>. Por providencia de 4 de junio de 1990, la Sección acuerda tener por recibidas las diligencias de emplazamiento remitidas por el Juzgado de Distrito núm. 2 de Santander (convertido en Juzgado de Instrucción núm. 7 de dicha ciudad), y, a tenor del art. 52 LOTC, dar vista de las actuaciones por plazo común de veinte días al Ministerio Fiscal y al Procurador de la entidad recurrente Sr. Ulargui Echevarría, para que den tro de dicho plazo formulen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7</w:t>
      </w:r>
      <w:r>
        <w:t>. Por escrito presentado el 20 de junio de 1990, la representación de la recurrente de amparo ratifica sustancialmente el escrito de demanda y las alegaciones en él contenidas.</w:t>
      </w:r>
    </w:p>
    <w:p w:rsidR="00FE0907" w:rsidRDefault="00FE0907" w:rsidP="00FE0907">
      <w:pPr>
        <w:pStyle w:val="TextoNormal"/>
      </w:pPr>
    </w:p>
    <w:p w:rsidR="00FE0907" w:rsidRDefault="00FE0907" w:rsidP="00FE0907">
      <w:pPr>
        <w:pStyle w:val="TextoNormal"/>
      </w:pPr>
      <w:r w:rsidRPr="00FE0907">
        <w:rPr>
          <w:rStyle w:val="NumeroAFNegritaCaracter"/>
        </w:rPr>
        <w:t>8</w:t>
      </w:r>
      <w:r>
        <w:t>. En su escrito de alegaciones, presentado el 27 de junio de 1990, el Ministerio Fiscal, dando por reproducidos los antecedentes que constan en la demanda de amparo y en las actuaciones judiciales unidas al proceso constitucional en lo que no se opongan a sus alegaciones, y tras exponer la cuestión planteada, estima probado que la entidad recurrente, pese a haber comparecido en el juicio de faltas y haber interpuesto recurso de apelación, no fue emplazada para comparecer en dicho recurso ante el Juzgado de Instrucción núm. 2 de Santander, ni citada a la vista del recurso. El recurso de apelación se desarrolló íntegramente sin presencia procesal ni audiencia de la actora, y la sentencia dictada, que le fue notificada - único trámite procesal satisfecho con la entidad en dicho recurso -, le causa perjuicio porque aumenta la indemnización y cambia el título de imputación de subsidiaria en directa. Asimismo, del examen de las actuaciones no se puede deducir que la recurrente tuviera conocimiento del desarrollo del recurso de apelación, no siendo exigible - como dice la STC 48/1984 - a quien afirma la ignorancia de un procedimiento, la prueba de dicha ignorancia, porque existe una prerrogativa de probidad y porque no es posible imponer la prueba de un hecho negativo. De estas consideraciones deduce el Ministerio Fiscal la procedencia de la estimación del presente recurso de amparo, por la indefensión causada al recurrente al hacerse ventilado sin su intervención un recurso de apelación en el que se ventilaban intereses que le concernían.</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9</w:t>
      </w:r>
      <w:r>
        <w:t>. Por Auto de 26 de marzo de 1990, dictado en la pieza separada de suspensión, previa la correspondiente tramitación, la Sala acuerda denegar la petición de suspensión de la ejecución de la Sentencia recurrida.</w:t>
      </w:r>
    </w:p>
    <w:p w:rsidR="00FE0907" w:rsidRDefault="00FE0907" w:rsidP="00FE0907">
      <w:pPr>
        <w:pStyle w:val="TextoNormal"/>
      </w:pPr>
    </w:p>
    <w:p w:rsidR="00FE0907" w:rsidRDefault="00FE0907" w:rsidP="00FE0907">
      <w:pPr>
        <w:pStyle w:val="TextoNormal"/>
      </w:pPr>
      <w:r w:rsidRPr="00FE0907">
        <w:rPr>
          <w:rStyle w:val="NumeroAFNegritaCaracter"/>
        </w:rPr>
        <w:t>10</w:t>
      </w:r>
      <w:r>
        <w:t>. Por providencia de 7 de abril de 1992, se señaló para votación y fallo de la presente Sentencia el día 8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planteada en el presente recurso consiste en determinar si efectivamente, como en la demanda se afirma, la entidad recurrente de amparo se vio colocada en una situación de indefensión, lesiva del derecho enunciado en el art.  24.1 C.E., por el hecho de que, pese a haber comparecido en el juicio de faltas núm. 145/86 seguido en el Juzgado de Distrito núm.  2 de Santander y haber interpuesto recurso de apelación frente a la Sentencia de 20 de febrero de 1988 dictada en el mencionado juicio, no fuese emplazada para comparecer en el recurso de apelación ante el Juzgado de Instrucción núm. 2 de Santander, ni fuese citada para la vista de la apelación, dictándose por dicho Juzgado Sentencia en la que se agravó la condena de la entidad recurrente, ya que aumentó la indemnización interpuesta a su cargo y cambió el título de la responsabilidad civil de subsidiaria a directa. El núcleo de la queja de la recurrente se centra, pues, en la indefensión provocada por la sustanciación del recurso de apelación sin haber sido oída. Ahora bien, junto a ello, la actora alega igualmente que la sentencia de apelación realizó una reforma peyorativa de su situación, al condenarla en concepto de responsable directa y fijar una indemnización superior a la establecida en el juicio de faltas.  Respecto de esta alegación debemos hacer ciertas consideraciones previas.</w:t>
      </w:r>
    </w:p>
    <w:p w:rsidR="00FE0907" w:rsidRDefault="00FE0907" w:rsidP="00FE0907">
      <w:pPr>
        <w:pStyle w:val="TextoNormal"/>
      </w:pPr>
    </w:p>
    <w:p w:rsidR="00FE0907" w:rsidRDefault="00FE0907" w:rsidP="00FE0907">
      <w:pPr>
        <w:pStyle w:val="TextoNormal"/>
      </w:pPr>
      <w:r w:rsidRPr="00FE0907">
        <w:rPr>
          <w:rStyle w:val="NumeroAFNegritaCaracter"/>
        </w:rPr>
        <w:t>2</w:t>
      </w:r>
      <w:r>
        <w:t>. Ni de la demanda ni del escrito de alegaciones del recurrente se deduce con claridad si la alegación de la pretendida reformatio in peius llevada a cabo por la Sentencia impugnada constituye una pretensión autónoma de indefensión o si, por el contrario, se trata de una invocación subsumida en la genérica de haberse sustanciado la apelación sin haber sido oída, y encaminada a poner de manifiesto que dicha falta de audiencia produjo realmente una situación de indefensión material.  Debe entenderse que sólo en este segundo sentido esta alegación tiene sentido. Y ello porque si se entendiera como pretensión autónoma, carecería de fundamento, ya que como revela el examen de las actuaciones, el agravamiento realizado por la Sentencia de apelación tiene su fundamento en las peticiones formuladas por el Ministerio Fiscal y por la perjudicada en el acto de la vista, reproduciendo lo solicitado en el juicio de faltas.  Pero, aun en el caso de que dicha reformatio in peius efectivamente se hubiera producido de forma ilegal e inconstitucional, su declaración carecería de efectos si previamente se estimara que hubo indefensión por falta de emplazamiento de la actora, ya que en tal caso debería volverse a sustanciar el recurso de apelación.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Entrando, por tanto, en el efectivo contenido de la queja constitucional planteada, debe subrayarse que el derecho fundamental a obtener la tutela judicial efectiva reconocido en el art. 24.1 C.E. comporta la exigencia de que en ningún momento pueda producirse indefensión, lo que significa, como este Tribunal ha afirmado en reiteradas ocasiones, que </w:t>
      </w:r>
      <w:r>
        <w:lastRenderedPageBreak/>
        <w:t>en todo proceso debe respetarse el principio de contradicción y el derecho de defensa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251/1987, y 114/1988, entre otras).</w:t>
      </w:r>
    </w:p>
    <w:p w:rsidR="00FE0907" w:rsidRDefault="00FE0907" w:rsidP="00FE0907">
      <w:pPr>
        <w:pStyle w:val="TextoNormal"/>
      </w:pPr>
      <w:r>
        <w:t>En este caso, en consecuencia, la estimación del recurso de amparo depende de que la falta de audiencia aducida se produjera realmente y, caso de ser así, de que no sea imputable a la recurrente.</w:t>
      </w:r>
    </w:p>
    <w:p w:rsidR="00FE0907" w:rsidRDefault="00FE0907" w:rsidP="00FE0907">
      <w:pPr>
        <w:pStyle w:val="TextoNormal"/>
      </w:pPr>
    </w:p>
    <w:p w:rsidR="00FE0907" w:rsidRDefault="00FE0907" w:rsidP="00FE0907">
      <w:pPr>
        <w:pStyle w:val="TextoNormal"/>
      </w:pPr>
      <w:r w:rsidRPr="00FE0907">
        <w:rPr>
          <w:rStyle w:val="NumeroAFNegritaCaracter"/>
        </w:rPr>
        <w:t>4</w:t>
      </w:r>
      <w:r>
        <w:t>. Del examen de las actuaciones se deduce claramente que la recurrente, aun habiendo interpuesto recurso de apelación frente a la Sentencia dictada en el juicio de faltas por el Juzgado de Distrito núm. 2 de Santander, no fue emplazada por éste para comparecer en dicho recurso ni fue citada para el acto de la vista. La apelación ante el Juzgado de Instrucción núm.  2 de Santander se sustanció sin que se llevara a cabo comunicación procesal alguna con la entidad recurrente.  De igual manera, en ningún modo se ha puesto de manifiesto en este recurso de amparo que la recurrente, Sociedad Anónima de Seguros Porvenir, tuviese conocimiento extraprocesal de la sustanciación del recurso, y no le es exigible que pruebe dicha ignorancia, dada la imposibilidad de probar un hecho negativo.  Tampoco, finalmente, puede reputarse falta relevante de diligencia el hecho de que, durante el lapso de tiempo transcurrido entre la interposición del recurso y la notificación de la sentencia de apelación, no se interesase la recurrente por el curso de las actuaciones y la falta de emplazamiento.  De todo ello resulta que se ha vulnerado el art. 24.1 C.E. y se ha colocado en situación de indefensión a la recurrente, al sustanciarse el recurso de apelación sin haberse podido defender.</w:t>
      </w:r>
    </w:p>
    <w:p w:rsidR="00FE0907" w:rsidRDefault="00FE0907" w:rsidP="00FE0907">
      <w:pPr>
        <w:pStyle w:val="TextoNormal"/>
      </w:pPr>
    </w:p>
    <w:p w:rsidR="00FE0907" w:rsidRDefault="00FE0907" w:rsidP="00FE0907">
      <w:pPr>
        <w:pStyle w:val="TextoNormal"/>
      </w:pPr>
      <w:r w:rsidRPr="00FE0907">
        <w:rPr>
          <w:rStyle w:val="NumeroAFNegritaCaracter"/>
        </w:rPr>
        <w:t>5</w:t>
      </w:r>
      <w:r>
        <w:t>. Es preciso determinar finalmente el alcance que la estimación del amparo debe comportar; en concreto, cuál ha de ser el contenido y extensión del fallo para restablecer a la recurrente en la integridad de su derecho. A este respecto, el presente caso ofrece la singularidad de que la condena de la entidad que ahora pide el amparo se produjo en la Sentencia dictada en grado de apelación por el Juzgado de Instrucción, pues, como ha quedado reflejado en los antecedentes, dicha Sentencia modificó la dictada en primera instancia, en primer término, en cuanto a la supresión de la pena de reprensión privada previamente impuesta, y, en segundo término, en cuanto a la cuantía de la indemnización impuesta a los responsables y al concepto - directa, y no subsidiariamente - en que la entidad recurrente asumía la responsabilidad civil. Ello significa, de un lado, que para restablecer a la entidad recurrente en amparo en la integridad de su derecho fundamental es preciso anular la Sentencia impugnada y retrotraer las actuaciones al momento en que aquélla debió ser emplazada para comparecer en el recurso de apelación, con el fin de que pueda hacerlo si así lo estima oportuno; y, de otro lado, en virtud del principio de conservación de los actos procesales y del de mínima perturbación de los derechos e intereses de terceros, procede que la nueva tramitación de la apelación tenga por objeto exclusivamente la cuestión relativa a la existencia, concepto y cuantía de la responsabilidad civil de la entidad aseguradora, puesto que en el presente recurso de amparo no ha sido discutida la responsabilidad penal de la persona condenada por resolución firme.</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promovido por la Sociedad Anónima de Seguros Porvenir y, en su virtud:</w:t>
      </w:r>
    </w:p>
    <w:p w:rsidR="00FE0907" w:rsidRDefault="00FE0907" w:rsidP="00FE0907">
      <w:pPr>
        <w:pStyle w:val="TextoNormal"/>
      </w:pPr>
      <w:r>
        <w:t>1º.  Anular la Sentencia dictada el día 18 de septiembre de 1989 por el Juzgado de Instancia núm.  2 de Santander en el rollo de apelación núm. 85/89, dimanante del juicio de faltas núm.  145/86, en cuanto se refiere a la naturaleza y cuantía de la entidad recurrente en amparo.</w:t>
      </w:r>
    </w:p>
    <w:p w:rsidR="00FE0907" w:rsidRDefault="00FE0907" w:rsidP="00FE0907">
      <w:pPr>
        <w:pStyle w:val="TextoNormal"/>
      </w:pPr>
      <w:r>
        <w:t>2º. Reconocer el derecho de la entidad recurrente o obtener la tutela judicial efectiva sin indefensión.</w:t>
      </w:r>
    </w:p>
    <w:p w:rsidR="00FE0907" w:rsidRDefault="00FE0907" w:rsidP="00FE0907">
      <w:pPr>
        <w:pStyle w:val="TextoNormal"/>
      </w:pPr>
      <w:r>
        <w:t>3º. Restablecer a la recurrente en la integridad de su derecho vulnerado, para lo cual deberán retrotraerse las actuaciones en el Rollo de Apelación antes citado al momento del emplazamiento de la recurrente para comparecer y, caso de hacerlo, ser citada a la vista del recurso de apelación para que se falle lo procedente acerca de la responsabilidad civil de la misma.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ocho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0" w:name="SENTENCIA_1992_57"/>
      <w:r>
        <w:lastRenderedPageBreak/>
        <w:t>SENTENCIA 57/1992, de 9 de abril de 1992</w:t>
      </w:r>
    </w:p>
    <w:bookmarkEnd w:id="60"/>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ECLI:ES:TC:1992:57</w:t>
      </w:r>
    </w:p>
    <w:p w:rsidR="00FE0907" w:rsidRDefault="00FE0907" w:rsidP="00FE0907">
      <w:pPr>
        <w:pStyle w:val="SntesisDescriptiva"/>
      </w:pPr>
    </w:p>
    <w:p w:rsidR="00FE0907" w:rsidRDefault="00FE0907" w:rsidP="00FE0907">
      <w:pPr>
        <w:pStyle w:val="SntesisDescriptiva"/>
      </w:pPr>
      <w:r>
        <w:t>Conflicto positivo de competencia 971/1986. Promovido por el Gobierno de la Nación en relación con el Decreto 79/1986, de 20 de marzo, de la Generalidad de Cataluña, de Medidas de Regulación del Esfuerzo de Pesca en el Litoral de dicha Comunidad Autónoma</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De acuerdo con las SSTC 56/1989 y 147/1991, se reafirma el criterio de que son títulos competenciales diferentes, «ex» art. 149.1.19 C.E., la «pesca» en aguas marítimas exteriores, competencia exclusiva del Estado, y la «ordenación del sector pesquero», que es materia compartida entre el Estado, al que le corresponde la competencia normativa básica, y diversas Comunidades Autónomas, entre ellas la de Cataluña, a las que incumbe la competencia de desarrollo legislativo y ejecución [F.J. 1].</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971/86, promovido por el Abogado del Estado en la representación que legalmente ostenta del Gobierno de la Nación, frente al Decreto 79/1986, de 20 de marzo, de la Generalidad de Cataluña, de Medidas de Regulación del Esfuerzo de Pesca en el Litoral de dicha Comunidad Autónoma. Ha comparecido el Consejo Ejecutivo de la Generalidad de Cataluña, representado y defendido por su Abogado, don Ramón Gorbs i Turbany, y ha sido Magistrado Ponente don Miguel Rodríguez-Piñero y Bravo-Ferrer, quien expresa el parecer del Tribunal.</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tiene su entrada en este Tribunal el 25 de agosto de 1986, el Abogado del Estado plantea conflicto positivo de competencia frente al Consejo Ejecutivo de la Generalidad de Cataluña en relación con el Decreto 79/1986, de 20 de marzo (D.O.G.C. núm. 672, de 14 de abril), por el que se establecen medidas de regulación del esfuerzo de pesca en el litoral de Cataluña.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Abogado del Estado tras describir el contenido del precitado Decreto se refiere al requerimiento formulado a la Generalidad que no ha sido atendido por la misma, e indica que el Decreto objeto de este conflicto se dictó en aplicación de los arts. 10 y 11 de la Ley 1/1986, de 25 de febrero, de pesca marítima de Cataluña, que es objeto del recurso de inconstitucionalidad núm. 614/1986. La cuestión que se debate en el presente conflicto es determinar si resulta conforme al esquema constitucional de distribución de competencias, en materia de regulación y ordenación de pesca marítima, el referido Decreto. </w:t>
      </w:r>
    </w:p>
    <w:p w:rsidR="00FE0907" w:rsidRDefault="00FE0907" w:rsidP="00FE0907">
      <w:pPr>
        <w:pStyle w:val="TextoNormal"/>
      </w:pPr>
      <w:r>
        <w:t xml:space="preserve">Según el Abogado del Estado, la pesca marítima en su totalidad está atribuida a la competencia exclusiva del Estado, no obstante la competencia de las Comunidades Autónomas en la ordenación del sector pesquero, entendida exclusivamente en relación a las aguas interiores. Para delimitar la distinción entre "pesca" y "ordenación del sector pesquero", se propone entender como "ordenación" la potestad de dictar normas referentes a la pesca, mientras que "pesca" se convierte en el resto de las actuaciones públicas referidas a la extracción, debiendo distinguirse entre pesca marítima y ordenación del sector pesquero en aguas exteriores y en aguas interiores, y correspondiendo a las Comunidades Autónomas todas las ordenaciones pesqueras no marítimas y la parte que les corresponde de la marítima de acuerdo con la legislación estatal. El art. 149.1.19 C.E. es claro y de acuerdo con él han de interpretarse los preceptos estatutarios. </w:t>
      </w:r>
    </w:p>
    <w:p w:rsidR="00FE0907" w:rsidRDefault="00FE0907" w:rsidP="00FE0907">
      <w:pPr>
        <w:pStyle w:val="TextoNormal"/>
      </w:pPr>
      <w:r>
        <w:t xml:space="preserve">Subsidiariamente, se ofrece una segunda interpretación de la distribución competencial en la que la "pesca marítima" y la "ordenación del sector pesquero" serían conceptos diferenciados dentro de la pesca en aguas exteriores, en la primera materia la competencia sería exclusiva del Estado, mientras que en la ordenación del sector pesquero la competencia estatal sería la de dictar bases, y la autonómica de desarrollo y ejecución, según el art. 10.1.7 EAC. "Pesca marítima" sería aquel núcleo de actividad que por su objeto no es susceptible de compartición con las Comunidades Autónomas, al ser regulación directa de la actividad extractiva de recursos pesqueros móviles, mientras el resto de la ordenación del sector -distribución, comercialización, recursos fijos, etc.,- que puede acotarse territorialmente, sería competencia de desarrollo y ejecución de las Comunidades Autónomas. Para evitar la expoliación del mar y una explotación racional de la pesca, es necesario regular caladeros, establecer normas sobre el recurso pesquero (número y tamaño de peces), y el esfuerzo pesquero (número, tonelada y característica de los barcos), actividad que no puede ser territorializada, que requiere un tratamiento homogeneo, y que corresponde al Estado, como regulación directa de la extracción. </w:t>
      </w:r>
    </w:p>
    <w:p w:rsidR="00FE0907" w:rsidRDefault="00FE0907" w:rsidP="00FE0907">
      <w:pPr>
        <w:pStyle w:val="TextoNormal"/>
      </w:pPr>
      <w:r>
        <w:t xml:space="preserve">De lo anterior se deduce que el Decreto discutido regula directamente (arts. 1, 2, 5 -en relación con el segundo- y 7 del mismo) el "esfuerzo pesquero" y, por tanto, la extracción del recurso, sometiendo la actividad pesquera a licencias, fijación del número de unidades de barcos y sus características, regulación de aparejos y métodos de pesca, etc...); vulnerando la libertad de circulación del art. 139 C.E. en conexión con los arts. 149.1.1 y 157.2 C.E., al hacer del caladero nacional un compartimento en las aguas territoriales catalanas e </w:t>
      </w:r>
      <w:r>
        <w:lastRenderedPageBreak/>
        <w:t xml:space="preserve">impidiendo la consideración unitaria de un recurso económico, móvil y único. Todo ello es regulación de la pesca marítima, competencia exclusiva del Estado, y, si no fuera así, sería una materia básica de la competencia exclusiva del Estado, sin que pueda obligarse al Estado a dictar normas básicas de carácter negativo. Así el Real Decreto 2.339/1985, de 4 de diciembre, sobre construcción, modernización y reconversión de la flota pesquera, tiene carácter básico, y el Decreto catalán aquí impugnado establece una regulación distinta a la que allí se recoge, al igual que ocurre respecto de las normas contenidas en el Real Decreto 671/1980, de 28 de marzo, sobre ordenación de la actividad pesquera nacional. A todo ello no es obstáculo, las posibles contradicciones con el Real Decreto 675/1984, de 3 de febrero, de Traspasos a Cataluña en materia de ordenación del sector pesquero, en cuanto dicho decreto se excediera del orden constitucional de competencias que resulta del bloque de la constitucionalidad. </w:t>
      </w:r>
    </w:p>
    <w:p w:rsidR="00FE0907" w:rsidRDefault="00FE0907" w:rsidP="00FE0907">
      <w:pPr>
        <w:pStyle w:val="TextoNormal"/>
      </w:pPr>
      <w:r>
        <w:t>En virtud de lo expuesto, el Abogado del Estado solicita que se anule la disposición origen del conflicto. Por otrosí, se invoca el art. 161.2 de la Constitución y el art. 64.2 de la LOTC a efectos de la suspensión automática del Decreto.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Por providencia de 29 de agosto de 1986 la Sección acordó: admitir a trámite el conflicto; dar traslado de la demanda al Consejo Ejecutivo de la Generalidad de Cataluña, concediendole un plazo de veinte días para la formulación de alegaciones; comunicar al Presidente de la entonces Audiencia Territorial de Barcelona la interposición del conflicto constitucional, a los efectos dispuestos en el art. 61.2 de la LOTC; comunicar al Presidente de la Generalidad la suspensión de la aplicación y vigencia del Decreto controvertido desde la formalización del conflicto, según lo establecido en el art. 64 de la LOTC. </w:t>
      </w:r>
    </w:p>
    <w:p w:rsidR="00FE0907" w:rsidRDefault="00FE0907" w:rsidP="00FE0907">
      <w:pPr>
        <w:pStyle w:val="TextoNormal"/>
      </w:pPr>
      <w:r>
        <w:t>Mediante Auto de 15 de enero de 1987, el Pleno acordó el mantenimiento de la suspensión del Decreto, inicialmente acordada de manera automática.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El Consejo Ejecutivo de la Generalidad de Cataluña, en su escrito de alegaciones, sostiene que en el escrito de interposición del conflicto se contienen serías contradicciones que revelan la notoria confusión de la actora sobre la distribución de competencias llevada a cabo por la Constitución y el Estatuto de Autonomía de Cataluña en materia de pesca marítima, confusión que es el origen de las múltiples controversias constitucionales suscitadas en relación a la misma. </w:t>
      </w:r>
    </w:p>
    <w:p w:rsidR="00FE0907" w:rsidRDefault="00FE0907" w:rsidP="00FE0907">
      <w:pPr>
        <w:pStyle w:val="TextoNormal"/>
      </w:pPr>
      <w:r>
        <w:t xml:space="preserve">La competencia autonómica en relación con la pesca marítima resulta de la Constitución y de los Estatutos. El objeto del Decreto discutido es establecer "medidas de regulación del esfuerzo de pesca en el litoral de Cataluña", lo que entra dentro de la competencia catalana del desarrollo legislativo y ejecución en materia de ordenación del sector pesquero (art. 10.1.7 EAC), debiéndose entender como idénticos los conceptos de "pesca marítima" y "ordenación del sector pesquero"; es al respecto relevante el contenido de las transferencias realizadas a Cataluña en esta materia, que inciden de lleno tanto en la pesca marítima, en cuanto actividad de extracción, como en la ordenación del sector. La competencia estatal sobre pesca marítima recaerá en todo lo que no está incluido en las competencias transferidas o que, incluídas en las mismas, requiera de una normación básica a la que las Comunidades Autónomas con competencia de desarrollo legislativo y ejecución en la materia deban sujetar su ejercicio, pero sin escindir un ámbito material que el bloque de constitucionalidad ha configurado como único. </w:t>
      </w:r>
    </w:p>
    <w:p w:rsidR="00FE0907" w:rsidRDefault="00FE0907" w:rsidP="00FE0907">
      <w:pPr>
        <w:pStyle w:val="TextoNormal"/>
      </w:pPr>
      <w:r>
        <w:t xml:space="preserve">En función de ello, el desbordamiento de las competencias autonómicas argumentado por la actora no se produce en absoluto, puesto que el Decreto objeto de conflicto regula el esfuerzo pesquero en relación con la actividad de pesca profesional con base en cualquier </w:t>
      </w:r>
      <w:r>
        <w:lastRenderedPageBreak/>
        <w:t>puerto del litoral de Cataluña, limitándose a establecer la cifra máxima de potencia y de tonelaje utilizable para cada modalidad pesquera respecto de los buques con base en Cataluña, y sin establecer, en contra de lo que se alega por el Abogado del Estado, sujeción a licencia, a características de los buques, o a regulación de aparejos o métodos de pesca. El Decreto controvertido se ha producido dentro del ámbito competencial asumido por Cataluña y en ejercicio de las funciones debidas y expresamente transferidas. Si bien es cierto que introduce un régimen diverso al del resto del Estado, dada la inexistencia de un régimen estatal específico al respecto, estas diversidades vienen justificadas por la necesidad de controlar el nivel de esfuerzo extractivo del sector pesquero de Cataluña, y de adecuarlo a las exigencias derivadas de los recursos marinos presentes en el litoral catalán con el fin de recuperar el rendimiento máximo sostenible; objetivo que coincide con el propio del Real Decreto 681/1980, sobre ordenación de la actividad pesquera nacional, sin que pueda objetarse reparo alguno al Decreto discutido desde el punto de vista de la proporcionalidad, el respeto de la igualdad básica y la unidad del orden económico nacional.</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7 de abril de 1992, se señaló el día 9 siguiente,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Objeto del presente conflicto es el Decreto de la Generalidad de Cataluña núm. 79/1986, de 20 de marzo, sobre regulación del esfuerzo de pesca en el litoral de Cataluña, centrándose la controversia constitucional en la diversa interpretación que las representaciones del Estado y de la Generalidad de Cataluña dan al alcance de sus respectivas competencias en relación con la pesca marítima y la ordenación del sector pesquero, cuestión que ya ha sido resuelta por este Tribunal en las SSTC 56/1989 y 147/1991, y a cuya doctrina hemos de remitirnos, así como particularmente a la reciente Sentencia 44/1992, que resuelve el recurso de inconstitucionalidad interpuesto por el Presidente del Gobierno contra la Ley 1/1986, de 25 de febrero, del Parlamento de Cataluña,de regulación de la pesca marítima, de la cual es parcial desarrollo el Decreto ahora discutido.</w:t>
      </w:r>
    </w:p>
    <w:p w:rsidR="00FE0907" w:rsidRDefault="00FE0907" w:rsidP="00FE0907">
      <w:pPr>
        <w:pStyle w:val="TextoNormal"/>
      </w:pPr>
      <w:r>
        <w:t>De acuerdo con las citadas SSTC 56/1989 y 147/1991, debe considerarse competencia exclusiva del Estado la "pesca marítima", es decir, la normativa referente a los recursos y zonas donde puede pescarse (fondos, caladeros, distancias, cupos), a los periodos en que puede pescarse (vedas, horas) y a la forma y medios de realización de actividad extractiva en el mar (artes, medios de pesca). Y debe, en cambio, considerarse competencia compartida, mediante el empleo de la técnica consistente en la fijación de bases a cargo del Estado y el desarrollo legislativo y la ejecución por las Comunidades Autónomas con competencias en la materia, la de "ordenación del sector pesquero", título que hace referencia a la regulación del sector económico y productivo de la pesca, en todo lo que no sea actividad extractiva directa, sino organización del sector; incluyendo la determinación de quiénes pueden ejercer directamente la pesca, las condiciones que deben reunir tales sujetos integrantes del sector y su forma de organización; por consiguiente, se enmarcan también en este título, competencias referidas a las condiciones profesionales de los pescadores y otros sujetos relacionados con el sector, construcción de buques, registros oficiales, cofradías de pescadores, lonjas de contratación y otras similares. Al margen de este deslinde teórico queda, obviamente, la competencia autonómica exclusiva sobre pesca en aguas interiores, marisqueo y acuicultura (art.  9.17 del Estatuto).</w:t>
      </w:r>
    </w:p>
    <w:p w:rsidR="00FE0907" w:rsidRDefault="00FE0907" w:rsidP="00FE0907">
      <w:pPr>
        <w:pStyle w:val="TextoNormal"/>
      </w:pPr>
      <w:r>
        <w:lastRenderedPageBreak/>
        <w:t>Hemos de partir, en definitiva, del criterio de que son títulos competenciales diferentes, ex art. 149.1.19 C.E., la "pesca" en aguas marítimas exteriores, competencia exclusiva del Estado, y la "ordenación del sector pesquero", que es materia compartida entre el Estado, al que le corresponde la competencia normativa básica, y diversas Comunidades Autónomas, entre ellas la de Cataluña, a las que incumbe la competencia de desarrollo legislativo y ejecución (art. 10.1.7 del Estatuto).  Esta dualidad de títulos competenciales determina que la solución del presente conflicto dependa del resultado de un juicio previo que tiene por objeto dilucidar si el concreto contenido del Decreto autonómico impugnado atañe a la regulación de la pesca marítima o a la ordenación del sector pesquero.</w:t>
      </w:r>
    </w:p>
    <w:p w:rsidR="00FE0907" w:rsidRDefault="00FE0907" w:rsidP="00FE0907">
      <w:pPr>
        <w:pStyle w:val="TextoNormal"/>
      </w:pPr>
    </w:p>
    <w:p w:rsidR="00FE0907" w:rsidRDefault="00FE0907" w:rsidP="00FE0907">
      <w:pPr>
        <w:pStyle w:val="TextoNormal"/>
      </w:pPr>
      <w:r w:rsidRPr="00FE0907">
        <w:rPr>
          <w:rStyle w:val="NumeroAFNegritaCaracter"/>
        </w:rPr>
        <w:t>2</w:t>
      </w:r>
      <w:r>
        <w:t>. Así centrada esta controversia constitucional, conviene destacar los siguientes datos que se extraen de la disposición discutida.</w:t>
      </w:r>
    </w:p>
    <w:p w:rsidR="00FE0907" w:rsidRDefault="00FE0907" w:rsidP="00FE0907">
      <w:pPr>
        <w:pStyle w:val="TextoNormal"/>
      </w:pPr>
      <w:r>
        <w:t>El Decreto se identifica con un encabezamiento que reza "medidas de regulación del esfuerzo de pesca en el litoral de Cataluña", en consecuencia, prima facie, de corresponderse los contenidos del mismo con dicho encabezamiento, habría que entender que al dictar este Decreto la Generalidad de Cataluña ha invadido la competencia estatal sobre pesca marítima (art. 149.1.19 C.E.), puesto que la regulación del recurso natural y de la actividad extractiva del mismo, es decir, en definitiva del esfuerzo pesquero está claramente comprendida en el seno de esa competencia estatal. Es ésta la posición que, en cuanto argumentación principal, puede colegirse sustenta el Abogado del Estado cuando denuncia que el Decreto impugnado fue dictado en aplicación de los arts.  10 y 11 de la indicada Ley del Parlamento de Cataluña 1/1986, reguladora de la pesca marítima, preceptos que han sido en parte declarados inconstitucionales por este Tribunal en la STC 44/1992.</w:t>
      </w:r>
    </w:p>
    <w:p w:rsidR="00FE0907" w:rsidRDefault="00FE0907" w:rsidP="00FE0907">
      <w:pPr>
        <w:pStyle w:val="TextoNormal"/>
      </w:pPr>
      <w:r>
        <w:t>Entra dentro de la competencia exclusiva del Estado en materia de pesca marítima la protección del recurso natural (STC 56/1989) , lo que incluye también las medidas de contención del esfuerzo pesquero y de explotación racional de los recursos que sólo cobran sentido y garantizan su eficacia unitariamente contempladas, pues "sólo desde una ordenación unitaria del caladero natural pueden fijarse criterios efectivos de protección de un recurso natural necesariamente móvil y, por ello, dificilmente separable entre Comunidades Autónomas limítrofes" (STC 147/1991, fundamento jurídico 4º).  Desde esta perspectiva, en cuanto medida de contención del esfuerzo pesquero, habría de darse la razón al Abogado del Estado. Ahora bien, un examen más detenido de la regulación contenida en el Decreto permite llegar a una conclusión más matizada.</w:t>
      </w:r>
    </w:p>
    <w:p w:rsidR="00FE0907" w:rsidRDefault="00FE0907" w:rsidP="00FE0907">
      <w:pPr>
        <w:pStyle w:val="TextoNormal"/>
      </w:pPr>
      <w:r>
        <w:t xml:space="preserve">En su art. 1, se establece el ámbito del mismo. Su art. 2, establece que "la potencia total en CV al freno y las TRB que podrán ser utilizadas para el ejercicio de cada modalidad pesquera será como máximo la que resulte de la suma de potencias y TRB de los barcos con base en los puertos del litoral catalán, inscritos en los correspondientes censos de actividad con fecha 28 de febrero de 1986"; el precepto, pues, "congela" el esfuerzo pesquero en el litoral catalán al impedir el incremento de la potencia y tonelaje de los buques con base en los puertos de aquél en una determinada fecha. En gran parte para hacer eficaz esta medida, el Decreto incorpora algunas previsiones cuales son: que las bajas, de obligada aportación para la construcción de barcos pesqueros, tengan que provenir necesariamente de embarcaciones del litoral en Cataluña (art.  4); la prohibición de cambios de base que conlleven la superación del esfuerzo máximo pesquero permitido y de altas en el censo de barcos pesqueros si el armador no ha formalizado previamente una baja en el mismo (art. 5); la prohibición de cambios de motor en las embarcaciones que no se ajusten a los límites de potencia establecidos en la legislación vigente (art.  6); la fijación de un número </w:t>
      </w:r>
      <w:r>
        <w:lastRenderedPageBreak/>
        <w:t>de barcos que puedan tener base en el ámbito territorial de cada cofradía de acuerdo con las posibilidades de caladeros y puertos (art. 7); etc...  Por último, se otorga al Departamento correspondiente la facultad de determinar en cada modalidad pesquera el número máximo de CV al freno de potencia y las TRB y, cuando sea conveniente, la capacidad de arrastre y la eslora de los barcos (art. 3); y se establecen, al modo de normas finalistas o programáticas, de un lado, la necesidad de que se potencien "líneas de acción" que supongan una mejora tecnológica y de ahorro energético en cada modalidad pesquera, sin que ello comporte un aumento del esfuerzo pesquero (art. 8), así como la posibilidad del fomento de tipos de pesquería no tradicionales (art. 9).</w:t>
      </w:r>
    </w:p>
    <w:p w:rsidR="00FE0907" w:rsidRDefault="00FE0907" w:rsidP="00FE0907">
      <w:pPr>
        <w:pStyle w:val="TextoNormal"/>
      </w:pPr>
      <w:r>
        <w:t>De la interrelación de estos datos se desprende que aunque la finalidad sustancial del Decreto controvertido, como ya se ha dicho, no es otra que "congelar" el esfuerzo pesquero en el litoral catalán, ello se hace mediante la regulación de las potencias y tonelajes inscritos en los correspondientes censos de actividad en cierta fecha del año 1986, materia ésta que la STC 147/1991 ha entendido se encuadra dentro de la ordenación del sector pesquero al referirse al tonelaje mínimo de los buques, la potencia propulsora máxima de sus motores, las autorizaciones para los cambios de base, etc.  Por ello, pese a su finalidad, en su objeto y contenido, el Decreto ha de ser incluido dentro del título competencial referente a la ordenación del sector pesquero, lo que implica la competencia del Estado para emanar la legislación básica y fijar los términos a que habrá de someterse el desarrollo y la ejecución autonómica de las bases. Esa competencia básica, en cuanto está intimamente imbricada, en razón de la finalidad de la medida, con la competencia exclusiva del Estado sobre pesca marítima y consecuentemente sobre la protección del recurso natural y la actividad extractiva, debe asegurar una ordenación unitaria tendente a la contención y reducción progresiva del recurso natural ante la situación de sobrepesca, ya que el problema , por su propia naturaleza, tiene una dimensión supracomunitaria, lo que implica al mismo tiempo restar "un amplio ámbito para una ulterior decisión de la Administración autonómica" (STC 147/1991, fundamento jurídico 5º).</w:t>
      </w:r>
    </w:p>
    <w:p w:rsidR="00FE0907" w:rsidRDefault="00FE0907" w:rsidP="00FE0907">
      <w:pPr>
        <w:pStyle w:val="TextoNormal"/>
      </w:pPr>
      <w:r>
        <w:t>De este modo, en esta materia debe asegurarse la creación de un marco normativo unitario de aplicación en todo el territorio nacional [STC 147/1991, fundamento jurídico 4º C)], lo que impide que puedan hacerse compartimentos estancos en el territorio de cada Comunidad Autónoma que hagan imposible una ordenación unitaria del sector de acuerdo con las posibilidades extractivas y la necesaria preservación del recurso natural; Desde esta perspectiva la ampliación del ámbito de la competencia básica por su incidencia en la protección del recurso natural implica una clara limitación de las competencias autonómicas de desarrollo legislativo y ejecución. El ámbito de la normación básica en la ordenación del sector pesquero, en cuanto afecte a la regulación del esfuerzo pesquero, para su contención y reducción progresiva en defensa del recurso natural en los caladeros nacionales, se extiende allí donde sea necesario asegurar, de un modo unitario, la limitación de las posibilidades extractivas en el caladero nacional.</w:t>
      </w:r>
    </w:p>
    <w:p w:rsidR="00FE0907" w:rsidRDefault="00FE0907" w:rsidP="00FE0907">
      <w:pPr>
        <w:pStyle w:val="TextoNormal"/>
      </w:pPr>
    </w:p>
    <w:p w:rsidR="00FE0907" w:rsidRDefault="00FE0907" w:rsidP="00FE0907">
      <w:pPr>
        <w:pStyle w:val="TextoNormal"/>
      </w:pPr>
      <w:r w:rsidRPr="00FE0907">
        <w:rPr>
          <w:rStyle w:val="NumeroAFNegritaCaracter"/>
        </w:rPr>
        <w:t>3</w:t>
      </w:r>
      <w:r>
        <w:t>. A la luz de esta noción de bases y, consecuentemente, del alcance que cabe materialmente conceder a la competencia autonómica de desarrollo y legislación según la jurisprudencia reseñada, debe sostenerse lo siguiente.</w:t>
      </w:r>
    </w:p>
    <w:p w:rsidR="00FE0907" w:rsidRDefault="00FE0907" w:rsidP="00FE0907">
      <w:pPr>
        <w:pStyle w:val="TextoNormal"/>
      </w:pPr>
      <w:r>
        <w:t xml:space="preserve">Invade la competencia básica estatal el art.  2 del Decreto autonómico discutido, porque prohibir el incremento del esfuerzo pesquero y a tal fin fijar la potencia y el tonelaje de las embarcaciones en Cataluña es un objeto normativo que debe ser incluido en la competencia estatal para emanar bases, pues dificilmente puede regularse este extremo sin tener en cuenta la globalidad de las embarcaciones que faenan en el caladero nacional y, lo que es </w:t>
      </w:r>
      <w:r>
        <w:lastRenderedPageBreak/>
        <w:t>su presupuesto lógico, el mismo estado de explotación del recurso natural.  No es por eso casual que el art. 1.2 del Real Decreto 681/1980, de 28 de marzo, de ordenación de la actividad nacional de pesca marítima, sostenga que el esfuerzo de pesca total ejercido en aguas sometidas a la jurisdicción nacional no podrá exceder de los límites alcanzados en la fecha de entrada en vigor del presente Real Decreto, esto es, el día 16 de abril siguiente. En este sentido, el art. 3 del citado Real Decreto 681/1980, atribuye a la Subsecretaria de Pesca y Marina Mercante, en cuanto posibles medidas a adoptar, la fijación de la potencia de motores, total y por unidad [letra c) ], y la determinación del tonelaje total y unitario de las unidades pesqueras [letra b) ]. En virtud de la conexión con el reseñado art. 2, debe entenderse también invasor de la competencia básica estatal el art. 3 del Decreto impugnado, referido a la fijación por el Departamento autonómico correspondiente del número máximo de CV al freno de potencia y las TRB, junto a otros extremos, para cada modalidad pesquera.</w:t>
      </w:r>
    </w:p>
    <w:p w:rsidR="00FE0907" w:rsidRDefault="00FE0907" w:rsidP="00FE0907">
      <w:pPr>
        <w:pStyle w:val="TextoNormal"/>
      </w:pPr>
      <w:r>
        <w:t>Debende entenderse también anulados por venir viciados de incompetencia: el art. 4 que establece la necesidad de que las bajas de obligada aportación para la construcción de barcos, provengan necesariamente de embarcaciones con base en los puertos del litoral de Cataluña; y el art. 5.1 que impide la autorización de cambios de base que conlleven la superación del esfuerzo máximo pesquero, pues uno y otro precepto suponen medidas dotadas de un claro carácter autonómico, por razón del territorio, y que por ello exceden del contenido lógicamente posible de la competencia autonómica, que no puede acabar por dividir el caladero nacional en compartimentos separados en cada Comunidad Autónoma, entre otras razones, por la misma movilidad del recurso pesquero que las medidas dirigidas a las características de las embarcaciones tienen por finalidad preservar.  Así en la STC 147/1991 (fundamento jurídico 5º) ya se dijo que la autorización de cambios de base de buques, por la propia naturaleza del problema, es una medida que posee una dimensión supracomunitaria. En virtud de su relación con estos preceptos debe entenderse asímismo invasor de competencias el art. 5, apartado segundo, referido a la necesidad de formalizar la baja de un barco en el censo de la modalidad pesquera correspondiente, previamente a la admisión de un alta de otro dotado de igual o superior potencia y tonelaje. Lo mismo cabe decir de lo dispuesto en el art. 7 que otorga a la Comunidad la potestad de determinar el número de barcos pesqueros de cada modalidad que puedan tener base en el ámbito territorial de cada cofradía de pescadores "de acuerdo con las posibilidades de los caladeros y la infraestructura de los puertos"; aquí la conexión entre la ordenación de las embarcaciones dedicadas a la actividad de pesca profesional y el recurso natural -tal y como se ha venido argumentando-, se hace evidente.</w:t>
      </w:r>
    </w:p>
    <w:p w:rsidR="00FE0907" w:rsidRDefault="00FE0907" w:rsidP="00FE0907">
      <w:pPr>
        <w:pStyle w:val="TextoNormal"/>
      </w:pPr>
      <w:r>
        <w:t>En cambio, ha de entenderse que carecen de virtualidad alguna para lesionar la competencia estatal de regulación del esfuerzo de pesca, en cuanto contenido de la ordenación básica del sector pesquero, los preceptos autonómicos que a continuación se enuncian. El art. 1, puesto que se limita a establecer el ámbito de aplicación de los restantes preceptos del Decreto, que ha de entenderse ahora reducido a aquellos no declarados inconstitucionales. Los arts. 8 y 9, que atribuyen al Departamento de Pesca correspondiente, como finalidades a conseguir, respectivamente, la potenciación de líneas de mejora tecnológica y ahorro energético en cada modalidad pesquera, y el fomento de tipos de pesquerías no tradicionales. Y acaba por resultar inocuo desde la perspectiva de la distribución competencial, el art. 6 que establece que los cambios de motor se ajustarán "a los límites de potencia establecidos en la legislación vigente", porque el tenor literal del precepto no prejuzga qué Administración y de qué modo ordene dicha legislación.</w:t>
      </w:r>
    </w:p>
    <w:p w:rsidR="00FE0907" w:rsidRDefault="00FE0907" w:rsidP="00FE0907">
      <w:pPr>
        <w:pStyle w:val="TextoNormal"/>
      </w:pPr>
    </w:p>
    <w:p w:rsidR="00FE0907" w:rsidRDefault="00FE0907" w:rsidP="00FE0907">
      <w:pPr>
        <w:pStyle w:val="TextoNormalCentrado"/>
        <w:keepNext/>
      </w:pPr>
      <w:r>
        <w:lastRenderedPageBreak/>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1º.  Declarar que corresponde al Estado la titularidad de la competencia controvertida y ejercida en los arts. 2; 3; 4; 5, apartados primero y segundo; y 7 del Decreto 79/1986, de 20 de marzo, de Medidas de Regulación de Esfuerzo de Pesca en el Litoral de Cataluña y, en consecuencia, anular dichos preceptos conforme a lo previsto en el art. 66 LOTC.</w:t>
      </w:r>
    </w:p>
    <w:p w:rsidR="00FE0907" w:rsidRDefault="00FE0907" w:rsidP="00FE0907">
      <w:pPr>
        <w:pStyle w:val="TextoNormal"/>
      </w:pPr>
      <w:r>
        <w:t>2º.  Declarar que, en cambio, la titularidad de las competencias ejercidas en los arts. 1; 6; 8; y 9 del Decreto precitado corresponde a la Generalidad de Cataluña.</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nueve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1" w:name="SENTENCIA_1992_58"/>
      <w:r>
        <w:lastRenderedPageBreak/>
        <w:t>SENTENCIA 58/1992, de 23 de abril de 1992</w:t>
      </w:r>
    </w:p>
    <w:bookmarkEnd w:id="61"/>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ECLI:ES:TC:1992:58</w:t>
      </w:r>
    </w:p>
    <w:p w:rsidR="00FE0907" w:rsidRDefault="00FE0907" w:rsidP="00FE0907">
      <w:pPr>
        <w:pStyle w:val="SntesisDescriptiva"/>
      </w:pPr>
    </w:p>
    <w:p w:rsidR="00FE0907" w:rsidRDefault="00FE0907" w:rsidP="00FE0907">
      <w:pPr>
        <w:pStyle w:val="SntesisDescriptiva"/>
      </w:pPr>
      <w:r>
        <w:t>Recurso de amparo 1.664/1989. Contra Sentencia del Tribunal Superior de Justicia de Madrid estimatoria de recurso de suplicación contra la dictada por la Magistratura de Trabajo núm. 2 de Santander.</w:t>
      </w:r>
    </w:p>
    <w:p w:rsidR="00FE0907" w:rsidRDefault="00FE0907" w:rsidP="00FE0907">
      <w:pPr>
        <w:pStyle w:val="SntesisDescriptiva"/>
      </w:pPr>
    </w:p>
    <w:p w:rsidR="00FE0907" w:rsidRDefault="00FE0907" w:rsidP="00FE0907">
      <w:pPr>
        <w:pStyle w:val="SntesisAnaltica"/>
      </w:pPr>
      <w:r>
        <w:t>Supuesta vulneración del principio de igualdad. cambio de criterio de la Sala de lo Social del T.S.J. de Madrid respecto de anteriores criterios del Tribunal Central de Trabajo</w:t>
      </w:r>
    </w:p>
    <w:p w:rsidR="00FE0907" w:rsidRDefault="00FE0907" w:rsidP="00FE0907">
      <w:pPr>
        <w:pStyle w:val="SntesisAnaltica"/>
      </w:pPr>
    </w:p>
    <w:p w:rsidR="00FE0907" w:rsidRDefault="00FE0907" w:rsidP="00FE0907">
      <w:pPr>
        <w:pStyle w:val="Extracto"/>
      </w:pPr>
      <w:r>
        <w:t>1.</w:t>
      </w:r>
      <w:r>
        <w:tab/>
        <w:t>De acuerdo con lo decidido por los AATC 190/1990 y 260/1990, no siendo el T.C.T. y la Sala de lo Social del T.S.J. de Madrid el mismo órgano judicial, no es posible otorgar el amparo por lesión del derecho a la igualdad en la aplicación de la Ley. Las eventuales divergencias en la interpretación existentes entre el desaparecido Tribunal Central de Trabajo y los Tribunales Superiores de Justicia, o de éstos entre sí, cuya posibilidad no cabría eliminar sin poner en riesgo el principio de independencia judicial, no pueden ser corregidos por este Tribunal, entre cuyas funciones no se encuentra, ciertamente, la de unificar la interpretación que todos los Juzgados y Tribunales de España hacen de todas las normas que integran nuestro ordenamiento [F.J. 4 y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1.664/89, interpuesto por don Pedro González Lobera, don Leopoldo Pardo Díaz, don Pedro Aristi González, don Alvaro Solar García, don Juan Manuel Arozamena Salas, don Bernardo Urreta García y don Cesáreo Iglesias Gómez, representados por don Federico Olivares de Santiago y asistidos por el Letrado don Miguel Gómez Hervia, contra Sentencia de la Sala de lo Social del Tribunal Superior de Justicia de Madrid de 9 de junio de 1989, estimatoria de recurso de suplicación contra la dictada por la Magistratura de Trabajo núm. 2 de Santander el 21 de julio de 1986. Han sido partes la entidad Mecánica de los Corrales de Buelna, S.A., representada por don Rafael Ortiz de Solorzano y Arbex y asistida por don Angel Fuente López, el Instituto Nacional </w:t>
      </w:r>
      <w:r>
        <w:lastRenderedPageBreak/>
        <w:t>de la Seguridad Social (I.N.S.S.), representado por don José Granados Weil y asistido por don Luis López Moya, y el Abogado del Estado. Ha intervenido el Ministerio Fiscal. Fue ponente el Magistrado don Francisco Rubio Llorente,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el 2 de agosto de 1989 en el Registro de este Tribunal, don Federico Olivares de Santiago, Procurador de los Tribunales, interpuso, en nombre y representación de don Pedro González Lobera y otras personas, recurso de amparo contra Sentencia de la Sala de lo Social del Tribunal Superior de Justicia de Madrid de 9 de junio de 1989, que estimó el recurso de suplicación interpuesto contra la dictada por la Magistratura de Trabajo núm. 2 de Santander el 21 de julio de 1986.</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fundamenta en los siguientes antecedentes: </w:t>
      </w:r>
    </w:p>
    <w:p w:rsidR="00FE0907" w:rsidRDefault="00FE0907" w:rsidP="00FE0907">
      <w:pPr>
        <w:pStyle w:val="TextoNormal"/>
      </w:pPr>
      <w:r>
        <w:t xml:space="preserve">a) Los recurrentes fueron trabajadores de MECOBUSA hasta que fueron incluídos en expediente de regulación de empleo, tramitada a instancia de la empresa durante la vigencia del XVIII Plan de Inversiones del Fondo nacional de Protección al trabajo (O.M. de 12 de enero de 1979 -B.O.E. de 22 siguiente-). </w:t>
      </w:r>
    </w:p>
    <w:p w:rsidR="00FE0907" w:rsidRDefault="00FE0907" w:rsidP="00FE0907">
      <w:pPr>
        <w:pStyle w:val="TextoNormal"/>
      </w:pPr>
      <w:r>
        <w:t xml:space="preserve">b) En virtud de la Resolución administrativa que puso fin al expediente, los recurrentes vieron extinguida su relación laboral con MECOBUSA pasando, primero, a la situación de desempleo y, después, a la de prejubilación. Al cumplir la edad de jubilación definitiva fueron pasando a esta situación, solicitando la correspondiente prestación. </w:t>
      </w:r>
    </w:p>
    <w:p w:rsidR="00FE0907" w:rsidRDefault="00FE0907" w:rsidP="00FE0907">
      <w:pPr>
        <w:pStyle w:val="TextoNormal"/>
      </w:pPr>
      <w:r>
        <w:t xml:space="preserve">c) En todos los casos, el INSS les reconoció pensiones inferiores a las que les hubieran correspondido de haber continuado en activo. En consecuencia, tras agotar los trámites administrativos previos, formularon demandas ante la Magistratura de Trabajo que, acumuladas y tramitadas por la núm. 2 de Santander, fueron estimadas por Sentencia de 21 de julio de 1986. </w:t>
      </w:r>
    </w:p>
    <w:p w:rsidR="00FE0907" w:rsidRDefault="00FE0907" w:rsidP="00FE0907">
      <w:pPr>
        <w:pStyle w:val="TextoNormal"/>
      </w:pPr>
      <w:r>
        <w:t xml:space="preserve">d) Esta Sentencia fue recurrida en suplicación por el INSS y el Fondo Nacional de Protección al Trabajo. Tras la supresión del Tribunal Central de Trabajo y la asunción de sus competencias por el Tribunal Superior de Justicia de Madrid (Acuerdo del Pleno del Consejo General del Poder Judicial de 10 de mayo de 1989 -B.O.E. del 19 siguiente), el recurso fue estimado por la Sala de lo Social del Tribunal Superior de Justicia de Madrid de 9 de junio de 1989 que revocó la Sentencia de instancia absolviendo a las entidades demandadas. </w:t>
      </w:r>
    </w:p>
    <w:p w:rsidR="00FE0907" w:rsidRDefault="00FE0907" w:rsidP="00FE0907">
      <w:pPr>
        <w:pStyle w:val="TextoNormal"/>
      </w:pPr>
      <w:r>
        <w:t xml:space="preserve">e) La Sentencia se fundamenta en que el expediente de regulación de empleo se tramitó durante la vigencia del XVIII Plan de Inversiones cuya regulación difería de la de los anteriores Planes de Inversiones. Ello impide que resulte de aplicación la doctrina establecida por el Tribunal Central de Trabajo para supuestos suscitados durante la vigencia de otros planes. </w:t>
      </w:r>
    </w:p>
    <w:p w:rsidR="00FE0907" w:rsidRDefault="00FE0907" w:rsidP="00FE0907">
      <w:pPr>
        <w:pStyle w:val="TextoNormal"/>
      </w:pPr>
      <w:r>
        <w:t>f) Reiteradamente el Tribunal Central de Trabajo ha venido manteniendo doctrina contraria en el sentido de que debía producirse la jubilación en los términos pretendidos por los actores (Sentencias de 8 de julio y 14 de octubre de 1986, 6 y 19 de febrero -dos-, 17 de marzo, 7 de abril y 8 de septiembre de 1987 y 15 de marzo, 27 de abril, 13 de junio -dos- y 26 de julio de 1988). Alguna de ellas -la de 26 de julio de 1988- se refiere también a ex-trabajadores de la empresa MECOBUSA y, en su mayor parte, a trabajadores afectados por expedientes de regulación de empleo tramitados durante la vigencia del XVIII Plan de Inversiones.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la demanda se invocan los arts. 14 y 24.1 C.E. </w:t>
      </w:r>
    </w:p>
    <w:p w:rsidR="00FE0907" w:rsidRDefault="00FE0907" w:rsidP="00FE0907">
      <w:pPr>
        <w:pStyle w:val="TextoNormal"/>
      </w:pPr>
      <w:r>
        <w:t xml:space="preserve">a) El Tribunal Constitucional, de forma reiterada desde sus SSTC 49/1982 y 2/1983, ha venido entendiendo que el derecho fundamental consagrado en el art. 14 C.E. despliega su eficacia en dos planos diferentes: el de la igualdad ante la ley y el de la igualdad en la aplicación de la ley. Este último impide a un mismo órgano jurisdiccional alterar el sentido de sus resoluciones en supuestos sustancialmente iguales salvo que exprese una fundamentación suficiente y razonada del disentimiento (STC 64/1984). En este contexto, la sentencia impugnada resulta lesiva del derecho a la igual aplicación de la ley sin que esta consideración venga obstaculizada porque la haya emitido la Sala de lo Social del Tribunal Superior de Justicia de Madrid "al haber actuado la mencionada Sala en sustitución del Tribunal Supremo, ser continuadora de la labor desarrollada hasta ahora por el Tribunal Central de Trabajo y existir también en este caso la necesidad de evitar la arbitrariedad y la de promover la seguridad jurídica". </w:t>
      </w:r>
    </w:p>
    <w:p w:rsidR="00FE0907" w:rsidRDefault="00FE0907" w:rsidP="00FE0907">
      <w:pPr>
        <w:pStyle w:val="TextoNormal"/>
      </w:pPr>
      <w:r>
        <w:t xml:space="preserve">b) Si no se concediese el amparo por no haber sido dictada la Sentencia por el T.C.T. quedaría vulnerado el derecho a la tutela judicial efectiva del art. 24.1 C.E. La Sentencia impugnada "ha sido dictada de forma inadvertida", toda vez que no se ha reparado en la abundante jurisprudencia del Tribunal Central de Trabajo. </w:t>
      </w:r>
    </w:p>
    <w:p w:rsidR="00FE0907" w:rsidRDefault="00FE0907" w:rsidP="00FE0907">
      <w:pPr>
        <w:pStyle w:val="TextoNormal"/>
      </w:pPr>
      <w:r>
        <w:t>Se solicita la anulación de la Sentencia impugnada, con reconocimiento del derecho declarado en la de instancia.</w:t>
      </w:r>
    </w:p>
    <w:p w:rsidR="00FE0907" w:rsidRDefault="00FE0907" w:rsidP="00FE0907">
      <w:pPr>
        <w:pStyle w:val="TextoNormal"/>
      </w:pPr>
    </w:p>
    <w:p w:rsidR="00FE0907" w:rsidRDefault="00FE0907" w:rsidP="00FE0907">
      <w:pPr>
        <w:pStyle w:val="TextoNormal"/>
      </w:pPr>
      <w:r w:rsidRPr="00FE0907">
        <w:rPr>
          <w:rStyle w:val="NumeroAFNegritaCaracter"/>
        </w:rPr>
        <w:t>4</w:t>
      </w:r>
      <w:r>
        <w:t>. En providencia de 13 de noviembre de 1989, la Sección Tercera acordó admitir a trámite la demanda de amparo y, en aplicación del art. 51 LOTC, interesar de los órganos judiciales intervinientes la remisión de notificación de las actuaciones así como la práctica de los emplazamientos oportunos. Sucesivamente, don José Granados Weil, procurador de los Tribunales, en nombre del Instituto Nacional de la Seguridad Social, don Rafael Ortiz de Solorzano y Arbex, en nombre de MECOBUSA y el Abogado del Estado se personaron en las actuaciones.</w:t>
      </w:r>
    </w:p>
    <w:p w:rsidR="00FE0907" w:rsidRDefault="00FE0907" w:rsidP="00FE0907">
      <w:pPr>
        <w:pStyle w:val="TextoNormal"/>
      </w:pPr>
    </w:p>
    <w:p w:rsidR="00FE0907" w:rsidRDefault="00FE0907" w:rsidP="00FE0907">
      <w:pPr>
        <w:pStyle w:val="TextoNormal"/>
      </w:pPr>
      <w:r w:rsidRPr="00FE0907">
        <w:rPr>
          <w:rStyle w:val="NumeroAFNegritaCaracter"/>
        </w:rPr>
        <w:t>5</w:t>
      </w:r>
      <w:r>
        <w:t>. En providencia de 22 de enero de 1990, la referida Sección acordó acusar recibo de las actuaciones remitidas, y tener por personadas a las partes citadas y, de conformidad con el art. 52.1 LOTC, dar vista de las actuaciones y conceder plazo común de veinte días para formular alegaciones a aquéllas y al Ministerio Fiscal.</w:t>
      </w:r>
    </w:p>
    <w:p w:rsidR="00FE0907" w:rsidRDefault="00FE0907" w:rsidP="00FE0907">
      <w:pPr>
        <w:pStyle w:val="TextoNormal"/>
      </w:pPr>
    </w:p>
    <w:p w:rsidR="00FE0907" w:rsidRDefault="00FE0907" w:rsidP="00FE0907">
      <w:pPr>
        <w:pStyle w:val="TextoNormal"/>
      </w:pPr>
      <w:r w:rsidRPr="00FE0907">
        <w:rPr>
          <w:rStyle w:val="NumeroAFNegritaCaracter"/>
        </w:rPr>
        <w:t>6</w:t>
      </w:r>
      <w:r>
        <w:t>. En sus alegaciones, la representación de los solicitantes de amparo se remite al contenido de la demanda de amparo, haciendo constar asimismo que "después de la interposición del presente recurso de amparo ha sido resuelto con fecha 16 de octubre de 1989, el recuro de amparo 1.402/87, de contenido idéntico al presente".</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La representación de MECOBUSA excluye la existencia de cualquier lesión de derechos fundamentales: </w:t>
      </w:r>
    </w:p>
    <w:p w:rsidR="00FE0907" w:rsidRDefault="00FE0907" w:rsidP="00FE0907">
      <w:pPr>
        <w:pStyle w:val="TextoNormal"/>
      </w:pPr>
      <w:r>
        <w:t xml:space="preserve">a) El supuesto de hecho de la Sentencia impugnada no es igual a los resueltos por las Sentencias del T.C.T. que se invocan. La diferencia se encuentra en que "en todas las sentencias del T.C.T. que los recurrentes invocan se hace constar, al transcribir los hechos probados fijados por la Sentencia de instancia, que existe un acuerdo entre los trabajadores afectados y la empleadora de que, al cumplir la edad reglamentaria de jubilación les sea </w:t>
      </w:r>
      <w:r>
        <w:lastRenderedPageBreak/>
        <w:t xml:space="preserve">revisada su pensión como si hubieran permanecido en activo". No siendo iguales los supuestos, no cabe hablar de lesión del art. 14 C.E. </w:t>
      </w:r>
    </w:p>
    <w:p w:rsidR="00FE0907" w:rsidRDefault="00FE0907" w:rsidP="00FE0907">
      <w:pPr>
        <w:pStyle w:val="TextoNormal"/>
      </w:pPr>
      <w:r>
        <w:t>b) De otro lado, siendo la sentencia recurrida "una decisión sobre el fondo fundada en Derecho", no puede reputarse lesiva del art. 24.1 C.E.</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En sus alegaciones, la representación del INSS solicita la desestimación del recurso: </w:t>
      </w:r>
    </w:p>
    <w:p w:rsidR="00FE0907" w:rsidRDefault="00FE0907" w:rsidP="00FE0907">
      <w:pPr>
        <w:pStyle w:val="TextoNormal"/>
      </w:pPr>
      <w:r>
        <w:t xml:space="preserve">a) Aunque se admitiera que el T.C.T. y la Sala de lo Social del Tribunal Superior de Justicia de Madrid fueran el mismo órgano -"cosa que evidentemente no es así"-, no podría admitirse la existencia de lesión del derecho a la igual aplicación de la ley. </w:t>
      </w:r>
    </w:p>
    <w:p w:rsidR="00FE0907" w:rsidRDefault="00FE0907" w:rsidP="00FE0907">
      <w:pPr>
        <w:pStyle w:val="TextoNormal"/>
      </w:pPr>
      <w:r>
        <w:t xml:space="preserve">De un lado, la Sentencia impugnada ha motivado suficientemente el cambo de criterio en atención al cambio normativo que comporta el paso del XVII al XVIII Plan de Inversiones. De otro, el TSJ destaca la inexistencia de acuerdo expreso al respecto ni en las declaraciones formuladas ante la empresa ni en la resolución administrativa. Los supuestos, pues, no son idénticos por lo que no existe el arbitrario cambio de criterio que se denuncia. De hecho el T.C.T. -Sentencias de 28 de julio, 3 de noviembre y 2 de diciembre de 1987, 19 y 25 de enero (cuatro) de 1988 y 28 de febrero y 3 de marzo de 1989- ha sostenido el mismo criterio, continuado en la posterior sentencia del Tribunal Superior de Madrid de 28 de septiembre de 1989. </w:t>
      </w:r>
    </w:p>
    <w:p w:rsidR="00FE0907" w:rsidRDefault="00FE0907" w:rsidP="00FE0907">
      <w:pPr>
        <w:pStyle w:val="TextoNormal"/>
      </w:pPr>
      <w:r>
        <w:t>b) No existe tampoco lesión del art. 24.1 C.E. pues "los recurrentes han gozado de todas las garantías, pruebas, remedios y recursos existentes en Derecho".</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También el Abogado del Estado se opone a la concesión del amparo: </w:t>
      </w:r>
    </w:p>
    <w:p w:rsidR="00FE0907" w:rsidRDefault="00FE0907" w:rsidP="00FE0907">
      <w:pPr>
        <w:pStyle w:val="TextoNormal"/>
      </w:pPr>
      <w:r>
        <w:t xml:space="preserve">a) En sus alegaciones afirma, ante todo, que la violación del art. 24.1 C.E. denunciada por los actores se fundamenta en el distinto criterio sustentado por el TSJ respecto a la anterior jurisprudencia del T.C.T. Ello nada tiene que ver con la tutela judicial efectiva ni con la prohibición de la indefensión de modo que "se debe depurar la pretensión de los recurrentes refiriéndose sólo a la pretendida violación del principio de igualdad en la aplicación de la ley". Destaca, por otro lado, que la doctrina sentada en la STC 161/1989, no es aplicable al presente supuesto toda vez que en el caso resuelto por aquélla la resolución administrativa había contemplado expresamente la necesidad de revisar la pensión como si los trabajadores hubieran permanecido en activo. Circunstancia que no concurre ahora. </w:t>
      </w:r>
    </w:p>
    <w:p w:rsidR="00FE0907" w:rsidRDefault="00FE0907" w:rsidP="00FE0907">
      <w:pPr>
        <w:pStyle w:val="TextoNormal"/>
      </w:pPr>
      <w:r>
        <w:t xml:space="preserve">b) En efecto, ni entre las condiciones exigidas por los trabajadores para acceder a ser incluídos en el expediente de regulación de empleo ni en la resolución administrativa que le puso fin se incluyó expresamente el derecho a la revisión. La sentencia impugnada tomó en cuenta esta consideración (fundamento jurídico 4º). Pues bien, ello ha de excluir la lesión del art. 14 C.E. Al margen de la de 15 de marzo de 1988 -que no resulta aplicable-, las Sentencias del T.C.T. invocadas se refieren, unas, a supuestos en los que se había previsto expresamente la revisión de la pensión en la resolución administrativa y, otras, a casos en los que, no estando ello formalmente presente en la resolución, ésta se basaba en acuerdo de la Comisión ejecutiva del Plan de reconversión del sector que había aprobado un "programa de jubilaciones anticipadas" para una determinada empresa. Ambas circunstancias excluyen la posibilidad de comparación entre estas Sentencias y la recurrida: las incluídas en el primer grupo resuelven supuestos distintos y las pertenecientes al segundo aplican la lex specialis contenida en el Real Decreto 917/1982, de 26 de marzo (art. 8). </w:t>
      </w:r>
    </w:p>
    <w:p w:rsidR="00FE0907" w:rsidRDefault="00FE0907" w:rsidP="00FE0907">
      <w:pPr>
        <w:pStyle w:val="TextoNormal"/>
      </w:pPr>
      <w:r>
        <w:t>c) A la falta de identidad entre ambos supuestos, hay que añadir que el órgano judicial que ha resuelto la suplicación -la Sala de lo Social del TSJ de Madrid- es diferente al que emitió las sentencias utilizadas como término de comparación. Ello excluye la posibilidad de comparación a efectos del art. 14 C.E. (SSTC 12/1988 y 63/1988); sin que esta conclu</w:t>
      </w:r>
      <w:r>
        <w:lastRenderedPageBreak/>
        <w:t>sión pueda ser alterada por la asunción por el TSJ de Madrid de algunas competencias del T.C.T. ya que el órgano judicial viene definido por su denominación orgánica (STC 161/1988). De otro lado, la sentencia impugnada no ha implicado un arbitrario cambio de criterio al haberse justificado expresamente en las diferentes disposiciones aplicables a los sucesivos expedientes de regulación de empleo.</w:t>
      </w:r>
    </w:p>
    <w:p w:rsidR="00FE0907" w:rsidRDefault="00FE0907" w:rsidP="00FE0907">
      <w:pPr>
        <w:pStyle w:val="TextoNormal"/>
      </w:pPr>
    </w:p>
    <w:p w:rsidR="00FE0907" w:rsidRDefault="00FE0907" w:rsidP="00FE0907">
      <w:pPr>
        <w:pStyle w:val="TextoNormal"/>
      </w:pPr>
      <w:r w:rsidRPr="00FE0907">
        <w:rPr>
          <w:rStyle w:val="NumeroAFNegritaCaracter"/>
        </w:rPr>
        <w:t>10</w:t>
      </w:r>
      <w:r>
        <w:t xml:space="preserve">. El Ministerio Fiscal, tras reseñar brevemente los antecedentes, observa que la alegación del art. 24.1 C.E. es un "mero corolario retórico" de la invocación del art. 14 C.E. En consecuencia, sólo a ésta es preciso atender. Sin embargo, a juicio del Ministerio Público, el derecho fundamental del art. 14 C.E. ha sido conculcado por la sentencia impugnada por lo que procede otorgar el amparo por esta causa. </w:t>
      </w:r>
    </w:p>
    <w:p w:rsidR="00FE0907" w:rsidRDefault="00FE0907" w:rsidP="00FE0907">
      <w:pPr>
        <w:pStyle w:val="TextoNormal"/>
      </w:pPr>
      <w:r>
        <w:t xml:space="preserve">a) Tras sintetizar la doctrina constitucional relativa al derecho a la igual aplicación de la ley, aborda la cuestión de si el órgano judicial es el mismo. La respuesta debe ser positiva en la medida en que el TSJ de Madrid "se ha hecho cargo competencial de las causas pendientes en el T.C.T. a la supresión del mismo". En consecuencia, para estas causas pendientes debe afirmarse que ambos son el mismo órgano. </w:t>
      </w:r>
    </w:p>
    <w:p w:rsidR="00FE0907" w:rsidRDefault="00FE0907" w:rsidP="00FE0907">
      <w:pPr>
        <w:pStyle w:val="TextoNormal"/>
      </w:pPr>
      <w:r>
        <w:t xml:space="preserve">b) De otro lado, el supuesto ahora estudiado es idéntico al de algunas de las sentencias aportadas por los recurrentes. En concreto, la Sentencia del T.C.T. de 26 de julio de 1988 resuelve un supuesto igual referido a trabajadores de la misma empresa afectados por el mismo expediente de regulación de empleo. Sin embargo, la solución a la que se llega respecto del mismo problema es absolutamente distinta. </w:t>
      </w:r>
    </w:p>
    <w:p w:rsidR="00FE0907" w:rsidRDefault="00FE0907" w:rsidP="00FE0907">
      <w:pPr>
        <w:pStyle w:val="TextoNormal"/>
      </w:pPr>
      <w:r>
        <w:t>c) En fin, la STC 161/1989 -cuya doctrina se reproduce in extenso- avala la pretensión actora. En realidad las supuestas diferencias entre el caso de autos y los aportados como término de comparación no son tales en la medida en que, como se ha señalado, no impidieron la estimación de pretensiones idénticas.</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2 de abril de 1992, se señaló para deliberación y fallo el 22 del mismo mes, quedando concluida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De las dos lesiones de derechos fundamentales que los recurrentes imputan a la sentencia de la Sala de lo Social del Tribunal Superior de Justicia de Madrid de 9 de junio de 1989, sólo es posible tomar en consideración la referida al derecho a la igual aplicación de la ley. Como señalan las demás partes personadas y el Ministerio Fiscal, la denunciada lesión del derecho a la tutela judicial efectiva carece de significación autónoma. En efecto, a juicio de los recurrentes, la sentencia impugnada contradice el derecho fundamental del art. 24.1 C.E. ya que su comparación con las aportadas del desaparecido Tribunal Central de Trabajo demuestra que "la primera ha sido dictada de forma inadvertida o sin reparar en la existencia de la doctrina reiterada" de este último Tribunal.</w:t>
      </w:r>
    </w:p>
    <w:p w:rsidR="00FE0907" w:rsidRDefault="00FE0907" w:rsidP="00FE0907">
      <w:pPr>
        <w:pStyle w:val="TextoNormal"/>
      </w:pPr>
      <w:r>
        <w:t xml:space="preserve">Es claro, sin embargo, que esta alegación del derecho a la tutela judicial efectiva resulta redundante cuando se hace conjuntamente con la del derecho a la igualdad que, como ya dijimos en STC 91/1990, es la vía adecuada para plantear ante este Tribunal las pretensiones dirigidas contra una aplicación desigual de la Ley. Por lo que aquí interesa, el derecho fundamental a la tutela judicial efectiva se agota, según reiterada jurisprudencia de este Tribunal cuya cita resulta ociosa, en la obtención de un pronunciamiento judicial de fondo motivado en Derecho, con independencia de cual sea su contenido.  Pues bien, examinada </w:t>
      </w:r>
      <w:r>
        <w:lastRenderedPageBreak/>
        <w:t>la Sentencia impugnada se advierte que la misma se ajusta a tales condiciones por lo que no queda duda que el órgano judicial no ha lesionado el derecho fundamental del art. 24.1 C.E. Nuestra atención ha de centrarse, pues, en la eventual vulneración del derecho a la igual aplicación de la ley.</w:t>
      </w:r>
    </w:p>
    <w:p w:rsidR="00FE0907" w:rsidRDefault="00FE0907" w:rsidP="00FE0907">
      <w:pPr>
        <w:pStyle w:val="TextoNormal"/>
      </w:pPr>
    </w:p>
    <w:p w:rsidR="00FE0907" w:rsidRDefault="00FE0907" w:rsidP="00FE0907">
      <w:pPr>
        <w:pStyle w:val="TextoNormal"/>
      </w:pPr>
      <w:r w:rsidRPr="00FE0907">
        <w:rPr>
          <w:rStyle w:val="NumeroAFNegritaCaracter"/>
        </w:rPr>
        <w:t>2</w:t>
      </w:r>
      <w:r>
        <w:t>. Como se desprende de los antecedentes, los recurrentes solicitaban en el proceso previo la declaración de su derecho a que la pensión de jubilación se calculara como si hubieran permanecido en activo y no se hubieran visto afectados por el expediente de regulación de empleo. Tal pretensión, acogida en la instancia, fue finalmente desestimada por la Sentencia de la Sala de lo Social del Tribunal Superior de Justicia de Madrid que ahora se impugna. Este pronunciamiento se fundamentó, de un lado, en no resultar de aplicación a los ahora recurrentes el criterio sostenido por el Tribunal Central de Trabajo en otras Sentencias.  Mientras éste se refería a trabajadores jubilados anticipadamente durante la vigencia del XVII Plan de Inversiones y precedentes, el expediente de regulación de empleo que afectó a los actores fue tramitado durante la vigencia del XVIII Plan. La diferencia entre las normas que regulaban uno y otro obligarían, según el TSJ de Madrid, a llegar a distinta solución interpretativa.  De otro lado, a la vista de los hechos probados y de la documentación obrante en autos, no podría deducirse que el derecho pretendido por los actores se hubiera incorporado a las negociaciones del expediente ni a la resolución administrativa que le puso fin.  No era posible, por ello, variar la anterior conclusión.</w:t>
      </w:r>
    </w:p>
    <w:p w:rsidR="00FE0907" w:rsidRDefault="00FE0907" w:rsidP="00FE0907">
      <w:pPr>
        <w:pStyle w:val="TextoNormal"/>
      </w:pPr>
      <w:r>
        <w:t>Contra esta decisión judicial se interpone la presente demanda de amparo que, como ya sabemos, se centra en la existencia de un cambio injustificado de criterio por parte de la Sala de lo Social del T.S.J. de Madrid respecto de anteriores pronunciamientos del T.C.T., oportunamente aportados con la demanda y que se han reseñado en los antecedentes. Las partes personadas y el Ministerio Fiscal no discrepan en cuanto a la existencia y alcance del derecho a la igual aplicación de la Ley.  Sí discuten, sin embargo, si en el presente supuesto existen los requisitos exigidos por la doctrina de este Tribunal para calificar un pronunciamiento judicial como lesivo del art. 14 C.E. por esta razón. Para los recurrentes y para el Ministerio Fiscal, la Sala de lo Social del T.S.J. de Madrid y el desaparecido T.C.T. constituyen un mismo órgano judicial en virtud de la asunción por aquél de los asuntos pendientes en éste en el momento de su desaparición. Admitida la identidad del órgano judicial, afirman la existencia de igualdad entre el supuesto resuelto por la sentencia impugnada y los fallados por el T.C.T. en las sentencias aportadas. Se argumenta, en fin, la insuficiencia de la motivación del cambio de criterio operado en la sentencia impugnada, sobre todo a la vista de la doctrina sentada en la STC 161/1989. Por todo ello, la sentencia impugnada se reputa lesiva del art. 14 C.E. y se solicita la concesión del amparo. Para el resto de las partes personadas, la conclusión ha de ser la contraria. La Sala de lo Social del Tribunal Superior de Justicia de Madrid no es, ante todo, el mismo órgano judicial que el desaparecido Tribunal Central de Trabajo y, aun admitiendo que lo fuera, ni los supuestos son iguales ni el eventual cambio de criterio respecto a los más próximos resueltos por el T.C.T.  aparece inmotivado. Es más, el caso que se suscita ahora ante este Tribunal no es tampoco igual al que resolvió la citada STC 161/1989. Circunstancias todas ellas que han de conducir forzosamente a la desestimación de la demanda de amparo.</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De la sucinta exposición del debate abierto en el presente recurso de amparo se desprende inequívocamente la existencia de un problema cuya resolución es previa a la del resto de las cuestiones planteadas. En efecto, antes de entrar a determinar si la Sentencia impugnada resuelve o no supuestos idénticos o si justifica o no suficientemente el eventual </w:t>
      </w:r>
      <w:r>
        <w:lastRenderedPageBreak/>
        <w:t>cambio de criterio, es preciso considerar si la misma ha sido emitida por el mismo órgano judicial que pronunció las que se aportan como término de comparación puesto que, en caso contrario, cualquier alegación de igualdad en la aplicación de la ley está condenada al fracaso. En el presente supuesto, el problema se plantea porque mientras la sentencia impugnada ha sido dictada por la Sala de lo Social del Tribunal Superior de Justicia de Madrid todas las que se aportan como término de comparación fueron pronunciadas por el desaparecido Tribunal Central de Trabajo, en concreto por su Sala Cuarta. Para el recurrente y para el Ministerio Fiscal esta circunstancia es intrascendente en la medida en que aquél ha asumido las competencias de éste respecto de los asuntos que estuvieran pendientes en el momento de su desaparición.</w:t>
      </w:r>
    </w:p>
    <w:p w:rsidR="00FE0907" w:rsidRDefault="00FE0907" w:rsidP="00FE0907">
      <w:pPr>
        <w:pStyle w:val="TextoNormal"/>
      </w:pPr>
      <w:r>
        <w:t>Esta fue prevista ya en la Ley Orgánica del Poder Judicial. En su disposición transitoria décimoctava se dispone expresamente que "el Tribunal Central de Trabajo quedará suprimido en la fecha en que entren en funcionamiento las Salas de lo Social de la Audiencia Nacional y de los Tribunales Superiores de Justicia, que serán establecidas por la ley que fije la planta de los Tribunales". La desaparición del T.C.T. viene regulada en la misma disposición, cuya regla primera establece que los Magistrados del T.C.T.  "pasarán a constituir la Sala de lo Social de la Audiencia Nacional y del Tribunal Superior de Justicia de Madrid", Salas a las que se atribuye el conocimiento "de todos los asuntos pendientes en el Tribunal Central de Trabajo" (inciso final).  Con posterioridad, la Ley 38/1988, de 28 de diciembre, de Demarcación y de Planta Judicial, en sus arts. 36 a 38 regula el proceso de sustitución del Tribunal Central de Trabajo por las Salas de lo Social de los Tribunales Superiores de Justicia que asumen la competencia para resolver el recurso de suplicación. En concreto, el art. 38 encomienda al Consejo General del Poder Judicial la determinación de "la fecha de supresión del Tribunal Central de Trabajo y finalización del ejercicio de su competencia" y reitera que "a partir de esa fecha, la Sala de lo Social del Tribunal Superior de Justicia de Madrid conocerá de los asuntos pendientes ante el Tribunal Central de Trabajo, con la excepción de lo que corresponda a la Sala de lo Social de la Audiencia Nacional". Este proceso ha sido, en fin, culminado por Acuerdo del Pleno del Consejo General del Poder Judicial de 10 de mayo de 1989 -B.O.E. de 19 siguiente- en el que se fija la desaparición del T.C.T. para el 23 de mayo de 1989 (regla primera), estableciendo criterios para la distribución de los asuntos pendientes a tal fecha entre las Salas de lo Social de la Audiencia Nacional y del Tribunal Superior de Justicia de Madrid y de otros Tribunales Superiores (regla segunda). No puede, pues, desconocerse que, en virtud de las reglas establecidas para articular la sucesión de órganos judiciales en el tiempo, determinados supuestos inicialmente atribuidos al T.C.T. han terminado siendo resueltos por la Sala de lo Social del T.S.J. de Madrid.</w:t>
      </w:r>
    </w:p>
    <w:p w:rsidR="00FE0907" w:rsidRDefault="00FE0907" w:rsidP="00FE0907">
      <w:pPr>
        <w:pStyle w:val="TextoNormal"/>
      </w:pPr>
    </w:p>
    <w:p w:rsidR="00FE0907" w:rsidRDefault="00FE0907" w:rsidP="00FE0907">
      <w:pPr>
        <w:pStyle w:val="TextoNormal"/>
      </w:pPr>
      <w:r w:rsidRPr="00FE0907">
        <w:rPr>
          <w:rStyle w:val="NumeroAFNegritaCaracter"/>
        </w:rPr>
        <w:t>4</w:t>
      </w:r>
      <w:r>
        <w:t>. Ello, sin embargo, no permite considerar que ambos órganos judiciales sean el mismo a efectos de imputar lesión del derecho a la igual aplicación de la ley a la Sentencia que ahora se impugna. En ello insisten tanto el Abogado del Estado como el I.N.S.S. y en ello ha insistido ya la doctrina de este Tribunal, aunque aún no en decisión con forma de Sentencia. En efecto, la cuestión de si las Sentencias de la Sala de lo Social del T.S.J.  de Madrid -o de la Audiencia Nacional- son comparables con las del T.C.T. a efectos de fundar una pretensión de amparo por desigual aplicación de la ley ha sido resuelta en sentido negativo en los AATC 190/1990, y 260/1990, -por citar sólo aquellas resoluciones con forma de Auto que han sido publicadas en el repertorio de jurisprudencia constitucional-.</w:t>
      </w:r>
    </w:p>
    <w:p w:rsidR="00FE0907" w:rsidRDefault="00FE0907" w:rsidP="00FE0907">
      <w:pPr>
        <w:pStyle w:val="TextoNormal"/>
      </w:pPr>
      <w:r>
        <w:t xml:space="preserve">En ellos se ha insistido en que la asunción de las competencias del desaparecido T.C.T. por parte de la Sala de lo So cial del T.S.J. de Madrid no ha sido plena sino meramente </w:t>
      </w:r>
      <w:r>
        <w:lastRenderedPageBreak/>
        <w:t>parcial. De algunos de los asuntos pendientes ante el T.C.T. ha de conocer la Sala de lo Social de la Audiencia Nacional "e incluso de otros Tribunales Superiores de Justicia en razón de la fecha del asiento registral del asunto, conforme al Acuerdo citado del Consejo General del Poder Judicial". De otra parte, la sustitución competencial del T.C.T. por el Tribunal Superior de Madrid es un fenómeno meramente transitorio cuyos efectos se limitan al período hasta la entrada en vigor de la nueva Ley de Procedimiento Laboral que, de acuerdo con las directrices sentadas genéricamente en la L.O.P.J. (art. 75), establece definitivamente las competencias laborales los Tribunales Superiores. Competencia que presenta notables diferencias con la que históricamente correspondió al desaparecido T.C.T. Desde esta perspectiva, el hecho de que por los Tribunales Superiores se continúe resolviendo el recurso de suplicación no autoriza a considerarlos como plenos y meros sucesores del T.C.T. En cualquier caso, la indiscutible asunción transitoria y parcial de competencias por el T.S.J. de Madrid no autoriza a concluir, que la Sala de lo Social y el desaparecido T.C.T. sean un mismo órgano judicial. El criterio de la competencia no puede ser considerado aisladamente y con exclusión de otros como la denominación orgánica y la configuración legal y composición (ATC 190/1990).</w:t>
      </w:r>
    </w:p>
    <w:p w:rsidR="00FE0907" w:rsidRDefault="00FE0907" w:rsidP="00FE0907">
      <w:pPr>
        <w:pStyle w:val="TextoNormal"/>
      </w:pPr>
    </w:p>
    <w:p w:rsidR="00FE0907" w:rsidRDefault="00FE0907" w:rsidP="00FE0907">
      <w:pPr>
        <w:pStyle w:val="TextoNormal"/>
      </w:pPr>
      <w:r w:rsidRPr="00FE0907">
        <w:rPr>
          <w:rStyle w:val="NumeroAFNegritaCaracter"/>
        </w:rPr>
        <w:t>5</w:t>
      </w:r>
      <w:r>
        <w:t>. En definitiva, pues, no siendo el T.C.T. y la Sala de lo Social del T.S.J.  de Madrid el mismo órgano judicial no es posible otorgar el amparo por lesión del derecho a la igualdad en la aplicación de la ley. Desde luego, las eventuales divergencias en la interpretación existentes entre el desaparecido T.C.T. y los TT.SS.JJ. o entre estos entre sí cuya posibilidad no podría ser eliminada sin poner en riesgo el principio de independencia judicial, deben ser evitadas en la medida de lo posible en aras del principio de seguridad jurídica, que también garantiza la Constitución. Esta tarea corresponde, sin embargo, al legislador, mediante la adopción de normas orgánicas y procesales, pero no a este Tribunal, entre cuyas funciones no se encuentra, ciertamente, la de munificar la interpretación que todos los Juzgados y Tribunales de España hacen de todas las normas que integran nuestro ordenamiento.</w:t>
      </w:r>
    </w:p>
    <w:p w:rsidR="00FE0907" w:rsidRDefault="00FE0907" w:rsidP="00FE0907">
      <w:pPr>
        <w:pStyle w:val="TextoNormal"/>
      </w:pPr>
      <w:r>
        <w:t>La inadecuación formal del término de comparación ofrecido por los recurrentes nos exime de la necesidad de entrar en el análisis de su adecuación material para verificar si los supuestos de hecho de las Sentencias que nos proponen como término de referencia coinciden en lo esencial con su propia situación o, por el contrario, como sostiene el Abogado del Estado, divergen precisamente en los extremos aquí pertinentes.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veintidos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2" w:name="SENTENCIA_1992_59"/>
      <w:r>
        <w:lastRenderedPageBreak/>
        <w:t>SENTENCIA 59/1992, de 23 de abril de 1992</w:t>
      </w:r>
    </w:p>
    <w:bookmarkEnd w:id="62"/>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ECLI:ES:TC:1992:59</w:t>
      </w:r>
    </w:p>
    <w:p w:rsidR="00FE0907" w:rsidRDefault="00FE0907" w:rsidP="00FE0907">
      <w:pPr>
        <w:pStyle w:val="SntesisDescriptiva"/>
      </w:pPr>
    </w:p>
    <w:p w:rsidR="00FE0907" w:rsidRDefault="00FE0907" w:rsidP="00FE0907">
      <w:pPr>
        <w:pStyle w:val="SntesisDescriptiva"/>
      </w:pPr>
      <w:r>
        <w:t>Recurso de amparo 1.776/1989. Contra Sentencia del Tribunal Central de Trabajo en autos sobre nulidad de alta en la Seguridad Social.</w:t>
      </w:r>
    </w:p>
    <w:p w:rsidR="00FE0907" w:rsidRDefault="00FE0907" w:rsidP="00FE0907">
      <w:pPr>
        <w:pStyle w:val="SntesisDescriptiva"/>
      </w:pPr>
    </w:p>
    <w:p w:rsidR="00FE0907" w:rsidRDefault="00FE0907" w:rsidP="00FE0907">
      <w:pPr>
        <w:pStyle w:val="SntesisAnaltica"/>
      </w:pPr>
      <w:r>
        <w:t>Vulneración del principio de igualdad: interpretación lesiva a la recurrente del art. 3.1 a) del Decreto 2.346/1969 (discriminación por razón de parentesco)</w:t>
      </w:r>
    </w:p>
    <w:p w:rsidR="00FE0907" w:rsidRDefault="00FE0907" w:rsidP="00FE0907">
      <w:pPr>
        <w:pStyle w:val="SntesisAnaltica"/>
      </w:pPr>
    </w:p>
    <w:p w:rsidR="00FE0907" w:rsidRDefault="00FE0907" w:rsidP="00FE0907">
      <w:pPr>
        <w:pStyle w:val="Extracto"/>
      </w:pPr>
      <w:r>
        <w:t>1.</w:t>
      </w:r>
      <w:r>
        <w:tab/>
        <w:t>Este Tribunal ha declarado en múltiples ocasiones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completa modificación de los términos en que discurrió la controversia procesal, sustrayendo a las partes el verdadero debate contradictorio y produciéndose un fallo sustancialmente extraño a sus recíprocas pretensiones [F.J. 2].</w:t>
      </w:r>
    </w:p>
    <w:p w:rsidR="00FE0907" w:rsidRDefault="00FE0907" w:rsidP="00FE0907">
      <w:pPr>
        <w:pStyle w:val="Extracto"/>
      </w:pPr>
    </w:p>
    <w:p w:rsidR="00FE0907" w:rsidRDefault="00FE0907" w:rsidP="00FE0907">
      <w:pPr>
        <w:pStyle w:val="Extracto"/>
      </w:pPr>
      <w:r>
        <w:t>2.</w:t>
      </w:r>
      <w:r>
        <w:tab/>
        <w:t>Se reitera doctrina anterior (SSTC 79/1991 y 92/1991), según la cual, aunque el vínculo de parentesco entre el titular del hogar familiar y el empleado doméstico pueda justificar diferencias de tratamiento en materia de afiliación y alta en el Régimen Especial de la Seguridad Social, no permite justificar toda diferencia, sino sólo aquélla que resulta razonable a la luz del conjunto del ordenamiento, y como quiera que en éste genera normalmente sólo una presunción «iuris tantum» de que el pariente no es trabajador, en el Régimen Especial doméstico tal circunstancia sólo podrá ser tenida en cuenta a estos efectos, so pena de incurrir en discriminación por una circunstancia personal contraria al art. 14 de la C.E.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1.776/89 promovido por doña Petra Cabral Ordoñez, representada por la Procuradora de los Tribunales doña Esther Gómez García y asistida del Letradodon Ramón Botana Puga contra la Sentencia del Tribunal Central de Trabajo de 8 de mayo de 1989, en autos sobre nulidad de alta en la Seguridad Social. Ha comparecido el Ministerio Fiscal, la Tesorería General de la Seguridad Social, representada por la Procuradora doña Sara Gutierrez Lorenzo y asistida de la Letrada doña Ana María Bayón, y el Instituto Nacional de la Seguridad Social representado por el Procurador don José Granados Weil y asistido del Letrado don Luis López Moya. Ha sido Ponente el Magistrado don José Gabaldón López,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registrado en este Tribunal el día 25 de agosto de 1989 doña Petra Cabral Ordoñez expresó su propósito de interponer recurso de amparo contra la Sentencia dictada por el Tribunal Central de Trabajo el día 8 de mayo de 1989, interesando la designación de Abogado y Procurador del turno de oficio y la concesión del beneficio de justicia gratuita. En providencia de 18 de septiembre de 1989 la Sección Cuarta accedió a tal nombramiento y en proveído de 23 de octubre siguiente acordó tener por designados a doña Esther Gómez García y a don Ramón Botana Puga, como Procurador y Abogado del turno de oficio, respectivamente, concediéndoles el plazo de veinte días para que formalizaran la oportuna demanda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presentada se basa en los siguientes antecedentes: </w:t>
      </w:r>
    </w:p>
    <w:p w:rsidR="00FE0907" w:rsidRDefault="00FE0907" w:rsidP="00FE0907">
      <w:pPr>
        <w:pStyle w:val="TextoNormal"/>
      </w:pPr>
      <w:r>
        <w:t xml:space="preserve">a) La recurrente, tras haber permanecido de alta en el Régimen General de la Seguridad Social desde el 1 de octubre de 1964 al 15 de septiembre de 1976 en razón de su relación laboral con una empresa de limpieza de edificios y locales, y seguidamente haber disfrutado prestaciones de desempleo, el día 1 de octubre de 1977 causó alta en el Régimen Especial de Empleados de Hogar por prestar servicios domésticos retribuidos a su tía carnal doña Belén Ordoñez Letrán. En 22 de junio de 1984 fue propuesta por la Comisión de Evaluación de Incapacidades para una situación de invalidez permanente en grado de incapacidad permanente absoluta derivada de contingencia de enfermedad común, a raíz de un proceso de incapacidad laboral transitoria iniciado el día 10 de junio de 1983. </w:t>
      </w:r>
    </w:p>
    <w:p w:rsidR="00FE0907" w:rsidRDefault="00FE0907" w:rsidP="00FE0907">
      <w:pPr>
        <w:pStyle w:val="TextoNormal"/>
      </w:pPr>
      <w:r>
        <w:t xml:space="preserve">b) El Instituto Nacional de la Seguridad Social y la Tesorería General de la Seguridad Social interpusieron demanda ante la jurisdicción social, solicitando la nulidad del alta en el Régimen Especial y el reintegro de las prestaciones de incapacidad laboral transitoria indebidamente satisfechas cifradas en 323.060 pts. La entonces Magistratura de Trabajo de Jerez de la Frontera en Sentencia de 18 de junio de 1985 desestimó la demanda por ser correcta la afiliación (sic) de la ahora recurrente al Régimen Especial de la Seguridad Social de Empleados de Hogar. Razonaba el Magistrado que para no vulnerar el art. 14 de la C.E., el art. 3.1 a) del Decreto de 25 de septiembre de 1969 debe ser interpretado en el sentido de que la exclusión de los trabajos domésticos dentro del ámbito familiar allí definido sólo puede tener lugar cuando no se pruebe el carácter asalariado del familiar que presta el servicio doméstico, pues de lo contrario se produciría una discriminación respecto de la regulación que los demás trabajos familiares tienen en el art. 1 del Estatuto de los </w:t>
      </w:r>
      <w:r>
        <w:lastRenderedPageBreak/>
        <w:t xml:space="preserve">Trabajadores y, sobre todo, respecto de la excepción del trabajo doméstico de los familiares de los sacerdotes. </w:t>
      </w:r>
    </w:p>
    <w:p w:rsidR="00FE0907" w:rsidRDefault="00FE0907" w:rsidP="00FE0907">
      <w:pPr>
        <w:pStyle w:val="TextoNormal"/>
      </w:pPr>
      <w:r>
        <w:t>c) Interpuesto recurso de suplicación por la parte demandante, fue estimado en Sentencia del Tribunal Central de Trabajo de 8 de mayo de 1989, que revocó la de instancia y con estimación de la demanda origen del procedimiento, declaró la nulidad del alta de doña Petra Cabral Ordoñez en el Régimen Especial de Empleados de Hogar, condenando a la misma como obligada principal y a doña Belén Ordoñez Letrán como obligada subsidiaria a reintegrar las prestaciones de incapacidad laboral transitoria indebidamente percibidas. Argumenta el Tribunal que, incontrovertido el hecho de que la empleada de hogar es sobrina carnal del cabeza de familia, deviene aplicable la exclusión del art. 3.1 a) del Decreto 2.346/1969 de 25 de septiembre, relativa a los parientes del cabeza de familia por consanguinidad o afinidad hasta el tercer grado inclusive, exclusión no discriminatoria con los trabajadores del Régimen General, ya que no se trata de situaciones iguales y por ello su regulación y tratamiento, tanto en lo que respecta a derechos laborales como de seguridad social, puede ser y es diferente.</w:t>
      </w:r>
    </w:p>
    <w:p w:rsidR="00FE0907" w:rsidRDefault="00FE0907" w:rsidP="00FE0907">
      <w:pPr>
        <w:pStyle w:val="TextoNormal"/>
      </w:pPr>
    </w:p>
    <w:p w:rsidR="00FE0907" w:rsidRDefault="00FE0907" w:rsidP="00FE0907">
      <w:pPr>
        <w:pStyle w:val="TextoNormal"/>
      </w:pPr>
      <w:r w:rsidRPr="00FE0907">
        <w:rPr>
          <w:rStyle w:val="NumeroAFNegritaCaracter"/>
        </w:rPr>
        <w:t>3</w:t>
      </w:r>
      <w:r>
        <w:t>. Contra esta Sentencia del Tribunal Central de Trabajo se interpone recurso de amparo por presunta vulneración del art. 14 de la Constitución, solicitándose su nulidad y la confirmación y firmeza de la Sentencia dictada por el Magistrado a quo. Se argumenta, en síntesis, que la literalidad del art. 3.1 a) del Decreto 2.346/1969 al excluir sin otra consideración aparente a determinados parientes del cabeza de familia, no sólo contradice el tenor de disposiciones posteriores -algunas de superior rango jerárquico- (arts. 1.3 c) del Estatuto de los Trabajadores, 2.1 b) del Real Decreto 1.424/1985, de 1 de agosto y 7.2 de la Ley General de la Seguridad Social), sino que infringe el art. 14 de la C.E. al crear situaciones de desigualdad entre un colectivo de trabajadores respecto de otros pertenecientes tanto al propio Régimen Especial de Empleados de Hogar como al Régimen General de la Seguridad Social, es decir, se discrimina entre trabajadores domésticos en atención a que sus familiares sean o no sacerdotes y también en relación con otros trabajadores que, pese a su vínculo de parentesco con el empresario, se les permite acreditar su condición de asalariados y así acceder a la protección del sistema de la Seguridad Social. Por otro lado, tacha a la resolución impugnada de incongruente, por acoger un razonamiento no planteado en la Sentencia de instancia y no rebatir la argumentación fundamental de ésta.</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29 de enero de 1990 la Sección Cuarta acordó admitir a trámite la demanda interesando de los órganos judiciales intervinientes la remisión de certificación o fotocopia debidamente adverada de las actuaciones, así como la práctica de los correspondientes emplazamientos. Por providencia de 23 de abril de 1990 acordó acusar recibo de las actuaciones remitidas por el Tribunal Central de Trabajo y la Magistratura de Trabajo de Jerez de la Frontera, tener por personados y partes al Procurador don José Granados Weil, en nombre y representación del Instituto Nacional de la Seguridad Social y a la Procuradora doña Sara Gutierrez Lorenzo, en el de la Tesorería General de la Seguridad Social y, de conformidad con lo dispuesto en el art. 52.1 de la LOTC, dar vista de las actuaciones recibidas, por plazo común de veinte días, a las partes personadas y al Ministerio Fiscal para que formularan las alegaciones que estimaren pertinentes, trámite cumplimentado por todas las partes, salvo la demandante de amparo.</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5</w:t>
      </w:r>
      <w:r>
        <w:t xml:space="preserve">. La representación de la Tesorería General de la Seguridad Social solicitó la desestimación del recurso de amparo. Ciertamente, cualquier norma anterior en el tiempo a la Constitución debe ser contemplada a la luz de la misma, pero de ello, a su juicio, no se infiere necesariamente que la aplicación del art. 3.1 a) del Decreto 2.346/1969 infrinja el derecho fundamental a la igualdad. Es la propia ley la que implanta los Regímenes Especiales de la Seguridad Social, entre ellos el de Empleados de Hogar, [art. 10.1 y 2 h) de la Ley General de Seguridad Social] y, por tanto, resulta evidente la improcedencia de hablar de discriminación respecto de los parientes de empleadores encuadrados en el Régimen General, porque existe una base objetiva que justifica el establecimiento de diferencias de tratamiento en los diversos Regímenes, entre las que se encuentra la exclusión cuestionada, encaminada a evitar el abuso o el posible fraude a que podría conducir la permisibilidad de la afiliación en un Régimen difícilmente controlable y cuya moderada cotización hace atractivo su pago, aun no trabajando, para acceder a la protección del sistema. </w:t>
      </w:r>
    </w:p>
    <w:p w:rsidR="00FE0907" w:rsidRDefault="00FE0907" w:rsidP="00FE0907">
      <w:pPr>
        <w:pStyle w:val="TextoNormal"/>
      </w:pPr>
      <w:r>
        <w:t>Aun en el supuesto de que se considerase discriminatoria la norma controvertida, también en el Régimen General se excluye a los parientes próximos del empleador, salvo que acrediten que efectivamente prestan servicios laborales para él, actividad probatoria no desarrollada en este caso. Y tampoco los familiares de los sacerdotes están incluidos de forma automática; simplemente no se les excluye si reúnen los demás requisitos que determina la inclusión en el Régimen Especial. En definitiva, la Sentencia impugnada no viola el art. 14 de la C.E. al concurrir diferencias objetivas entre el supuesto examinado y los que se proponen como término de comparación.</w:t>
      </w:r>
    </w:p>
    <w:p w:rsidR="00FE0907" w:rsidRDefault="00FE0907" w:rsidP="00FE0907">
      <w:pPr>
        <w:pStyle w:val="TextoNormal"/>
      </w:pPr>
    </w:p>
    <w:p w:rsidR="00FE0907" w:rsidRDefault="00FE0907" w:rsidP="00FE0907">
      <w:pPr>
        <w:pStyle w:val="TextoNormal"/>
      </w:pPr>
      <w:r w:rsidRPr="00FE0907">
        <w:rPr>
          <w:rStyle w:val="NumeroAFNegritaCaracter"/>
        </w:rPr>
        <w:t>6</w:t>
      </w:r>
      <w:r>
        <w:t>. También la representación del Instituto Nacional de la Seguridad Social se opone a la concesión del amparo. A su entender y con cita de las SSTC 103/1982, 148/1986, 29/1987 y 27/1988, no existe la denunciada discriminación porque se trata de supuestos diferentes que lógicamente deben ser tratados de forma distinta: el Régimen Especial de Empleados de Hogar, precisamente por su especialidad, requiere un tratamiento jurídico distinto que conlleva la admisibilidad de un ámbito y extensión de la protección diferente del establecido en el Régimen General. De otra parte, la Sentencia impugnada, de acuerdo con reiterada jurisprudencia del Tribunal Supremo, ha aplicado correctamente el art. 3.1 a) del Decreto 2.346/1969, precepto que ni está en contradicción con la Ley General de Seguridad Social, ni tampoco con el Estatuto de los Trabajadores y el Real Decreto 1.424/1985, porque estas disposiciones regulan relaciones laborales, pero no relaciones de seguridad social. Finalmente, el caso es muy similar al resuelto por la STC de 8 de junio de 1988, cuya doctrina debe aquí reiterarse.</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Ministerio Fiscal interesa asimismo la denegación del amparo. Señala que el supuesto planteado no es novedoso en la jurisprudencia constitucional, toda vez que la posible oposición del art. 3 del Decreto 2.346/1969 con el derecho fundamental a la igualdad ya ha sido estudiada en la STC 109/1988 y en el recurso de amparo 1.672/1988. Tras evocar la doctrina de aquella Sentencia subraya que no es adecuado comparar al sacerdote célibe con el particular, por las relaciones de cooperación impuestas por el art. 16.3 de la C.E. y por la necesidad de prestar las mejores condiciones posibles para las personas encargadas de la asistencia religiosa a la sociedad, especialmente si se trata de religiosos que no viven en comunidad; ello supone un factor de diferenciación con la suficiente entidad para estimar objetiva y razonable la distinta regulación normativa. Si la STC 109/1988 denegó el amparo en un caso que guardaba cierta similitud con el previsto en el art. 3.2 del </w:t>
      </w:r>
      <w:r>
        <w:lastRenderedPageBreak/>
        <w:t xml:space="preserve">Decreto 2.346/1969, con más razón habrá que hacerlo en el supuesto radicalmente distinto ahora analizado, en el que ni el empleador ni el empleado reúnen requisitos análogos al entonces resuelto. </w:t>
      </w:r>
    </w:p>
    <w:p w:rsidR="00FE0907" w:rsidRDefault="00FE0907" w:rsidP="00FE0907">
      <w:pPr>
        <w:pStyle w:val="TextoNormal"/>
      </w:pPr>
      <w:r>
        <w:t>De otra parte, tampoco existe la incongruencia denunciada. La Sentencia ofrece una interpretación motivada y razonada de la norma cuestionada sin alterar los términos del debate procesal, siendo irrelevante que discrepe de la fundamentación jurídica de la Sentencia de instancia o que no combata específicamente su argumentación.</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2 de abril de 1992, se señaló para la deliberación y fallo el día 22 del mismo mes, quedando conclusa en el día de la fecha.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Se dirige la demanda de amparo contra la Sentencia del Tribunal Central de Trabajo de 8 de mayo de 1989 que, aplicando textualmente el art. 3.1 a) del Decreto 2.346/1969, de 25 de septiembre, regulador del Régimen Especial de la Seguridad Social del Servicio Doméstico, revocó en suplicación la Sentencia de la Magistratura de Trabajo de Jerez de la Frontera de 18 de junio de 1985 y, con estimación de la demanda inicial formulada por el INSS y la TGSS, declaró la nulidad del alta en este Régimen Especial de la ahora demandante de amparo, condenando a ella como obligada principal y a la codemandada -su tía carnal doña Belén Ordoñez Letrán- como obligada subsidiaria al reintegro de las prestaciones económicas de incapacidad laboral transitoria indebidamente percibidas. A juicio de la recurrente, la decisión impugnada, además de incurrir en el vicio de incongruencia por sustentarse en una argumentación no planteada en la Sentencia de instancia y no pronunciarse sobre su fundamentación principal, acoge una interpretación del referido precepto contraria al art. 14 de la C.E., porque discrimina entre trabajadores domésticos en atención a que medie o no un vínculo de parentesco con sacerdotes, y también respecto de otros trabajadores unidos familiarmente al empresario, a quienes se permite acceder a la protección del sistema de la Seguridad Social si acreditan su condición de asalariados.</w:t>
      </w:r>
    </w:p>
    <w:p w:rsidR="00FE0907" w:rsidRDefault="00FE0907" w:rsidP="00FE0907">
      <w:pPr>
        <w:pStyle w:val="TextoNormal"/>
      </w:pPr>
    </w:p>
    <w:p w:rsidR="00FE0907" w:rsidRDefault="00FE0907" w:rsidP="00FE0907">
      <w:pPr>
        <w:pStyle w:val="TextoNormal"/>
      </w:pPr>
      <w:r w:rsidRPr="00FE0907">
        <w:rPr>
          <w:rStyle w:val="NumeroAFNegritaCaracter"/>
        </w:rPr>
        <w:t>2</w:t>
      </w:r>
      <w:r>
        <w:t>. Aunque formalmente sólo se cita como infringido el art. 14 de la C.E., la demanda de amparo denuncia asimismo que la Sentencia impugnada ha incurrido en incongruencia, defecto subsumible en su caso en el art. 24.1 de la C.E.  Adentrándonos en primer lugar en el examen de este motivo, este Tribunal ha declarado en múltiples ocasiones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completa modificación de los términos en que discurrió la controversia procesal, sustrayendo a las partes el verdadero debate contradictorio y produciéndose un fallo sustancialmente extraño a sus recíprocas pretensiones (por todas, SSTC 144/1991 y 183/1991), pero desde luego no impide que el órgano judicial sustente su decisión en una fundamentación jurídica distinta de la alegada por las partes (SSTC 20/1982, 183/1985, 142/1987, 48/1989 y 45/1990, entre otras).</w:t>
      </w:r>
    </w:p>
    <w:p w:rsidR="00FE0907" w:rsidRDefault="00FE0907" w:rsidP="00FE0907">
      <w:pPr>
        <w:pStyle w:val="TextoNormal"/>
      </w:pPr>
      <w:r>
        <w:t>Desde esta óptica, la incongruencia alegada es palmariamente inconsistente.  Una detenida lectura de las actuaciones revela que los fallos judiciales se han ajustado escrupulosamente a las respectivas pretensiones de las partes.  En efecto, el INSS y la TGSS inter</w:t>
      </w:r>
      <w:r>
        <w:lastRenderedPageBreak/>
        <w:t>pusieron demanda solicitando la nulidad del alta en el Régimen Especial de Empleados de Hogar y el reintegro de las prestaciones de incapacidad laboral transitoria indebidamente percibidas, a la que se opuso la parte demandada, y tal pretensión, inicialmente desestimada en la Sentencia de instancia, fue posteriormente acogida por el Tribunal Central de Trabajo en trámite de recurso de suplicación.  Repárese que en el acto del juicio la recurrente articuló su oposición a la demanda sin insinuar siquiera la dimensión constitucional de la cuestión debatida y únicamente al impugnar el recurso de suplicación planteó que la revocación de la resolución recurrida pugnaría con el contenido del art.  14 de la C.E. Parece olvidar, pues, que la congruencia de una resolución judicial se mide por la adecuación de su parte dispositiva a los términos en que se desarrolló el debate procesal, no confrontando la diversa fundamentación jurídica de las sentencias recaídas en las sucesivas instancias del procedimiento.</w:t>
      </w:r>
    </w:p>
    <w:p w:rsidR="00FE0907" w:rsidRDefault="00FE0907" w:rsidP="00FE0907">
      <w:pPr>
        <w:pStyle w:val="TextoNormal"/>
      </w:pPr>
    </w:p>
    <w:p w:rsidR="00FE0907" w:rsidRDefault="00FE0907" w:rsidP="00FE0907">
      <w:pPr>
        <w:pStyle w:val="TextoNormal"/>
      </w:pPr>
      <w:r w:rsidRPr="00FE0907">
        <w:rPr>
          <w:rStyle w:val="NumeroAFNegritaCaracter"/>
        </w:rPr>
        <w:t>3</w:t>
      </w:r>
      <w:r>
        <w:t>. En lo atinente a la lesión del art. 14 de la C.E.  se propone en la demanda un doble término de comparación, referido el primero a que la exclusión del campo de aplicación del Régimen Especial de Empleados de Hogar no afecta a los familiares del sexo femenino de sacerdotes célibes. Sin embargo, ya pusimos de relieve en la STC 109/1988 que el art. 3.2 del Decreto 2.346/1969, norma excepcional que se inscribe en el ámbito del art. 16 de la Constitución y, en particular, en las relaciones de cooperación entre el Estado y la Iglesia Católica y las demás confesiones, trata de facilitar que los ciudadanos reciban, en el ejercicio de su propia libertad religiosa y de culto, la correspondiente asistencia religiosa [art. 2.1 b) de la Ley Orgánica 7/1980, de 5 de julio], favoreciendo para ello el desempeño del ministerio sacerdotal por los clérigos célibes.  Ausentes estas circunstancias en el empleador seglar, debe concluirse la desigualdad de los supuestos que se pretende comparar y, por tanto, la inexistencia desde esta perspectiva de una vulneración del art. 14 de la C.E.</w:t>
      </w:r>
    </w:p>
    <w:p w:rsidR="00FE0907" w:rsidRDefault="00FE0907" w:rsidP="00FE0907">
      <w:pPr>
        <w:pStyle w:val="TextoNormal"/>
      </w:pPr>
    </w:p>
    <w:p w:rsidR="00FE0907" w:rsidRDefault="00FE0907" w:rsidP="00FE0907">
      <w:pPr>
        <w:pStyle w:val="TextoNormal"/>
      </w:pPr>
      <w:r w:rsidRPr="00FE0907">
        <w:rPr>
          <w:rStyle w:val="NumeroAFNegritaCaracter"/>
        </w:rPr>
        <w:t>4</w:t>
      </w:r>
      <w:r>
        <w:t>. El segundo término de comparación concierne a aquellos trabajadores cuyo vínculo de parentesco con el empresario no les impide acceder a la protección que otorga la Seguridad Social, si acreditan su condición de asalariados.  Sobre el tema este Tribunal ya se ha pronunciado en las SSTC 79/1991 y 92/1991 y basta, por tanto, evocar la doctrina sentada en aquélla y que ésta reitera.  La compatibilidad del art.  3.1 a) del Decreto 2.346/1969 con el art. 14 de la C.E. impone una interpretación sistemática e integradora del precepto en el contexto normativo en el que ha de aplicarse, en concreto, el régimen jurídico del parentesco según el ordenamiento laboral y las propias normas generales del sistema de la Seguridad Social, porque "...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 (...).  "Si el ordenamiento jurídico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cons</w:t>
      </w:r>
      <w:r>
        <w:lastRenderedPageBreak/>
        <w:t>tancia de la existencia del vínculo familiar citado.  La propia unidad del ordenamiento jurídico no permite que una norma niegue radical e incondicionadamente la condición de trabajador asalariado que otras normas posteriores de igual o superior rango reconocen, sin permitir siquiera demostrar que se reúne dicha condición. Y sería asimismo inaceptable que, dentro de la propia legislación de seguridad social una norma [el art. 3.1 a) del Decreto 2.346/1969] impidiera radicalmente y en todo caso que el pariente de tercer grado del titular del hogar familiar pudiera probar su condición de trabajador asalariado, cuando la norma general del sistema de la Seguridad Social sí le permite hacerlo (art. 7.2 de la Ley General de la Seguridad Social en su redacción originaria), convirtiendo así en una presunción iuris et de iure lo que en esta norma no era sino una presunción iuris tantum.  Si la legislación laboral y de seguridad social incurrieran en tales insalvables contradicciones, y precisamente por el perjuicio que se hace soportar al así contradictoriamente tratado, bien podría afirmarse que los poderes públicos no estarían respetando la interdicción de la arbitrariedad que les impone el art.  9.3 de la Constitución, pues no cabe que el ordenamiento jurídico afirme y a la vez niegue la condición de trabajador asalariado del pariente de tercer grado del empleador, ni que le permita y a la vez le niegue la posibilidad de probar que reúne tal condición" (STC 79/1991, fundamento jurídico 4º).</w:t>
      </w:r>
    </w:p>
    <w:p w:rsidR="00FE0907" w:rsidRDefault="00FE0907" w:rsidP="00FE0907">
      <w:pPr>
        <w:pStyle w:val="TextoNormal"/>
      </w:pPr>
      <w:r>
        <w:t>Según lo que la citada Sentencia sigue razonando, el art. 3.1 a) del Decreto 2.346/1969 es susceptible sin violencia de otra interpretación sistemática compatible con el art.14 de la Constitución, y mediante la remisión a otras normas superiores del ordenamiento (Ley General de la Seguridad Social de 1974, art.  7.2) que impide un resultado discriminatorio. Esto no se habría producido con dicha interpretación ni en consecuencia se habría anulado la afiliación al Régimen Especial por el sólo y exclusivo hecho de la relación de parentesco "y no porque concurriera alguna otra circunstancia adicional como pudiera ser, básicamente, la de que la recurrente no fuera efectivamente trabajadora asalariada".</w:t>
      </w:r>
    </w:p>
    <w:p w:rsidR="00FE0907" w:rsidRDefault="00FE0907" w:rsidP="00FE0907">
      <w:pPr>
        <w:pStyle w:val="TextoNormal"/>
      </w:pPr>
      <w:r>
        <w:t>Estas consideraciones llevan a concluir que "aunque el vínculo de parentesco entre el titular del hogar familiar y el empleado doméstico pueda justificar diferencias de tratamiento en materia de afiliación y alta en el Régimen Especial de la Seguridad Social, no permite justificar toda diferencia sino sólo aquélla que resulta razonable a la luz del conjunto del ordenamiento, y como quiera que en éste genera normalmente sólo una presunción iuris tantum de que el pariente no es trabajador [arts. 1.3 e) del ET., 2.1 b) del Real Decreto 1.424/1985 y 7.2 de la LGSS, (tanto en su antigua como en su actual redacción), en el Régimen Especial doméstico tal circunstancia sólo podrá ser tenida en cuenta a estos efectos, so pena de incurrir en discriminación, por una circunstancia personal contraria al art.  14 de la C.E." (STC 92/1991, fundamento jurídico 4). Así lo ha reiterado recientemente esta Sala en la STC 2/1992 a propósito de la exclusión del cónyuge del empresario de la consideración de trabajador por cuenta ajena.</w:t>
      </w:r>
    </w:p>
    <w:p w:rsidR="00FE0907" w:rsidRDefault="00FE0907" w:rsidP="00FE0907">
      <w:pPr>
        <w:pStyle w:val="TextoNormal"/>
      </w:pPr>
    </w:p>
    <w:p w:rsidR="00FE0907" w:rsidRDefault="00FE0907" w:rsidP="00FE0907">
      <w:pPr>
        <w:pStyle w:val="TextoNormal"/>
      </w:pPr>
      <w:r w:rsidRPr="00FE0907">
        <w:rPr>
          <w:rStyle w:val="NumeroAFNegritaCaracter"/>
        </w:rPr>
        <w:t>5</w:t>
      </w:r>
      <w:r>
        <w:t>. De aquí que proceda la estimación de presente recurso de amparo. La resolución impugnada aceptó, salvo una irrelevante modificación relativa a la fecha de alta de la recurrente en el Régimen Especial de Empleados de Hogar, el relato histórico de la Sentencia de instancia, que, entre otros extremos, tuvo por acreditada la condición de asalariada de la demandante de amparo. Aun indiscutida, pues, la realidad de la relación laboral, declaró no obstante la nulidad del alta en la Seguridad Social con fundamento exclusivamente en el vínculo de parentesco existente con la titular del hogar familiar, como efecto de una interpretación literal del art.  3.1 a) del Decreto 2.346/1969, interpretación radiclamente opuesta a la doctrina de este Tribunal que antes se cita. Habiendo obtenido, pues, la recu</w:t>
      </w:r>
      <w:r>
        <w:lastRenderedPageBreak/>
        <w:t>rrente un pronunciamiento favorable en primera instancia, para preservar su derecho de igualdad bastará ahora con acordar la nulidad de la Sentencia de suplicación impugnada.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y, en consecuencia:</w:t>
      </w:r>
    </w:p>
    <w:p w:rsidR="00FE0907" w:rsidRDefault="00FE0907" w:rsidP="00FE0907">
      <w:pPr>
        <w:pStyle w:val="TextoNormal"/>
      </w:pPr>
      <w:r>
        <w:t>1º.  Restablecer a doña Petra Cabral Ordoñez en su derecho a la igualdad.</w:t>
      </w:r>
    </w:p>
    <w:p w:rsidR="00FE0907" w:rsidRDefault="00FE0907" w:rsidP="00FE0907">
      <w:pPr>
        <w:pStyle w:val="TextoNormal"/>
      </w:pPr>
      <w:r>
        <w:t>2º.  Anular la Sentencia de la Sala Tercera del Tribunal Central de Trabajo de 8 de mayo de 1989 recaída en el recurso de suplicación 6.869/88.</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veintitrés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3" w:name="SENTENCIA_1992_60"/>
      <w:r>
        <w:lastRenderedPageBreak/>
        <w:t>SENTENCIA 60/1992, de 23 de abril de 1992</w:t>
      </w:r>
    </w:p>
    <w:bookmarkEnd w:id="63"/>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ECLI:ES:TC:1992:60</w:t>
      </w:r>
    </w:p>
    <w:p w:rsidR="00FE0907" w:rsidRDefault="00FE0907" w:rsidP="00FE0907">
      <w:pPr>
        <w:pStyle w:val="SntesisDescriptiva"/>
      </w:pPr>
    </w:p>
    <w:p w:rsidR="00FE0907" w:rsidRDefault="00FE0907" w:rsidP="00FE0907">
      <w:pPr>
        <w:pStyle w:val="SntesisDescriptiva"/>
      </w:pPr>
      <w:r>
        <w:t>Recurso de amparo 2.395/1989. Contra Sentencia del Tribunal Superior de Justicia de Madrid, desestimando recurso de suplicación contra Sentencia del Juzgado de lo Social núm. 6 de Madrid, en autos sobre despido.</w:t>
      </w:r>
    </w:p>
    <w:p w:rsidR="00FE0907" w:rsidRDefault="00FE0907" w:rsidP="00FE0907">
      <w:pPr>
        <w:pStyle w:val="SntesisDescriptiva"/>
      </w:pPr>
    </w:p>
    <w:p w:rsidR="00FE0907" w:rsidRDefault="00FE0907" w:rsidP="00FE0907">
      <w:pPr>
        <w:pStyle w:val="SntesisAnaltica"/>
      </w:pPr>
      <w:r>
        <w:t>Vulneración del derecho a la tutelajudicial efectiva: inadmisión de recurso de suplicación por interpretación lesiva a la tutela del requisito de legitimación para recurrir .</w:t>
      </w:r>
    </w:p>
    <w:p w:rsidR="00FE0907" w:rsidRDefault="00FE0907" w:rsidP="00FE0907">
      <w:pPr>
        <w:pStyle w:val="SntesisAnaltica"/>
      </w:pPr>
    </w:p>
    <w:p w:rsidR="00FE0907" w:rsidRDefault="00FE0907" w:rsidP="00FE0907">
      <w:pPr>
        <w:pStyle w:val="Extracto"/>
      </w:pPr>
      <w:r>
        <w:t>1.</w:t>
      </w:r>
      <w:r>
        <w:tab/>
        <w:t>Negar erróneamente que la parte dispositiva de la Sentencia de despido que está al origen de este recurso no producía un perjuicio o gravamen a FOGASA, organismo que ahora recurre en amparo, y que los efectos de la cosa juzgada de la Sentencia se proyectaban también sobre el mismo, de acuerdo con la responsabilidad que establece al respecto el art. 33 E.T., alcanza relevancia constitucional. En consecuencia, la desestimación del recurso sin entrar en el fondo del mismo, está basada en un motivo legalmente inexistente, la falta de un interés para recurrir, lo que supone una interpretación rigorista, formal y arbitraria de los requisitos procesales que implica una denegación injustificada de tutela judicial en la fase impugnatoria que afecta y lesiona el derecho fundamental a la tutela judicial efectiva del art. 24.1 C.E. del recurrente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 xml:space="preserve">En el recurso de amparo núm. 2.395/89, interpuesto por el Abogado del Estado, en representación del Fondo de Garantía Salarial, contra la Sentencia de la Sala de lo Social del Tribunal Superior de Justicia de Madrid, de 3 de octubre de 1989, que desestimó el recurso de suplicación contra la Sentencia del Juzgado de lo Social núm. 6 de Madrid, de 10 de abril de 1989, en autos sobre despido. Han sido partes el Banco de Crédito Industrial, S.A., y la Sociedad de Gestión de Buques, S.A., representados por el Procurador don Javier Domínguez López, y doña María Teresa Paz López, representada por la Procuradora </w:t>
      </w:r>
      <w:r>
        <w:lastRenderedPageBreak/>
        <w:t>doña María Eugenia Fernández-Rico Fernández. Ha sido Ponente el Magistrado don Miguel Rodríguez-Piñero y Bravo-Ferrer,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Abogado del Estado, en representación del "Fondo de Garantía Salarial", interpone, con fecha 30 de noviembre de 1989, recurso de amparo frente a la Sentencia de la Sala de lo Social del Tribunal Superior de Justicia de Madrid de 3 de octubre de 1989, que desestima el recurso de suplicación contra la Sentencia del Juzgado de lo Social nº 6 de Madrid de 10 de abril de 1989, en autos sobre despido. Invoca el art.24.1 C.E.</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se basa en los siguientes antecedentes: </w:t>
      </w:r>
    </w:p>
    <w:p w:rsidR="00FE0907" w:rsidRDefault="00FE0907" w:rsidP="00FE0907">
      <w:pPr>
        <w:pStyle w:val="TextoNormal"/>
      </w:pPr>
      <w:r>
        <w:t xml:space="preserve">a) Ante el Juzgado de lo Social nº 6 de Madrid se presentó demanda sobre despido por doña María Teresa Paz, contra las empresas "Naviera de Occidente, S.A.", el "Banco de Crédito Industrial", la "Sociedad de Gestión de Buques, S.A." y el organismo autónomo "Fondo de Garantía Salarial", recayendo Sentencia de 10 de abril de 1989 que estima la demanda, condenando a "Naviera de Occidente, S.A.", a readmitir a la trabajadora o a indemnizarle, absolviendo al resto de las demandadas y al Fondo de Garantía Salarial "sin perjuicio de las responsabilidades que le pudieren alcanzar en fase de ejecución y en caso de insolvencia". </w:t>
      </w:r>
    </w:p>
    <w:p w:rsidR="00FE0907" w:rsidRDefault="00FE0907" w:rsidP="00FE0907">
      <w:pPr>
        <w:pStyle w:val="TextoNormal"/>
      </w:pPr>
      <w:r>
        <w:t xml:space="preserve">b) Anunciado recurso de suplicación por el Fondo, que es el que va a hacer frente a la indemnización, pues la codemandada, al parecer, es insolvente, se tiene por admitido en tiempo y forma por providencia de 17 de mayo de 1989, frente a la que se interpone recurso de reposición por la trabajadora, que fue desestimado por Auto del Juzgado de lo Social de 12 de junio de 1989. </w:t>
      </w:r>
    </w:p>
    <w:p w:rsidR="00FE0907" w:rsidRDefault="00FE0907" w:rsidP="00FE0907">
      <w:pPr>
        <w:pStyle w:val="TextoNormal"/>
      </w:pPr>
      <w:r>
        <w:t>c) Formulado el recurso de suplicación por el Fondo, en el que se alega la subrogación empresarial producida a favor de las otras demandadas, la Sala de lo Social del Tribunal Superior de Justicia de Madrid (en adelante TSJM) dicta Sentencia de 3 de octubre de 1989 en la que, sin entrar en el fondo, desestima el recurso por entender que el recurrente carece de legitimación activa para recurrir al haber sido absuelto y no existir perjuicio o gravamen causado al recurrente, "lo que no obsta, en modo alguno, a las responsabilidades, directas o subsidiarias, que, en su día, pudiera tener lugar por aplicación, en su caso, del art. 33 del Estatuto de los Trabajadores".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Frente a esta última resolución judicial se interpone recurso de amparo por presunta vulneración del art. 24.1 C.E. con la súplica de que se declare su nulidad. </w:t>
      </w:r>
    </w:p>
    <w:p w:rsidR="00FE0907" w:rsidRDefault="00FE0907" w:rsidP="00FE0907">
      <w:pPr>
        <w:pStyle w:val="TextoNormal"/>
      </w:pPr>
      <w:r>
        <w:t xml:space="preserve">Estima el organismo recurrente que la resolución impugnada, al negarle el acceso al recurso, viola el art. 24.1 C.E., pues el Fondo de Garantía Salarial, de acuerdo con el art. 33 de la LET, debe abonar las indemnizaciones reconocidas en Sentencia a favor de los trabajadores en caso de insolvencia de la empresa responsable. De ahí, se dice, que el art. 143 de la LPL establezca que el Fondo puede comparecer en los pleitos sobre reclamaciones de despido, dándose así un emplazamiento que es exigencia de orden público procesal. En el presente caso, se afirma, el Fondo fue demandado por la actora, produciéndole el respectivo efecto de que habiéndose defendido en primera instancia, carece de legitimación para recurrir, ya que, al no ser nunca condenado, pues su responsabilidad es subsidiaria, no podrá nunca hacer valer sus derechos en vía de recurso. A su juicio, la exigencia del TSJM para recurrir constituye un obstáculo excesivo que no se compagina con el derecho </w:t>
      </w:r>
      <w:r>
        <w:lastRenderedPageBreak/>
        <w:t>a la tutela judicial efectiva, aunque el Fondo no sea condenado en la Sentencia de instancia, si en su ejecución se declara la insolvencia de la empresa condenada, aquél asume sus obligaciones sin necesidad de ningún otro proceso, por lo que el título jurídico de la obligación del Fondo es la misma Sentencia de condena, al ser su obligación sustitutiva de la principal. En definitiva, a juicio del recurrente, existe interés legítimo en el pleito por su parte, con independencia de que aparezca o no previamente condenado en el fallo, pues se le pueden exigir responsabilidades sustitutivas del condenado en el seno del mismo pleito (en la ejecución de la Sentencia).</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12 de febrero de 1990, la Sección acordó admitir a trámite la demanda y solicitar de los órganos judiciales la remisión de las actuaciones y la citación de quienes hubiesen sido parte en el proceso. </w:t>
      </w:r>
    </w:p>
    <w:p w:rsidR="00FE0907" w:rsidRDefault="00FE0907" w:rsidP="00FE0907">
      <w:pPr>
        <w:pStyle w:val="TextoNormal"/>
      </w:pPr>
      <w:r>
        <w:t>Por providencia de 23 de abril de 1990, la Sección acordó acusar recibo de las actuaciones remitidas, tener por personado y parte en el proceso a la Procuradora doña María Eugenia Fernández-Rico Fernández, en nombre y representación de doña María Teresa Paz López, y al Procurador don Javier Dominguéz López, en nombre y representación del Banco de Crédito Industrial y la Sociedad de Gestión de Buques, concediendo un plazo común de veinte días a las partes personadas y al Ministerio Fiscal para la formulación de alegaciones.</w:t>
      </w:r>
    </w:p>
    <w:p w:rsidR="00FE0907" w:rsidRDefault="00FE0907" w:rsidP="00FE0907">
      <w:pPr>
        <w:pStyle w:val="TextoNormal"/>
      </w:pPr>
    </w:p>
    <w:p w:rsidR="00FE0907" w:rsidRDefault="00FE0907" w:rsidP="00FE0907">
      <w:pPr>
        <w:pStyle w:val="TextoNormal"/>
      </w:pPr>
      <w:r w:rsidRPr="00FE0907">
        <w:rPr>
          <w:rStyle w:val="NumeroAFNegritaCaracter"/>
        </w:rPr>
        <w:t>5</w:t>
      </w:r>
      <w:r>
        <w:t>. En su escrito de alegaciones, el Abogado del Estado se reitera en las contenidas en la demanda, e indica que el interés efectivo y directo que ostentaba el Fondo de Garantía Salarial en el proceso, derivado de la posible insolvencia posterior de los formalmente condenados, se ve ratificado con el examen de las actuaciones, puesto que se ha dictado Auto de insolvencia de la Sociedad condenada lo que produce ipso iure la responsabilidad del Fondo basado en el título jurídico de esa Sentencia contra la que se denegó el recurso por no aparecer como formalmente condenada. La condición de parte del Fondo de Garantía Salarial aparece claramente en el art. 23 de la LPL de 1990, y la ligazón de su condición de parte a la responsabilidad que se pudiera derivar posteriormente en el abono de salarios e indemnizaciones. Imposibilitar el acceso a los recursos supone una vulneración del art. 24.1 C.E. que debe ser reparada en amparo.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La representación del Banco de Crédito Industrial y de la Sociedad de Gestión de Buques se opone a la estimación del recurso, por estimar que la negativa de legitimación del Fondo de Garantía Salarial para recurrir contra la Sentencia, está suficientemente fundada y es reiteración de una consolidada jurisprudencia del Tribunal Supremo que declara la inadmisibilidad de los recursos interpuestos por la parte absuelta, dada la necesidad de un interés legitimador para recurrir por resultar perjudicado por la Sentencia o resolución que se recurre. En el presente caso el Fondo de Garantía Salarial fue absuelto, y esa doctrina jurisprudencial no podría dejarse de aplicar sin discriminación a ese organismo. Si se reconoce al Fondo capacidad para recurrir lo es con las mismas limitaciones que el resto de los litigantes, sin poder impugnar la Sentencia absolutoria. </w:t>
      </w:r>
    </w:p>
    <w:p w:rsidR="00FE0907" w:rsidRDefault="00FE0907" w:rsidP="00FE0907">
      <w:pPr>
        <w:pStyle w:val="TextoNormal"/>
      </w:pPr>
      <w:r>
        <w:t xml:space="preserve">No obsta lo anterior el que la Sentencia absolutoria del Fondo añada "sin perjuicio de las responsabilidades que le pudieran alcanzar en fase de ejecución y caso de insolvencia", por tratarse de responsabilidades que derivan no de la Sentencia sino de la Ley, y sin necesidad de que el Fondo sea llamado al proceso, salvo que se trate de empresarios ya declarados insolventes. La anómala situación que se plantea en este caso obedece al indebido </w:t>
      </w:r>
      <w:r>
        <w:lastRenderedPageBreak/>
        <w:t>llamamiento al proceso del Fondo de Garantía Salarial, quien en cualquier caso, al haber sido absuelto no puede recurrir la Sentencia so pretexto del cumplimiento de una obligación legal que exige previamente la declaración de insolvencia de la condenada, en cuyos trámites puede intervenir el recurrente y ejercitar todos los derechos y acciones de que se cree asistido, sin que se cree en ningún momento situación de indefensión.</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Ministerio Fiscal, tras recordar el Auto de este Tribunal 185 de 3 de febrero , señala que el derecho al recurso integra el contenido al derecho fundamental del art. 24.1, lo que implica que la legalidad ordinaria ha de interpretarse en el sentido más favorable a la efectividad del derecho fundamental, siendo un requisito de forma para el acceso a los recursos la legitimidad para recurrir de la que carece quien fue absuelto en la instancia, pero sí quien pueda resultar afectado o perjudicado por la Sentencia. </w:t>
      </w:r>
    </w:p>
    <w:p w:rsidR="00FE0907" w:rsidRDefault="00FE0907" w:rsidP="00FE0907">
      <w:pPr>
        <w:pStyle w:val="TextoNormal"/>
      </w:pPr>
      <w:r>
        <w:t xml:space="preserve">El Fondo de Garantía Salarial satisface a los trabajadores despedidos indemnizaciones fijadas en resolución judicial en caso de insolvencia de la empresa condenada. Si la empresa condenada por el despido de la trabajadora demandante resultara insolvente, el FOGASA había de responder en los términos que establece el art. 33 E.T.. Tiene pues interés legítimo para intentar que la Sentencia judicial condene no sólo a la sociedad condenada, sino también solidariamente a las otras dos sociedades demandadas, pues de esa forma será más difícil que la responsabilidad recaiga finalmente en contra del FOGASA. Negarle a éste legitimación -aparte de no ser consecuente con la misma Sentencia, que no absuelve en todo caso al Fondo, sino sólo si resultara solvente la condenada, y con la doctrina del propio Tribunal Central de Trabajo- constituye una interpretación formalista y obstaculizadora del derecho fundamental de acceso al recurso contraria a la necesaria interpretación favorable a la interpretación del derecho, por lo que debe otorgarse el amparo solicitado. </w:t>
      </w:r>
    </w:p>
    <w:p w:rsidR="00FE0907" w:rsidRDefault="00FE0907" w:rsidP="00FE0907">
      <w:pPr>
        <w:pStyle w:val="TextoNormal"/>
      </w:pPr>
      <w:r>
        <w:t>No ha formulado alegaciones la representación de doña María Teresa Paz López.</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2 de abril de 1992, se señaló para deliberación y votación del presente recurso el día 22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demanda de amparo denuncia violación del derecho a la tutela judicial efectiva, en su manifestación del derecho al recurso legalmente establecido, que se imputa a la Sentencia del Tribunal Superior de Justicia de Madrid que no entró a conocer sobre el fondo del recurso de suplicación formulado por el organismo recurrente por entender que el mismo carecía de legitimación activa para recurrir al no haber sido condenado en la instancia. La Sentencia recurrida invoca, para justificar su desestimación del recurso sin entrar a conocer del fondo del asunto, una reiterada doctrina del antiguo Tribunal Central de Trabajo, según la cual para la interposición del recurso de suplicación era indispensable no sólo haber ostentado en el proceso la condición de parte, sino además que la Sentencia produzca en el recurrente un gravamen o perjuicio en su parte dispositiva por lo que ha de excluirse de esa legitimación al Fondo de Garantía Salarial (en adelante FOGASA) que habría sido absuelto en la instancia.</w:t>
      </w:r>
    </w:p>
    <w:p w:rsidR="00FE0907" w:rsidRDefault="00FE0907" w:rsidP="00FE0907">
      <w:pPr>
        <w:pStyle w:val="TextoNormal"/>
      </w:pPr>
      <w:r>
        <w:t xml:space="preserve">Para la entidad recurrente la absolución en la Sentencia de despido, sólo tenía alcance en la condición de deudor principal pero no afectaba a su eventual responsabilidad de abono de las indemnizaciones en caso de insolvencia de la empresa condenada, de acuerdo a la art. 33 E.T., como se indicaba en la parte dispositiva de la Sentencia al añadir "sin </w:t>
      </w:r>
      <w:r>
        <w:lastRenderedPageBreak/>
        <w:t>perjuicio de las responsabilidades que le pudieren alcanzar en fase de ejecución y caso de insolvencia".  Por ello, entiende que debería habérsele reconocido legitimación para recurrir la Sentencia que le perjudicaba.</w:t>
      </w:r>
    </w:p>
    <w:p w:rsidR="00FE0907" w:rsidRDefault="00FE0907" w:rsidP="00FE0907">
      <w:pPr>
        <w:pStyle w:val="TextoNormal"/>
      </w:pPr>
      <w:r>
        <w:t>No es necesario recordar que la determinación del alcance de las normas procesales y la precisión de los requisitos de procedibilidad pertenece en principio al ámbito y los márgenes de la interpretación de la legalidad ordinaria que corresponde a los órganos judiciales, dentro de cuya competencia se incluye velar por el cumplimiento de las formas y requisitos procesales, entre ellos el que la prestación judicial sea instada por quien esté legitimado para ello y a través de cauces y formas procesales adecuados (ATC 100/1985, fundamento jurídico 2º). No obstante si el rechazo del recurso por falta de legitimación está basado en un motivo inexistente o en una interpretación arbitraría o infundada del requisito, que supone una denegación de tutela judicial, esa decisión afecta al derecho fundamental que reconoce y garantiza el art. 24.1 C.E..  Sólo a tan limitado efecto, corresponde al Tribunal Constitucional comprobar la razonabilidad de la decisión que impedido un pronunciamiento sobre el fondo del recurso.</w:t>
      </w:r>
    </w:p>
    <w:p w:rsidR="00FE0907" w:rsidRDefault="00FE0907" w:rsidP="00FE0907">
      <w:pPr>
        <w:pStyle w:val="TextoNormal"/>
      </w:pPr>
    </w:p>
    <w:p w:rsidR="00FE0907" w:rsidRDefault="00FE0907" w:rsidP="00FE0907">
      <w:pPr>
        <w:pStyle w:val="TextoNormal"/>
      </w:pPr>
      <w:r w:rsidRPr="00FE0907">
        <w:rPr>
          <w:rStyle w:val="NumeroAFNegritaCaracter"/>
        </w:rPr>
        <w:t>2</w:t>
      </w:r>
      <w:r>
        <w:t>. Tiene razón el Ministerio Fiscal cuando afirma que la Sentencia impugnada ha hecho una aplicación mecánica e infundada del requisito de la legitimación para recurrir poniendo el acento en un dato puramente formal, el fallo absolutorio que afectaba a su consideración como deudor principal, prescindiendo del decisivo dato sustancial de que, de acuerdo al art.  33 E.T.  la Sentencia imponía un gravamen o perjuicio eventual a la recurrente.</w:t>
      </w:r>
    </w:p>
    <w:p w:rsidR="00FE0907" w:rsidRDefault="00FE0907" w:rsidP="00FE0907">
      <w:pPr>
        <w:pStyle w:val="TextoNormal"/>
      </w:pPr>
      <w:r>
        <w:t>Esta absolución formal no supone, sin embargo, una liberación de cualquier gravamen derivado de esa Sentencia, puesto que, dada la peculiar posición del FOGASA como garante ex lege (art. 33 E.T.)  de las indemnizaciones establecidas en la Sentencia, en la eventualidad de la insolvencia, normalmente declarada posteriormente, del empleador condenado, la Sentencia que trató infructuosamente de impugnar constituía una primera premisa o título para, tras la posterior declaración de insolvencia, originar la obligación del Fondo de pagar directamente las correspondientes indemnizaciones.  Que esa eventualidad era muy posible, dada la situación financiera de la sociedad demandada, explica que la trabajadora despedida llamase al proceso al FOGASA, cuya intervención en el mismo en ningún caso podía ser entendida en condición de empresa demandada, sino como eventual garante de la responsabilidad pecuniaria de la misma.  Mediante su recurso el FOGASA pretendía que la Sentencia condenatoria se ampliara también a otras dos sociedades, absueltas en la instancia, pero que para aquel eran presuntamente continuadoras de la empresa de la que era titular la unica sociedad condenada. El recurso trataba pues de obtener la ampliación de la esfera de los empleadores condenados, reduciendo consecuentemente el riesgo visible de la responsabilidad del FOGASA por la declaración de insolvencia de la sociedad condenada como empleadora, que efectivamente se produjo con posterioridad a la firmeza de la Sentencia, que fue consentida por la sociedad demandada posiblemente por contar con su propia insolvencia.</w:t>
      </w:r>
    </w:p>
    <w:p w:rsidR="00FE0907" w:rsidRDefault="00FE0907" w:rsidP="00FE0907">
      <w:pPr>
        <w:pStyle w:val="TextoNormal"/>
      </w:pPr>
      <w:r>
        <w:t xml:space="preserve">Paradojicamente en este caso la empresa formalmente condenada, al ser insolvente, podía carecer materialmente de interés en recurrir la Sentencia, mientras que el FOGASA, no habiendo sido condenado en la Sentencia, detentaba un interés real y efectivo, en cuanto que en la realidad el sujeto pasivo efectivo a cuyo cargo había de correr el pago de las correspondientes indemnizaciones, era el FOGASA y no la sociedad condenada, dada su insolvencia. El rechazo al recurso ha supuesto así, que las indemnizaciones impuestas en la Sentencia de instancia hayan de ser abonadas a cargo de los limitados recursos públicos </w:t>
      </w:r>
      <w:r>
        <w:lastRenderedPageBreak/>
        <w:t>que administra el Fondo en vez de, si fuera cierta la tesis defendida en el recurso, por otras sociedades manifiestamente solventes.  El FOGASA, aunque su pretensión se fundara en una relación jurídica ajena, tenía un interés legítimo para contradecir una decisión cuyo destinatario mediato podía ser, y de hecho era, pues aún no siendo titular pasivo de la acción principal ejercida, su situación sustancial de eventual responsable subsidiario en cuya condición había intervenido como parte en la instancia, le legitimaba para dirigirse en vía de recurso al Tribunal para obtener de él tutela judicial mediante la impugnación de la Sentencia que le implicaba, "como lógica consecuencia de los efectos que la Sentencia puede tener para el referido Fondo, de conformidad con las responsabilidades patrimoniales que en tales casos se derivan para él, de acuerdo con el art.  33 E.T.", como ha afirmado nuestro Tribunal Supremo" (STS de 15 de julio de 1985).</w:t>
      </w:r>
    </w:p>
    <w:p w:rsidR="00FE0907" w:rsidRDefault="00FE0907" w:rsidP="00FE0907">
      <w:pPr>
        <w:pStyle w:val="TextoNormal"/>
      </w:pPr>
      <w:r>
        <w:t>Aunque en la instancia se discutió simplemente sobre la calificación del despido y la existencia o nó de subrogación empresarial, sin tratar, por no ser procedente, de la eventual insolvencia de la empresa condenada, la temática de la subrogación empresarial, objeto único del recurso, incidía muy directamente en la posibilidad de que en la fase de ejecución dela Sentencia pudieran nacer efectivamente la responsabilidad del FOGASA.  Existía una conexión íntíma entre el fallo de la Sentencia de instancia, la responsabilidad legal, de carácter subsidiario, del Fondo, y el objeto del recurso, la ampliación de las sociedades condenadas.</w:t>
      </w:r>
    </w:p>
    <w:p w:rsidR="00FE0907" w:rsidRDefault="00FE0907" w:rsidP="00FE0907">
      <w:pPr>
        <w:pStyle w:val="TextoNormal"/>
      </w:pPr>
      <w:r>
        <w:t>Alcanza relevancia constitucional negar erroneamente que la parte dispositiva de la Sentencia de despido no producía un perjuicio o gravamen al organismo recurrente, y que los efectos de la cosa juzgada de la Sentencia se proyectaban también sobre él de acuerdo a la responsabilidad que establece al respecto el art.  33 E.T., como reconoció el Auto de la Magistratura de Trabajo que tuvo por anunciado el recurso.  Por eso, la desestimación del recurso sin entrar el fondo del mismo, está basada en un motivo legalmente inexistente, la falta de un interés para recurrir, lo que supone una interpretación rigorista, formal y arbitraria de los requisitos procesales que implica una denegación injustificada de tutela judicial en la fase impugnatoria que afecta y lesiona el derecho fundamental a la tutela judicial efectiva del art. 24.1 C.E. del recurrente, por lo que el presente recurso ha de ser estimado.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Otorgar el amparo solicitado por el Fondo de Garantía Salarial y, en su virtud:</w:t>
      </w:r>
    </w:p>
    <w:p w:rsidR="00FE0907" w:rsidRDefault="00FE0907" w:rsidP="00FE0907">
      <w:pPr>
        <w:pStyle w:val="TextoNormal"/>
      </w:pPr>
      <w:r>
        <w:t>1º. Reconocer el derecho a la tutela judicial efectiva del recurrente en su vertiente del derecho al recurso</w:t>
      </w:r>
    </w:p>
    <w:p w:rsidR="00FE0907" w:rsidRDefault="00FE0907" w:rsidP="00FE0907">
      <w:pPr>
        <w:pStyle w:val="TextoNormal"/>
      </w:pPr>
      <w:r>
        <w:t>2º. Declarar nula la Sentencia de la Sala de lo Social del Tribunal Superior de Justicia de Madrid de 3 de octubre de 1989 (recurso de suplicación 617-M/89).</w:t>
      </w:r>
    </w:p>
    <w:p w:rsidR="00FE0907" w:rsidRDefault="00FE0907" w:rsidP="00FE0907">
      <w:pPr>
        <w:pStyle w:val="TextoNormal"/>
      </w:pPr>
      <w:r>
        <w:t>3º. Retrotraer las actuaciones al momento anterior a que la Sala de lo Social del Tribunal Superior de Justicia de Madrid, dicte nueva Sentencia resolviendo sobre el fondo del recurso.</w:t>
      </w:r>
    </w:p>
    <w:p w:rsidR="00FE0907" w:rsidRDefault="00FE0907" w:rsidP="00FE0907">
      <w:pPr>
        <w:pStyle w:val="TextoNormal"/>
      </w:pPr>
    </w:p>
    <w:p w:rsidR="00FE0907" w:rsidRDefault="00FE0907" w:rsidP="00FE0907">
      <w:pPr>
        <w:pStyle w:val="TextoNormal"/>
      </w:pPr>
      <w:r>
        <w:lastRenderedPageBreak/>
        <w:t>Publíquese esta Sentencia en el "Boletín Oficial del Estado"</w:t>
      </w:r>
    </w:p>
    <w:p w:rsidR="00FE0907" w:rsidRDefault="00FE0907" w:rsidP="00FE0907">
      <w:pPr>
        <w:pStyle w:val="TextoNormal"/>
      </w:pPr>
      <w:r>
        <w:t>Dada en Madrid, a veintitrés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4" w:name="SENTENCIA_1992_61"/>
      <w:r>
        <w:lastRenderedPageBreak/>
        <w:t>SENTENCIA 61/1992, de 23 de abril de 1992</w:t>
      </w:r>
    </w:p>
    <w:bookmarkEnd w:id="64"/>
    <w:p w:rsidR="00FE0907" w:rsidRDefault="00FE0907" w:rsidP="00FE0907">
      <w:pPr>
        <w:pStyle w:val="TtuloResolucin"/>
      </w:pPr>
      <w:r>
        <w:t>Sala Segunda</w:t>
      </w:r>
    </w:p>
    <w:p w:rsidR="00FE0907" w:rsidRDefault="00FE0907" w:rsidP="00FE0907">
      <w:pPr>
        <w:pStyle w:val="TtuloResolucin"/>
      </w:pPr>
    </w:p>
    <w:p w:rsidR="00FE0907" w:rsidRDefault="00FE0907" w:rsidP="00FE0907">
      <w:pPr>
        <w:pStyle w:val="TtuloBOE"/>
      </w:pPr>
      <w:r>
        <w:t>("BOE" núm. 115, de 13 de mayo de 1992)</w:t>
      </w:r>
    </w:p>
    <w:p w:rsidR="00FE0907" w:rsidRDefault="00FE0907" w:rsidP="00FE0907">
      <w:pPr>
        <w:pStyle w:val="TtuloBOE"/>
      </w:pPr>
    </w:p>
    <w:p w:rsidR="00FE0907" w:rsidRDefault="00FE0907" w:rsidP="00FE0907">
      <w:pPr>
        <w:pStyle w:val="SntesisDescriptiva"/>
      </w:pPr>
      <w:r>
        <w:t>ECLI:ES:TC:1992:61</w:t>
      </w:r>
    </w:p>
    <w:p w:rsidR="00FE0907" w:rsidRDefault="00FE0907" w:rsidP="00FE0907">
      <w:pPr>
        <w:pStyle w:val="SntesisDescriptiva"/>
      </w:pPr>
    </w:p>
    <w:p w:rsidR="00FE0907" w:rsidRDefault="00FE0907" w:rsidP="00FE0907">
      <w:pPr>
        <w:pStyle w:val="SntesisDescriptiva"/>
      </w:pPr>
      <w:r>
        <w:t>Recurso de amparo 334/1990. Contra Sentencia del Tribunal Superior de Justicia de Baleares, confirmando Auto del juzgado de lo Social núm. 2 de Baleares en autos sobre despido.</w:t>
      </w:r>
    </w:p>
    <w:p w:rsidR="00FE0907" w:rsidRDefault="00FE0907" w:rsidP="00FE0907">
      <w:pPr>
        <w:pStyle w:val="SntesisDescriptiva"/>
      </w:pPr>
    </w:p>
    <w:p w:rsidR="00FE0907" w:rsidRDefault="00FE0907" w:rsidP="00FE0907">
      <w:pPr>
        <w:pStyle w:val="SntesisAnaltica"/>
      </w:pPr>
      <w:r>
        <w:t>Supuesta vulneración del derecho a la tutela judicial efectiva: defecto de procedimiento puramente formal</w:t>
      </w:r>
    </w:p>
    <w:p w:rsidR="00FE0907" w:rsidRDefault="00FE0907" w:rsidP="00FE0907">
      <w:pPr>
        <w:pStyle w:val="SntesisAnaltica"/>
      </w:pPr>
    </w:p>
    <w:p w:rsidR="00FE0907" w:rsidRDefault="00FE0907" w:rsidP="00FE0907">
      <w:pPr>
        <w:pStyle w:val="Extracto"/>
      </w:pPr>
      <w:r>
        <w:t>1.</w:t>
      </w:r>
      <w:r>
        <w:tab/>
        <w:t>No cabe en el proceso de amparo un control pleno de la aplicación regular de las normas procesales, sino sólo un control limitado de la misma en cuanto suponga violación del derecho fundamental alegado [F.J. 1].</w:t>
      </w:r>
    </w:p>
    <w:p w:rsidR="00FE0907" w:rsidRDefault="00FE0907" w:rsidP="00FE0907">
      <w:pPr>
        <w:pStyle w:val="Extracto"/>
      </w:pPr>
    </w:p>
    <w:p w:rsidR="00FE0907" w:rsidRDefault="00FE0907" w:rsidP="00FE0907">
      <w:pPr>
        <w:pStyle w:val="Extracto"/>
      </w:pPr>
      <w:r>
        <w:t>2.</w:t>
      </w:r>
      <w:r>
        <w:tab/>
        <w:t>En diversas ocasiones, este Tribunal ha afirmado que el derecho fundamental a la ejecución de la Sentencia de despido puede ser también satisfecho a través de una condena sustitutiva por su equivalente pecuniario (STC 58/1983), pero si es constitucional «la sustitución de la readmisión por una indemnización, el problema de cuándo procede esa sustitución es ajeno al derecho constitucional» y corresponde al Juez ordinario «considerar si la voluntad opositora de la Empresa obliga a utilizar otro medio de ejecución; cualquier problema que se suscite al respecto es un problema de legalidad» (ATC 393/1984) [F.J. 3].</w:t>
      </w:r>
    </w:p>
    <w:p w:rsidR="00FE0907" w:rsidRDefault="00FE0907" w:rsidP="00FE0907">
      <w:pPr>
        <w:pStyle w:val="Extracto"/>
      </w:pPr>
    </w:p>
    <w:p w:rsidR="00FE0907" w:rsidRDefault="00FE0907" w:rsidP="00FE0907">
      <w:pPr>
        <w:pStyle w:val="Extracto"/>
      </w:pPr>
      <w:r>
        <w:t>3.</w:t>
      </w:r>
      <w:r>
        <w:tab/>
        <w:t>A efectos del cumplimiento de la Sentencia resulta constitucionalmente indiferente, quién sea (trabajador o empresario en caso de despido)el que adopte el primer paso al respecto, siempre que se llegue al resultado de la efectividad e integridad de ese cumplimiento [F.J. 3].</w:t>
      </w:r>
    </w:p>
    <w:p w:rsidR="00FE0907" w:rsidRDefault="00FE0907" w:rsidP="00FE0907">
      <w:pPr>
        <w:pStyle w:val="Extracto"/>
      </w:pPr>
    </w:p>
    <w:p w:rsidR="00FE0907" w:rsidRDefault="00FE0907" w:rsidP="00FE0907">
      <w:pPr>
        <w:pStyle w:val="Extracto"/>
      </w:pPr>
      <w:r>
        <w:t>4.</w:t>
      </w:r>
      <w:r>
        <w:tab/>
        <w:t>Este Tribunal ha afirmado que, aunque la economía procesal es un valor atendible en el proceso, no puede cubrir la violación de un derecho fundamental, y en concreto el incumplimiento de una garantía elemental como es la audiencia del afectado. La falta de audiencia tiene trascendencia constitucional en cuanto haya podido ocasionar, no sólo formal sino también materialmente, una indefensión de la recurrente que no haya podido ser remedida por las resoluciones judiciales posteriores, lo que ha de ser valorado a la vista de las circunstancias del caso [F.J. 4].</w:t>
      </w:r>
    </w:p>
    <w:p w:rsidR="00FE0907" w:rsidRDefault="00FE0907" w:rsidP="00FE0907">
      <w:pPr>
        <w:pStyle w:val="Extracto"/>
      </w:pPr>
    </w:p>
    <w:p w:rsidR="00FE0907" w:rsidRDefault="00FE0907" w:rsidP="00FE0907">
      <w:pPr>
        <w:pStyle w:val="Extracto"/>
      </w:pPr>
      <w:r>
        <w:t>5.</w:t>
      </w:r>
      <w:r>
        <w:tab/>
        <w:t>La invocación de un derecho fundamental ha de ejercitarse, como todo derecho, conforme a las exigencias de la buena fe (art. 7.1 C.C.)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 xml:space="preserve">La Sala Segunda del Tribunal Constitucional compuesta por don Francisco Rubio Llorente, Presidente en funciones, don Eugenio Díaz Eimil, don Miguel Rodríguez-Piñero y </w:t>
      </w:r>
      <w:r>
        <w:lastRenderedPageBreak/>
        <w:t>Bravo Ferrer, don José Luis de los Mozos y de los Mozos, don Alvaro Rodríguez Bereijo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334/90, interpuesto por doña Angeles Soler Soler, contra Sentencia de la Sala de lo Social del Tribunal Superior de Justicia de Baleares de 27 de diciembre de 1989. Ha sido parte el Banco de Bilbao Vizcaya, S.A., y ha intervenido el Ministerio Fiscal. Fue Ponente el Magistrado don Miguel Rodríguez-Piñero y Bravo-Ferrer,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presentado el 9 de febrero de 1990 en este Tribunal, don Luis Pastor Ferrer, Procurador de los Tribunales, interpuso, en nombre y representación de doña Angeles Soler Soler, recurso de amparo contra la sentencia de la Sala de lo Social del Tribunal Superior de Justicia de Baleares de 27 de diciembre de 1989 que confirmó el Auto dictado por el Juzgado de lo Social núm. 2 de Baleares el 2 de octubre anterior.</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antecedentes que motivan la interposición de la demanda son, en síntesis, los siguientes: </w:t>
      </w:r>
    </w:p>
    <w:p w:rsidR="00FE0907" w:rsidRDefault="00FE0907" w:rsidP="00FE0907">
      <w:pPr>
        <w:pStyle w:val="TextoNormal"/>
      </w:pPr>
      <w:r>
        <w:t xml:space="preserve">a) La recurrente, trabajadora fija discontinua al servicio del Banco de Bilbao Vizcaya, S.A., no fue llamada al trabajo en el año 1989, contratándose en su lugar a otra persona. </w:t>
      </w:r>
    </w:p>
    <w:p w:rsidR="00FE0907" w:rsidRDefault="00FE0907" w:rsidP="00FE0907">
      <w:pPr>
        <w:pStyle w:val="TextoNormal"/>
      </w:pPr>
      <w:r>
        <w:t xml:space="preserve">b) Ante esta circunstancia, dedujo demanda por despido contra la citada entidad cuyo conocimiento correspondió al Juzgado de lo Social núm. 2 de Baleares. Este dictó Sentencia el 21 de julio de 1989, declarando la nulidad del despido y condenando a la demandada a readmitir a la trabajadora "en su mismo puesto de trabajo e iguales condiciones, con abono de los salarios dejados de percibir que, hasta la fecha de la presente resolución, se elevan a 462.000,- pts.". </w:t>
      </w:r>
    </w:p>
    <w:p w:rsidR="00FE0907" w:rsidRDefault="00FE0907" w:rsidP="00FE0907">
      <w:pPr>
        <w:pStyle w:val="TextoNormal"/>
      </w:pPr>
      <w:r>
        <w:t xml:space="preserve">c) La Sentencia fue notificada a la parte demandante el día 30 de julio de 1989. El mismo día y en el mismo acto se le notificó Auto dictado en igual fecha en cuya parte dispositiva se declaraba extinguida la relación laboral y se condenaba a la demandada a pagar la indemnización y los salarios de tramitación correspondientes. A este Auto, le había precedido una comparecencia de la empresa demandada, realizada en el mismo día, en la que se solicitaba del Juzgado la inmediata extinción del contrato y la fijación de las indemnizaciones. Comparecencia de la que no se dio traslado a la ahora recurrente. </w:t>
      </w:r>
    </w:p>
    <w:p w:rsidR="00FE0907" w:rsidRDefault="00FE0907" w:rsidP="00FE0907">
      <w:pPr>
        <w:pStyle w:val="TextoNormal"/>
      </w:pPr>
      <w:r>
        <w:t>d) Esta formuló recurso de reposición que fue desestimado por Auto de 2 de octubre de 1989. Interpuesto recurso de suplicación, fue asimismo desestimado por Sentencia de la Sala de lo Social del Tribunal Siuperior de Justicia de Baleares de 27 de diciembre de 1989.</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xml:space="preserve">. La demanda invoca el art. 24.1 de la Constitución: </w:t>
      </w:r>
    </w:p>
    <w:p w:rsidR="00FE0907" w:rsidRDefault="00FE0907" w:rsidP="00FE0907">
      <w:pPr>
        <w:pStyle w:val="TextoNormal"/>
      </w:pPr>
      <w:r>
        <w:t xml:space="preserve">a) El art. 55.4 E.T. contempla los efectos del despido nulo, estableciéndolos en la "readmisión inmediata del trabajador con abono de los salarios dejados de percibir". Sin embargo, en la Ley de Procedimiento Laboral de 1980, se autoriza la "sustitución de la readmisión (como cumplimiento in natura del mandato judicial) por una indemnización". En concreto, su art. 211 regula los efectos de la no readmisión: un Auto declarará extinguida la relación laboral con derecho del trabajador a percibir una indemnización y los salarios de tramitación desde la fecha de la notificación de la Sentencia hasta la fecha de esta resolución. Sin embargo, esta facultad resolutoria indirecta a iniciativa del empresario ha de venir necesariamente precedida por una serie de trámites legales que fueron omitidos por el juzgador. De un lado, antes de inciarse cualquier gestión ejecutiva hay que aguardar a la firmeza de la Sentencia (art. 200 LPL). De otro, las partes están obligadas, una vez firme, a cumplir concordantemente el mandato del art. 55.4 E.T.; de ahí que el art. 208 LPL establezca que cuando la readmisión hubiera de tener lugar por ministerio de la Ley, deberá el empresario comunicar por escrito al trabajador la fecha de su reincorporación al trabajo, quedando obligado hasta la readmisión a seguir pagando los salarios de tramitación (art. 211.2º, in fine, LPL); en fin, sólo en el supuesto de que el empresario no acceda "buenamente" a la readmisión, habrá de acudir el trabajador a la tutela judicial para solicitar la ejecución del fallo, dentro de los plazos establecidos en el art. 209 LPL. Tras la solicitud, el Juzgado citará a ambas partes a comparecencia (art. 211 LPL) en la que deberá apurar las posibilidades técnicas de readmisión y, "sólo en el supuesto de que no sea posible", accederá a la extinción del contrato. En cualquier caso, la iniciación de este procedimiento corresponde al trabajador como se desprende del art. 209 LPL. </w:t>
      </w:r>
    </w:p>
    <w:p w:rsidR="00FE0907" w:rsidRDefault="00FE0907" w:rsidP="00FE0907">
      <w:pPr>
        <w:pStyle w:val="TextoNormal"/>
      </w:pPr>
      <w:r>
        <w:t>b) La omisión de toda esta tramitación constituye, a juicio de la recurrente, lesión del fundamental derecho a la tutela judicial efectiva por cuanto que le ha causado indefensión. De hecho, en un supuesto similar al presente, el Tribunal Constitucional ha otorgado el amparo (STC 69/1983). A las ponderadas razones que entonces adujo el Tribunal Constitucional habría que añadir, en primer lugar, que la ejecución sólo es posible respecto de Sentencias firmes y, sin embargo, esta exigencia -consagrada, por ejemplo, en el art. 200 LPL- no se cumplió en el presente supuesto. No hay que olvidar que la ahora recurrente pudo anunciar el recurso de suplicación, incluso después de notificado el Auto de extinción y, si no lo hizo, fue sólo para evitar más confusión de la que ya había introducido el Juzgado. De otro lado, la ejecución ha de realizarse siempre a instancia de parte: aunque el empresario también lo había sido en el procedimiento, lo cierto es que no está interesado en la ejecución. De hecho "la actividad de la empresa, refrendada por la actuación del Juzgador, ha estado dirigida a la privación de la ejecución in natura que por designio legal está reservada al actor como beneficiario" de la disposición legal del art. 55.4 E.T. En definitiva, "no se ha abierto el período de ejecución de la Sentencia que al actor le conviene" y "este resultado se ha obtenido sin dar audiencia al trabajador". Sin embargo, toda ejecución requiere, previamente al resultado, la existencia de "una fase interlocutoria". No puede olvidarse además que "al actor no le interesa solicitar o promover la ejecución hasta haber agotado sus posibilidades materiales de obtener el cumplimiento in natura de la Sentencia y hasta agotar en este ejercicio de sus medios lícitos de presión el curso temporal de treinta días" previsto en el art. 210 LPL. Circunstancia esta última que le asegura un beneficio adicional frente al incumplimiento empresarial: un mes más de salarios de tramitación, de importancia esencial, por ejemplo, a efectos de Seguridad Social. Este salario de tramitación adicional "constituye una garantía de tutela judicial a favor del trabajador" que no puede ser alterada so riesgo de igualar de forma definitiva el despido nulo con el im</w:t>
      </w:r>
      <w:r>
        <w:lastRenderedPageBreak/>
        <w:t>procedente. En ningún caso, en fin, es merecedor de protección alguna "el afán antisocial de la empresa tendente a bloquear la readmisión in natura mediante la paralización de los medios idóneos de que dispone el trabajador para forzarla".</w:t>
      </w:r>
    </w:p>
    <w:p w:rsidR="00FE0907" w:rsidRDefault="00FE0907" w:rsidP="00FE0907">
      <w:pPr>
        <w:pStyle w:val="TextoNormal"/>
      </w:pPr>
    </w:p>
    <w:p w:rsidR="00FE0907" w:rsidRDefault="00FE0907" w:rsidP="00FE0907">
      <w:pPr>
        <w:pStyle w:val="TextoNormal"/>
      </w:pPr>
      <w:r w:rsidRPr="00FE0907">
        <w:rPr>
          <w:rStyle w:val="NumeroAFNegritaCaracter"/>
        </w:rPr>
        <w:t>4</w:t>
      </w:r>
      <w:r>
        <w:t>. En providencia de 26 de febrero de 1990, la Sección Tercera de este Tribunal acordó, conforme a lo dispuesto en el art. 50.5 LOTC, conceder a la recurrente plazo de diez días para presentar copia de los Autos dictados por el Juzgado de lo Social núm. 2 de Baleares el 30 de julio y el 2 de octubre de 1989 y para acreditar fehacientemente la fecha de notificación de la última resolución recaída así como la realización, en el recurso de reposición, de la preceptiva invocación del derecho fundamental.</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Cumplimentado el requerimiento y mediante providencia de 4 de mayo de 1990, la referida Sección acordó, conforme a lo dispuesto en el art. 50.3 LOTC, conceder a la recurrente y al Ministerio Fiscal plazo común de diez días respecto de la concurrencia de la causa de inadmisión del art. 50.1 c) LOTC. </w:t>
      </w:r>
    </w:p>
    <w:p w:rsidR="00FE0907" w:rsidRDefault="00FE0907" w:rsidP="00FE0907">
      <w:pPr>
        <w:pStyle w:val="TextoNormal"/>
      </w:pPr>
      <w:r>
        <w:t>En sus alegaciones, la representación de la solicitante de amparo insiste en la similitud entre el presente supuesto y el que se resolvió por la STC 69/1983 por lo que interesa la admision a trámite de la demanda. Por su parte, el Ministerio Fiscal, aun destacando el carácter fundado de las resolucioones judiciales impugnadas, interesa también la admisión a trámite de la demanda por la misma razón.</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providencia de 18 de junio de 1990, la referida Sección acordó admitir a trámite la demanda de amparo y solicitar a los órganos judiciales intervinientes en la vía previa certificación o copia adverada de las actuaciones, así como la práctica de los emplazamientos que fueran procedentes. El 25 de julio de 1990 se presentó por don Juan Ignacio Avila del Hierro, Procurador de los Tribunales, escrito por el que se personaba en este procedimiento en representación del Banco de Bilbao Vizcaya, S.A. </w:t>
      </w:r>
    </w:p>
    <w:p w:rsidR="00FE0907" w:rsidRDefault="00FE0907" w:rsidP="00FE0907">
      <w:pPr>
        <w:pStyle w:val="TextoNormal"/>
      </w:pPr>
      <w:r>
        <w:t>Por providencia de 10 de septiembre de 1990, la Sección Cuarta acordó acusar recibo de las actuaciones remitidas por los órganos judiciales, tener por comparecido al Banco de Bilbao Vizcaya, S.A. y, conforme al art. 52.1 LOTC, dar vista de las actuaciones a las partes personadas y al Ministerio Fiscal, al objeto de que, en plazo común de veinte días, formularan las alegaciones que estimasen oportunas.</w:t>
      </w:r>
    </w:p>
    <w:p w:rsidR="00FE0907" w:rsidRDefault="00FE0907" w:rsidP="00FE0907">
      <w:pPr>
        <w:pStyle w:val="TextoNormal"/>
      </w:pPr>
    </w:p>
    <w:p w:rsidR="00FE0907" w:rsidRDefault="00FE0907" w:rsidP="00FE0907">
      <w:pPr>
        <w:pStyle w:val="TextoNormal"/>
      </w:pPr>
      <w:r w:rsidRPr="00FE0907">
        <w:rPr>
          <w:rStyle w:val="NumeroAFNegritaCaracter"/>
        </w:rPr>
        <w:t>7</w:t>
      </w:r>
      <w:r>
        <w:t>. La representación de la solicitante de amparo, en sus alegaciones, se remite al escrito de demanda "a fin de evitar repeticiones innecesarias".</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Por su parte, la representación del Banco de Bilbao Vizcaya, S.A., solicita la desestimación del recurso de amparo toda vez que no ha existido lesión alguna de los derechos fundamentales sancionados en el art. 24.1 C.E.: </w:t>
      </w:r>
    </w:p>
    <w:p w:rsidR="00FE0907" w:rsidRDefault="00FE0907" w:rsidP="00FE0907">
      <w:pPr>
        <w:pStyle w:val="TextoNormal"/>
      </w:pPr>
      <w:r>
        <w:t xml:space="preserve">a) Es cierto que, ex art. 200 LPL, la ejecución sólo puede abrirse respecto de Sentencias firmes. Pero no lo es que, por no haberse aguardado a la firmeza de la Sentencia impugnada, se haya lesionado el derecho a la tutela judicial efectiva de la recurrente. La Sentencia dictada por el Juzgado de lo Social había estimado íntegramente la demanda de la trabajadora y, en consecuencia, la circunstancia de que se produjera su ejecución sin esperar a la firmeza no perjudicó su derecho al recurso de suplicación ya que nunca lo hubiera podido formular, salvo "como argucia procesal" (art. 11.2 LOPJ). En rigor la única perjudicada por la Sentencia era la empresa, mas ésta aceptó el fallo en su integridad. Todo ello sin </w:t>
      </w:r>
      <w:r>
        <w:lastRenderedPageBreak/>
        <w:t xml:space="preserve">perjuicio de que, en cualquier caso, la parte recurrente pudo efectivamente intentar el recurso de suplicación y no lo hizo. </w:t>
      </w:r>
    </w:p>
    <w:p w:rsidR="00FE0907" w:rsidRDefault="00FE0907" w:rsidP="00FE0907">
      <w:pPr>
        <w:pStyle w:val="TextoNormal"/>
      </w:pPr>
      <w:r>
        <w:t xml:space="preserve">b) Es asimismo cierto que el art. 55.4 E.T. impone a la empresa la obligación de readmitir al trabajador cuyo despido es declarado nulo. Pero no lo es menos que el incumplimiento de esta obligación conduce al llamado "incidente de no readmisión" (arts. 208 ss. LPL) en el que puede ser sustituída por la indemnización al trabajador, sin que ello resulte inconstitucional (STC 58/1983). En consecuencia, no atenta a la tutela judicial efectiva la sustitución de la readmisión por una indemnización. </w:t>
      </w:r>
    </w:p>
    <w:p w:rsidR="00FE0907" w:rsidRDefault="00FE0907" w:rsidP="00FE0907">
      <w:pPr>
        <w:pStyle w:val="TextoNormal"/>
      </w:pPr>
      <w:r>
        <w:t xml:space="preserve">c) En términos generales, la legitimación para promover la ejecución de una Sentencia corresponde efectivamente a la parte vencedora en el proceso. No por ello, sin embargo, es posible negar en todo caso legitimación a la otra parte. Según la dcotrina, esta circunstancia no es obstáculo para que en determinado supuestos excepcionales sea la parte deudora la que se encuentre facultada para pedir la iniciación del procedimiento ejecutivo siempre que acredite un interés jurídico. Esto último ocurre en el presente caso. Aunque de acuerdo con la normativa procesal laboral la legitimación corresponda al trabajador, ello es así solo porque "el único objeto del tramite de ejecución es la comprobación por el Juzgador de la certeza de la afirmación del trabajador de la negativa empresarial de proceder a la readmisión"; sin embargo, cuando la empresa ha notificado espontáneamente a aquél su voluntad de no readmitir, anticipándose a la acción del trabajador, no puede tacharse de antijurídico que el trámite de ejecución se ponga inmediatamente en marcha. Ello no ocasiona perjuicio alguno al trabajador puesto que no puede reputarse como tal la falta de devengo de salarios de tramitación por la celeridad en la sustanciación de la ejecución. Por el contrario, habida cuenta de que el trabajador no puede compeler a la empresa para proceder a la ejecución, ésta acredita su interés para abrir la ejecución "en la razonable pretensión de acortar el período de salarios de tramitación, máxime ante la proximidad del mes de agosto de vacaciones judiciales". Ello no implica, como afirma la recurrente, asimilar el régimen jurídico de los despidos nulos e improcedentes toda vez que, al margen de que en cualquier caso subsistan diferencias entre unos y otros, ello no es consecuencia más que del propio sistema legal de ejecución de las Sentencias de despido nulo -acerca de cuya constitucionalidad no es posible dudar-. </w:t>
      </w:r>
    </w:p>
    <w:p w:rsidR="00FE0907" w:rsidRDefault="00FE0907" w:rsidP="00FE0907">
      <w:pPr>
        <w:pStyle w:val="TextoNormal"/>
      </w:pPr>
      <w:r>
        <w:t xml:space="preserve">d) En fin, respecto a la omisión de la comparencia de las partes que legalmente ha de preceder al Auto de extinción, la misma no ha producido indefensión. Frente a lo que sostiene la trabajadora, tal omisión no le ha privado de la oportunidad de oponerse a la negativa empresarial de readmisión o de discutir las razones de la empresa puesto que nada de ello puede ser objeto del "incidente de no readmisión". Su único objeto es comprobar la inexistencia de readmisión o la existencia de readmisión irregular, denunciadas por el trabajador en su escrito de iniciación de la ejecución, pero no discutir acerca de la procedencia de la decisión empresarial de no readmitir. En consecuencia, la parte interesada en el trámite de comparecencia es la empresa, contra la que se dirige la ejecución basada en tales circunstancias. Lógicamente, cuando ésta haya manifestado de forma expresa su decisión de no readmitir, "la práctica de los tramites del procedimiento ejecutivo resulta totalmente innecesaria y superflua". La misma STC 69/1983, citada por la recurrente, avala esta conclusión al afirmar que no todo vicio procesal genera indefensión. En este pronunciamiento, lo que se reprochó al órgano judicial no fue haber omitido el procedimiento sino más bien haber apreciado erróneamente que el trámite de ejecución había sido solicitado por el trabajador. </w:t>
      </w:r>
    </w:p>
    <w:p w:rsidR="00FE0907" w:rsidRDefault="00FE0907" w:rsidP="00FE0907">
      <w:pPr>
        <w:pStyle w:val="TextoNormal"/>
      </w:pPr>
      <w:r>
        <w:t>e) En el fondo, de las alegaciones de la recurrente se desprende que el único perjuicio sufrido es la reducción, en un mes, de los salarios de tramnitación. La supuesta indefen</w:t>
      </w:r>
      <w:r>
        <w:lastRenderedPageBreak/>
        <w:t>sión equivale, pues, a una merma económica que no puede ser amparada pues, si bien la Ley impone al empresario el pago de los salarios de tramitación derivados del derecho del trabajador no se le puede obligar a satisfacer "los derivados de trámites meramente dilatorios utilizados para aumentar artificialmente y de forma abusiva su importe".</w:t>
      </w:r>
    </w:p>
    <w:p w:rsidR="00FE0907" w:rsidRDefault="00FE0907" w:rsidP="00FE0907">
      <w:pPr>
        <w:pStyle w:val="TextoNormal"/>
      </w:pPr>
    </w:p>
    <w:p w:rsidR="00FE0907" w:rsidRDefault="00FE0907" w:rsidP="00FE0907">
      <w:pPr>
        <w:pStyle w:val="TextoNormal"/>
      </w:pPr>
      <w:r w:rsidRPr="00FE0907">
        <w:rPr>
          <w:rStyle w:val="NumeroAFNegritaCaracter"/>
        </w:rPr>
        <w:t>9</w:t>
      </w:r>
      <w:r>
        <w:t xml:space="preserve">. En su informe, el Ministerio Fiscal interesa la desestimación de la demanda de amparo. Tras reseñar brevemente los antecedentes, recuerda que, según reiterada doctrina constitucional, "no toda infracción procesal adquiere contenido constitucional sino solamente aquellas que produzcan lesión del derecho de tutela judicial causando indefensión a la parte". Recuerda asimismo que, de acuerdo con anteriores pronunciamientos de este Tribunal, la sustitución de la obligación de readmitir derivada del despido nulo por la de indemnizar no afecta a ningún derecho fundamental (STC 58/1983) y, de otra parte, que esta sustitución no puede llevarse a cabo al margen de los trámites fijados en la LPL pues ello produce indefensión (STC 69/1983). Advierte, en fin, que en el presente supuesto, del mismo modo que ocurría en el resuelto por la STC 69/1983 "ha habido un incumplimiento absoluto de la tramitación prevista en la LPL". </w:t>
      </w:r>
    </w:p>
    <w:p w:rsidR="00FE0907" w:rsidRDefault="00FE0907" w:rsidP="00FE0907">
      <w:pPr>
        <w:pStyle w:val="TextoNormal"/>
      </w:pPr>
      <w:r>
        <w:t xml:space="preserve">Sin embargo, la indefensión formal que deriva de la falta de tramitación conforme a la LPL "puede aparecer en la realidad material debilitada" y, por tanto, carecer de relevancia constitucional. De un lado, "aunque el Magistrado hubiera convocado a las partes para la contradicción del art. 211 LPL, díficilmente la trabajadora hubiera podido conseguir con su defensa un efecto distinto para su despido que el de la indemnización" -sin que este efecto sea contrario al art. 24.1 C.E.-. Así se deduce de la demanda de amparo "que en ningún pasaje señala específicamente cuál haya sido el motivo de su indefensión por no haber tenido oportunidad de alegar algo concreto -como no lo hizo tampoco en su recurso de reposición-". La argumentación se reduce a la afirmación genérica e imprecisa de haber podido agotar sus posibilidades materiales de obtener la ejecución in natura por medio de medios de presión lícitos a los que no se alude. Por otra parte, la trabajadora tampoco manifiesta que tuviera en su mano "la posibilidad de influir con sus argumentos o defensas en una mejora de la cuantía indemnizatoria". En consecuencia, el único interés en la realización de todos los trámites se encuentra en el aumento de los salarios de tramitación, "pero ello nada tiene que ver con la contradicción y convocatorias más arriba aludidas". </w:t>
      </w:r>
    </w:p>
    <w:p w:rsidR="00FE0907" w:rsidRDefault="00FE0907" w:rsidP="00FE0907">
      <w:pPr>
        <w:pStyle w:val="TextoNormal"/>
      </w:pPr>
      <w:r>
        <w:t>En definitiva, tratándose el recurso de amparo de proceso referido a supuestos concretos, es claro que cualquier indefensión que se denuncie "debe señalarse en su aspecto de fondo, poniendo de relieve cual haya sido la defensa o actuación truncada por los órganos jurisdiccionales". Y, no habiéndose demostrado la existencia de una defensa de este tipo, la mera infracción procesal carecerá de relevancia constitucional, resultando innecesario contestar pormenorizadamente al resto de los argumentos de la recurrente.</w:t>
      </w:r>
    </w:p>
    <w:p w:rsidR="00FE0907" w:rsidRDefault="00FE0907" w:rsidP="00FE0907">
      <w:pPr>
        <w:pStyle w:val="TextoNormal"/>
      </w:pPr>
    </w:p>
    <w:p w:rsidR="00FE0907" w:rsidRDefault="00FE0907" w:rsidP="00FE0907">
      <w:pPr>
        <w:pStyle w:val="TextoNormal"/>
      </w:pPr>
      <w:r w:rsidRPr="00FE0907">
        <w:rPr>
          <w:rStyle w:val="NumeroAFNegritaCaracter"/>
        </w:rPr>
        <w:t>10</w:t>
      </w:r>
      <w:r>
        <w:t>. Mediante providencia de 2 de abril de 1992, se señaló para deliberación y fallo el día 22 de abril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La demanda de amparo denuncia violación del art.  24.1 C.E.  por parte de la Sentencia de la Sala de lo Social del Tribunal Superior de Justicia de Baleares en cuanto confirma los Autos dictados por la Magistratura de Trabajo núm. 2 de Palma de Mallorca en ejecución de Sentencia de despido, basando su pretensión constitucional en que en dichos </w:t>
      </w:r>
      <w:r>
        <w:lastRenderedPageBreak/>
        <w:t>Autos se habría dado ejecución a una Sentencia aún no firme, que además se ha omitido la tramitación legalmente prevista para la ejecución de la Sentencia de despido, según la cual corresponde al trabajador, y no al empleador, solicitar la ejecución del fallo, y finalmente en que no se le ha oído para dictar el correspondiente Auto, teniendo en cuenta además que ello ha supuesto una reducción del salario de tramitación adicional que constituye una garantía de tutela judicial en favor del trabajador.</w:t>
      </w:r>
    </w:p>
    <w:p w:rsidR="00FE0907" w:rsidRDefault="00FE0907" w:rsidP="00FE0907">
      <w:pPr>
        <w:pStyle w:val="TextoNormal"/>
      </w:pPr>
      <w:r>
        <w:t>Una vez más este Tribunal ha de conocer sobre la pretensión constitucional basada fundamentalmente en una queja de aplicación incorrecta de preceptos procesales, y una vez más este Tribunal ha de insistir que corresponde en exclusiva la aplicación de esos preceptos a los Jueces ordinarios, careciendo de jurisdicción sobre esa interpretación y aplicación el Tribunal Constitucional salvo en lo que de esa actuación judicial que aquí se denuncia como incorrecta, se derive una violación de un derecho fundamental.  Por ello no cabe en el proceso de amparo un control pleno de la aplicación regular de las normas procesales, sino sólo un control limitado de la misma en cuanto suponga violación del derecho fundamental alegado.  Hemos de examinar, en consecuencia, si efectivamente se han producido las violaciones del derecho a la tutela judicial efectiva que en la demanda se alegan.</w:t>
      </w:r>
    </w:p>
    <w:p w:rsidR="00FE0907" w:rsidRDefault="00FE0907" w:rsidP="00FE0907">
      <w:pPr>
        <w:pStyle w:val="TextoNormal"/>
      </w:pPr>
    </w:p>
    <w:p w:rsidR="00FE0907" w:rsidRDefault="00FE0907" w:rsidP="00FE0907">
      <w:pPr>
        <w:pStyle w:val="TextoNormal"/>
      </w:pPr>
      <w:r w:rsidRPr="00FE0907">
        <w:rPr>
          <w:rStyle w:val="NumeroAFNegritaCaracter"/>
        </w:rPr>
        <w:t>2</w:t>
      </w:r>
      <w:r>
        <w:t>. Debe rechazarse, sin necesidad de un examen particularizado, que se haya violado el derecho fundamental a la tutela judicial de la recurrente por haberse ejecutado la Sentencia en un momento en que aún no era firme. En primer lugar, porque sobre esa violación del derecho fundamental no ha existido la preceptiva invocación del derecho fundamental vulnerado que exige el art. 44.1 c) LOTC, y que debería haberse realizado en el recurso de reposición que la actora formuló frente el Auto de 31 de julio de 1989. Pero es que además de ese mismo recurso se deduce que la recurrente entendió que dicho Auto no le impedía anunciar el recurso de suplicación frente a la Sentencia, e hizo expresa reserva de este derecho, que luego no ejercitó. Sólo la pérdida efectiva de ese derecho al recurso podría haber justificado en su caso la violación del derecho fundamental, pero como en la Sentencia impugnada se razona al ser totalmente favorable a la pretensión actora la Sentencia de instancia, sólo podría haber sido recurrida por la empresa condenada, que renunció a ello al instar su ejecución.  Ninguna lesión del derecho fundamental de la recurrente se le ha podido ocasionar pues por la falta de firmeza de la Sentencia en el momento de su ejecución.</w:t>
      </w:r>
    </w:p>
    <w:p w:rsidR="00FE0907" w:rsidRDefault="00FE0907" w:rsidP="00FE0907">
      <w:pPr>
        <w:pStyle w:val="TextoNormal"/>
      </w:pPr>
    </w:p>
    <w:p w:rsidR="00FE0907" w:rsidRDefault="00FE0907" w:rsidP="00FE0907">
      <w:pPr>
        <w:pStyle w:val="TextoNormal"/>
      </w:pPr>
      <w:r w:rsidRPr="00FE0907">
        <w:rPr>
          <w:rStyle w:val="NumeroAFNegritaCaracter"/>
        </w:rPr>
        <w:t>3</w:t>
      </w:r>
      <w:r>
        <w:t>. El que el haya sido el empresario condenado, y no el trabajador despedido que obtuvo una Sentencia en su favor, quien ha solicitado formalmente la ejecución de la Sentencia, solo incide en el derecho fundamental si ello supone de por sí una alteración sustancial del derecho a la ejecutividad de la Sentencia, que en el caso de la Sentencia de despido no asegura la efectiva readmisión del trabajador, sino sólo su equivalente pecuniario, que es lo que ha obtenido la recurrente. En diversas ocasiones, este Tribunal ha afirmado que el derecho fundamental a la ejecución de la Sentencia de despido puede ser también satisfecho a través de una condena sustitutiva por su equivalente pecuniario (STC 58/1983), pero si es constitucional "la sustitución de la readmisión por una indemnización, el problema de cuándo procede esa sustitución es ajeno al derecho constitucional" y corresponde al Juez ordinario "considerar si la voluntad opositora de la empresa obliga a utilizar otro medio de ejecución...  . Cualquier problema que se suscite al respecto es un problema de legalidad" (ATC 393/1984).</w:t>
      </w:r>
    </w:p>
    <w:p w:rsidR="00FE0907" w:rsidRDefault="00FE0907" w:rsidP="00FE0907">
      <w:pPr>
        <w:pStyle w:val="TextoNormal"/>
      </w:pPr>
      <w:r>
        <w:t>El pronunciamiento judicial de condena, en el presente caso de un despido nulo por defecto de forma, sólo podía llevar a la condena pecuniaria del empleador, mediante la susti</w:t>
      </w:r>
      <w:r>
        <w:lastRenderedPageBreak/>
        <w:t>tución de la obligación originaria de readmisión por una obligación de resarcimiento de los daños y perjuicios legalmente tasada y exigible a través del trámite de ejecución previsto en la normativa procesal laboral entonces vigente.  Normalmente la iniciativa para obtener ese resarcimiento en caso de no readmisión o readmisión irregular corresponde al trabajador, el problema que se plantea en el presente caso es si cabe una iniciativa en ese incidente por parte del empleador, que tiene la voluntad de no readmitir al trabajador, pero que está dispuesto a abonar inmediatamente las correspondientes indemnizaciones, cumpliendo así en su integridad la condena sustitutiva, única ejecutable frente a él.</w:t>
      </w:r>
    </w:p>
    <w:p w:rsidR="00FE0907" w:rsidRDefault="00FE0907" w:rsidP="00FE0907">
      <w:pPr>
        <w:pStyle w:val="TextoNormal"/>
      </w:pPr>
      <w:r>
        <w:t>El órgano judicial de instancia, aludiendo a una práctica judicial reiterada, ha considerado, y el Tribunal Superior de Justicia lo ha estimado correcto, que aunque la LPL no haya previsto sino la ejecución a iniciativa del trabajador, ello no excluye la posibilidad de una iniciativa empresarial en esa ejecución para obtener la transformación del contenido de la condena originaria.  Corresponde en exclusiva a los órganos jurisdiccionales la interpretación y aplicación de la legalidad ordinaria de la que razonada y razonablemente se han extraido unas conclusiones que en modo alguno pueden considerarse lesivas del derecho a la ejecución de la Sentencia, que este Tribunal ha derivado del derecho a la tutela judicial efectiva del art. 24.1 C.E., y que como derecho bilateral también ampara a la empresa condenada. A efectos del cumplimiento de la Sentencia resulta constitucionalmente indiferente, quién sea el que adopte el primer paso al respecto, siempre que se llegue al resultado de la efectividad e integridad de ese cumplimiento.</w:t>
      </w:r>
    </w:p>
    <w:p w:rsidR="00FE0907" w:rsidRDefault="00FE0907" w:rsidP="00FE0907">
      <w:pPr>
        <w:pStyle w:val="TextoNormal"/>
      </w:pPr>
      <w:r>
        <w:t>Frente a ello, se alega por la recurrente que la prematura iniciativa empresarial ha acelerado el desarrollo del proceso, impidiendo agotar el plazo de treinta días que contempla el art.  210 de la entonces vigente LPL, teniendo en cuenta que al trabajador no le interesa solicitar tan pronto la ejecución del fallo sino agotar ese plazo para tratar de obtener el cumplimiento in natura de la Sentencia . El argumento de que durante ese tiempo cabría "presionar" para tratar de obtener efectivamente la readmisión, no resulta aceptable puesto que del propio razonamiento de la actora se extrae que la decisión última de readmitir o no efectivamente al trabajador despedido corresponde en exclusiva al empleador, y en modo alguno se dan razones que permitan entender que la decisión empresarial hubiera podido ser distinta, favorable a la readmisión, si hubiera sido postpuesta, aun más cuando en el presente caso, a través de los oportunos recursos, se ha prorrogado en el tiempo la duración del procedimiento incidental sin que ello haya hecho variar esa decisión inicial de no readmitir.</w:t>
      </w:r>
    </w:p>
    <w:p w:rsidR="00FE0907" w:rsidRDefault="00FE0907" w:rsidP="00FE0907">
      <w:pPr>
        <w:pStyle w:val="TextoNormal"/>
      </w:pPr>
      <w:r>
        <w:t xml:space="preserve">La falta de agotamiento del plazo se estima que lesiona el derecho fundamental también por no haber permitido a la recurrente contar con la percepción de hasta treinta días de salario de tramitación.  Según se dice en la demanda, la no prolongación del procedimiento hasta su duración máxima, dando una ocasión a obtener una mayor cuantía del importe de la condena a los llamados salarios de tramitación, ha producido una indefensión en la recurrente.  Sin embargo, tiene razón el Ministerio Fiscal al afirmar que el eventual aumento de la cantidad percibida por la trabajadora en dicho concepto, nada tiene que ver con la contradicción y la indefensión, al tratarse de un interés puramente económico, conectado a un alargamiento, en cierto sentido artificial, de la duración del procedimiento, que aunque pudiera ser legalmente lícito, no es exigible ex art.  24.1 C.E., como consecuencia ineludible del derecho a la ejecución de la Sentencia. La finalidad del precepto está al servicio de la seguridad jurídica, ofreciendo un tiempo limitado a la clarificación de la situación de la ejecución, dando ocasión, en su caso, para que el trabajador se ponga a disposición del empleador para su efectiva readmisión, para que éste empleador adopte las medidas adecuadas para que esa readmisión tenga efectivamente un lugar, y también para </w:t>
      </w:r>
      <w:r>
        <w:lastRenderedPageBreak/>
        <w:t>que el trabajador pueda comprobar la regularidad de esa readmisión.  Cuando esa readmisión no tiene lugar, el plazo legal exige una diligencia en el trabajador para solicitar su ejecución, sin que en la finalidad de la norma pueda observarse una tutela directa del interés a ampliar artificialmente la duración del procedimiento, que es lo que en realidad se trata de obtener a través de esta pretensión constitucional.  Del art.  24.1 C.E.  no se deriva pues un derecho fundamental a que la empresa condenada haya de soportar el agotamiento del plazo, no siendo contrario a ese derecho fundamental admitir esa iniciativa empresarial, que además favorece la efectividad de la tutela judicial, puesto que se han puesto inmediatamente a disposición de la condenada las cantidades correspondientes a la condena, evitándole nuevas gestiones y trámites en relación con la ejecución de la condena pecuniaria.</w:t>
      </w:r>
    </w:p>
    <w:p w:rsidR="00FE0907" w:rsidRDefault="00FE0907" w:rsidP="00FE0907">
      <w:pPr>
        <w:pStyle w:val="TextoNormal"/>
      </w:pPr>
    </w:p>
    <w:p w:rsidR="00FE0907" w:rsidRDefault="00FE0907" w:rsidP="00FE0907">
      <w:pPr>
        <w:pStyle w:val="TextoNormal"/>
      </w:pPr>
      <w:r w:rsidRPr="00FE0907">
        <w:rPr>
          <w:rStyle w:val="NumeroAFNegritaCaracter"/>
        </w:rPr>
        <w:t>4</w:t>
      </w:r>
      <w:r>
        <w:t>. Mayor trascendencia constitucional, aunque sobre el tema no insista mucho la demanda, lo constituye la falta de audiencia de la actora en el incidente de no readmisión.</w:t>
      </w:r>
    </w:p>
    <w:p w:rsidR="00FE0907" w:rsidRDefault="00FE0907" w:rsidP="00FE0907">
      <w:pPr>
        <w:pStyle w:val="TextoNormal"/>
      </w:pPr>
      <w:r>
        <w:t>En un supuesto no totalmente idéntico al presente (pues el Auto entonces impugnado partió erróneamente de que el trámite de ejecución fue solicitado por la parte actora, y además no hubo oportunidad de revisar en vía de recurso el Auto entonces impugnado, y formular en la vía judicial las alegaciones pertinentes), este Tribunal ha afirmado que aunque la economía procesal es un valor atendible en el proceso, no puede cubrir la violación de un derecho fundamental, y en concreto el incumplimiento de una garantía elemental como es la audiencia del afectado.  Esta falta de audiencia tiene trascendencia constitucional en cuanto haya podido ocasionar, no sólo formal sino también materialmente, una indefensión de la recurrente que no haya podido ser remedida por las resoluciones judiciales posteriores, lo que ha de ser valorado a la vista de las circunstancias del caso.</w:t>
      </w:r>
    </w:p>
    <w:p w:rsidR="00FE0907" w:rsidRDefault="00FE0907" w:rsidP="00FE0907">
      <w:pPr>
        <w:pStyle w:val="TextoNormal"/>
      </w:pPr>
      <w:r>
        <w:t>Nada se dice en la demanda sobre qué consecuencias perjudiciales para la pretensión actora se hayan derivado del defecto de la falta de convocatoria de la recurrente a la comparecencia prevista en el art. 211 LPL. Lo cierto es que pese a ese defecto la recurrente ha tenido oportunidad de alegar lo que interesase en su defensa tanto en el recurso de reposición como en el posterior recurso de suplicación, sin embargo, nada ha alegado en dichos recursos de carácter sustancial en la defensa de su derecho, sino sólo un defecto formal que no incide en modo alguno en el resultado final de la decisión, la sustitución de la condena a readmitir por el resarcimiento establecido en la cuantía fijada por la ley, la cual tampoco se ha discutido por la recurrente, cuya discrepancia se basa sólo en el interés en conseguir el agotamiento del plazo, lo que nada tiene que ver, según ya se ha dicho, con un supuesto de indefensión.</w:t>
      </w:r>
    </w:p>
    <w:p w:rsidR="00FE0907" w:rsidRDefault="00FE0907" w:rsidP="00FE0907">
      <w:pPr>
        <w:pStyle w:val="TextoNormal"/>
      </w:pPr>
      <w:r>
        <w:t>El defecto de procedimiento alegado por la recurrente es puramente formal, sin trascedencia sustancial alguna que permite hablar de una indefensión de relevancia constitucional.  Desde esta perspectiva, la pretensión de amparo no tiene por finalidad remediar una efectiva indefensión sufrida, como limitación de la defensa de la recurrente con trascendencia sustancial en la tutela de su interés a la ejecución de la Sentencia de despido dictada a su favor, sino sólo obtener, mediante la invocación del derecho fundamental, que como todo derecho también ha de ejercitarse conforme a las exigencias de la buena fe (art.  7.1 C.C.), una ampliación, sin otro fundamento que el presunto derecho a la pasividad del ejecutante, del importe de la cuantía de los salarios de tramitación, siendo así que la recurrente ha obtenido del órgano judicial lo que el ordenamiento le garantiza a consecuencia de la ilicitud del comportamiento empresarial que no cumplió las formas legalmente exigibles para despedir, es decir, "la compensación en la cuantía que el ordenamiento ha es</w:t>
      </w:r>
      <w:r>
        <w:lastRenderedPageBreak/>
        <w:t>timado adecuado del perjuicio sufrido por el trabajador" (STC 69/1983, fundamento jurídico 4º).</w:t>
      </w:r>
    </w:p>
    <w:p w:rsidR="00FE0907" w:rsidRDefault="00FE0907" w:rsidP="00FE0907">
      <w:pPr>
        <w:pStyle w:val="TextoNormal"/>
      </w:pPr>
      <w:r>
        <w:t>En consecuencia, las resoluciones judiciales impugnadas no han violado el derecho fundamental a la tutela judicial efectiva sin indefensión de la recurrente y la demanda ha de ser desestimada.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amparo solicitado por doña Angeles Soler Soler.</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veintitrés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5" w:name="SENTENCIA_1992_62"/>
      <w:r>
        <w:lastRenderedPageBreak/>
        <w:t>SENTENCIA 62/1992, de 27 de abril de 1992</w:t>
      </w:r>
    </w:p>
    <w:bookmarkEnd w:id="65"/>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ECLI:ES:TC:1992:62</w:t>
      </w:r>
    </w:p>
    <w:p w:rsidR="00FE0907" w:rsidRDefault="00FE0907" w:rsidP="00FE0907">
      <w:pPr>
        <w:pStyle w:val="SntesisDescriptiva"/>
      </w:pPr>
    </w:p>
    <w:p w:rsidR="00FE0907" w:rsidRDefault="00FE0907" w:rsidP="00FE0907">
      <w:pPr>
        <w:pStyle w:val="SntesisDescriptiva"/>
      </w:pPr>
      <w:r>
        <w:t>Recurso de amparo 1.744/1988. Contra Sentencia de la Sala Quinta del Tribunal Supremo estimatoria parcialmente de la apelación contra Sentencia de la Audiencia Nacional que desestimó recurso contencioso-administrativo frente a Resolución de la UNED que impuso al recurrente sanción de suspensión de derechos académicos.</w:t>
      </w:r>
    </w:p>
    <w:p w:rsidR="00FE0907" w:rsidRDefault="00FE0907" w:rsidP="00FE0907">
      <w:pPr>
        <w:pStyle w:val="SntesisDescriptiva"/>
      </w:pPr>
    </w:p>
    <w:p w:rsidR="00FE0907" w:rsidRDefault="00FE0907" w:rsidP="00FE0907">
      <w:pPr>
        <w:pStyle w:val="SntesisAnaltica"/>
      </w:pPr>
      <w:r>
        <w:t>Supuesta vulneración del derecho a la tutela judicial efectiva y del principio de legalidad</w:t>
      </w:r>
    </w:p>
    <w:p w:rsidR="00FE0907" w:rsidRDefault="00FE0907" w:rsidP="00FE0907">
      <w:pPr>
        <w:pStyle w:val="SntesisAnaltica"/>
      </w:pPr>
    </w:p>
    <w:p w:rsidR="00FE0907" w:rsidRDefault="00FE0907" w:rsidP="00FE0907">
      <w:pPr>
        <w:pStyle w:val="Extracto"/>
      </w:pPr>
      <w:r>
        <w:t>1.</w:t>
      </w:r>
      <w:r>
        <w:tab/>
        <w:t>No puede hablarse de incongruencia constitucionalmente vedada por el hecho de que el Tribunal Supremo no considere necesario realizar pronunciamiento alguno sobre las restantes causas aducidas, si la demanda ha sido estimada en virtud de otro de los motivos alegados [F.J. 2].</w:t>
      </w:r>
    </w:p>
    <w:p w:rsidR="00FE0907" w:rsidRDefault="00FE0907" w:rsidP="00FE0907">
      <w:pPr>
        <w:pStyle w:val="Extracto"/>
      </w:pPr>
    </w:p>
    <w:p w:rsidR="00FE0907" w:rsidRDefault="00FE0907" w:rsidP="00FE0907">
      <w:pPr>
        <w:pStyle w:val="Extracto"/>
      </w:pPr>
      <w:r>
        <w:t>2.</w:t>
      </w:r>
      <w:r>
        <w:tab/>
        <w:t>Difícilmente puede considerarse que una resolución inexistente jurídicamente pueda vulnerar derecho fundamental alguno, por lo que no existe en tal caso vulneración real y efectiva de derechos fundamentales, requisito imprescindible para el planteamiento de un recurso de amparo, que no puede ser dirigido, según reiterada y consolidada jurisprudencia de este Tribunal, contra lesiones futuras o meramente hipotéticas (entre otras, SSTC 110/1984 y 123/1987) [F.J.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Fernando García-Mon y González-Regueral, Presidente, y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1.744/88, interpuesto por don Alberto Pérez López, representado por don Alberto Carrión Pardo y asistido inicialmente por la Letrada Sra. Ruiz Arcos y tras renuncia de ésta por el Letrado Sr. Bertelli Gálvez, contra Sentencia de la Sala Quinta del Tribunal Supremo de 9 de septiembre de 1988. Ha comparecido el recurrente, el Abogado del Estado y el Ministerio Fiscal y ha sido Ponente el Magistrado don Luis López Guerra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3 de noviembre de 1988 tuvo entrada en el registro de este Tribunal un escrito de don Alberto Carrión Pardo, Procurador de los Tribunales, que en nombre y representación de don Alberto Pérez López interpone recurso de amparo contra Sentencia de la Sala Quinta del Tribunal Supremo de 9 de septiembre de 1988.</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de los que deriva la demanda de amparo, como resultan de la misma, y documentos que se acompañan, son, en síntesis, los siguientes: </w:t>
      </w:r>
    </w:p>
    <w:p w:rsidR="00FE0907" w:rsidRDefault="00FE0907" w:rsidP="00FE0907">
      <w:pPr>
        <w:pStyle w:val="TextoNormal"/>
      </w:pPr>
      <w:r>
        <w:t xml:space="preserve">a) Don Alberto Pérez López, estudiante de Derecho en la Universidad Nacional de Educación a Distancia fue denunciado por el Decano de la Facultad de Derecho a la Rectora de dicha Universidad, manifestando el Decano que el Sr. Pérez López había comparecido en la convocatoria de septiembre de 1985, sin identificarse ante el Tribunal, y había realizado ejercicios con nombres supuestos y otros con el suyo auténtico, con la finalidad de presentar algunos con otro nombre, cuando el exámen era defectuoso, y poder examinarse en tales asignaturas si el exámen no era bueno. Como consecuencia, el 27 de diciembre de 1986 el Rectorado de la Universidad Nacional de Educación a Distancia impuso al ahora recurrente "la sanción de suspensión de derechos académicos durante diez cursos así como la pérdida de las notas positivas del curso 1985/1986", al considerarle autor de cinco faltas graves tipificadas conforme al art. 5 del Reglamento de disciplina académica, aprobado por Decreto de 8 de septiembre de 1954, al que se remite la Disposición transitoria undécima de los Estatutos de la U.N.E.D. aprobados por Real Decreto 1287/1985, de 26 de junio. </w:t>
      </w:r>
    </w:p>
    <w:p w:rsidR="00FE0907" w:rsidRDefault="00FE0907" w:rsidP="00FE0907">
      <w:pPr>
        <w:pStyle w:val="TextoNormal"/>
      </w:pPr>
      <w:r>
        <w:t xml:space="preserve">b) Interpuesto recurso contencioso administrativo por la vía de la Ley 62/1978, fue desestimado por Sentencia de la Sección Primera de la Sala de lo Contencioso Administrativo de la Audiencia Nacional de 3 de abril de 1987. </w:t>
      </w:r>
    </w:p>
    <w:p w:rsidR="00FE0907" w:rsidRDefault="00FE0907" w:rsidP="00FE0907">
      <w:pPr>
        <w:pStyle w:val="TextoNormal"/>
      </w:pPr>
      <w:r>
        <w:t>c) Interpuesto recurso de apelación, la Sala Quinta del Tribunal Supremo, por Sentencia de 9 de septiembre de 1988 estimó en parte la apelación, revocando, por vulneración del art. 24.1 de la C.E. la resolución impugnada, al no haber constancia de la existencia de pliego de cargos ni notificación del mismo, no recibir contestación a la recusación ni haber podido formular pliego de descargo, al considerar la Administración como tal el escrito de recusación, todo lo cual supone que el recurrente ha sido condenado sin haber sido oído produciéndosele indefensión constitucionalmente vedada, por lo que estima el recurso por el primero de los motivos alegados, retrotrayendo el expediente al momento del traslado del pliego de cargos, y considera innecesario examinar los restantes motivos alegados, arts. 14, 25 y 27 de la Constitución.</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Impugna en primer lugar el recurrente la Sentencia del Tribunal Supremo en cuanto que se limita a anular la sanción retrotrayendo el expediente al momento en el que se ha producido la indefensión. El recurrente señala que "parece paradójico y jurídicamente incongruente que se ordene continuar el expediente disciplinario conforme a Derecho" cuando previamente lo hemos tachado de inconstitucional, por tener su cobertura en una norma de rango legal vacía de contenido material, habiendo instado en el escrito de conclusiones de la apelación el planteamiento de la cuestión de inconstitucionalidad del art. 27.3 de la L.R.U.". </w:t>
      </w:r>
    </w:p>
    <w:p w:rsidR="00FE0907" w:rsidRDefault="00FE0907" w:rsidP="00FE0907">
      <w:pPr>
        <w:pStyle w:val="TextoNormal"/>
      </w:pPr>
      <w:r>
        <w:t xml:space="preserve">Por otra parte considera que tanto la Sentencia como el acto administrativo de que trae causa vulneran el principio de legalidad del art. 25.1 C.E., en cuanto que éste exige, según </w:t>
      </w:r>
      <w:r>
        <w:lastRenderedPageBreak/>
        <w:t xml:space="preserve">reiterada jurisprudencia del T.C., "que se predeterminen en la norma legal las conductas ilícitas y las correspondientes sanciones", de forma que si bien es posible la remisión a normas reglamentarias, para ello es necesario que sea la Ley la que determine de forma suficiente los elementos esenciales de la conducta antijurídica; en definitiva, el art. 25 prohíbe la remisión al Reglamento que haga posible una regulación independiente y no claramente subordinada a la Ley". Contrasta la doctrina transcrita con el art. 27.3 de la L.R.U. que remite genéricamente a la competencia de las Universidades para el establecimiento de las normas que regulen las responsabilidades relativas al incumplimiento de las obligaciones académicas, y con la Disposición transitoria undécima del Real Decreto 1.287/1985, de 26 de junio, que aprueba los Estatutos de la U.N.E.D. y que contiene una remisión a posteriores normas sobre la materia y declara vigente el Decreto de 8 de septiembre de 1954. Concluye que el art. 27.3 de la L.R.U. lesiona el art. 25.1 C.E. y que la Disposición transitoria undécima de los Estatutos de la U.N.E.D. es radicalmente nula, de lo que extrae la consecuencia de que la Sentencia recurrida viola el principio de legalidad al ordenar retrotraer el expediente disciplinario y que prosiga la tramitación conforme a un procedimiento inconstitucional. </w:t>
      </w:r>
    </w:p>
    <w:p w:rsidR="00FE0907" w:rsidRDefault="00FE0907" w:rsidP="00FE0907">
      <w:pPr>
        <w:pStyle w:val="TextoNormal"/>
      </w:pPr>
      <w:r>
        <w:t>Se solicita la nulidad de la Sentencia, la nulidad de la Disposición transitoria undécima de los Estatutos de la U.N.E.D., el reconocimiento del derecho a no ser sancionado sino por conductas antijurídicas predeterminadas por la Ley, el restablecimiento del recurrente en todos sus derechos académicos y la elevación de la cuestión al Pleno a efectos de la declaración de inconstitucionalidad del art. 27 L.R.U. Asimismo, con amparo en el art. 56 LOTC, se interesa la suspensión de la resolución impugnada.</w:t>
      </w:r>
    </w:p>
    <w:p w:rsidR="00FE0907" w:rsidRDefault="00FE0907" w:rsidP="00FE0907">
      <w:pPr>
        <w:pStyle w:val="TextoNormal"/>
      </w:pPr>
    </w:p>
    <w:p w:rsidR="00FE0907" w:rsidRDefault="00FE0907" w:rsidP="00FE0907">
      <w:pPr>
        <w:pStyle w:val="TextoNormal"/>
      </w:pPr>
      <w:r w:rsidRPr="00FE0907">
        <w:rPr>
          <w:rStyle w:val="NumeroAFNegritaCaracter"/>
        </w:rPr>
        <w:t>4</w:t>
      </w:r>
      <w:r>
        <w:t>. La Sección Cuarta dictó providencia de 21 de noviembre de 1988 en la que se acordó la admisión a trámite de la demanda de amparo, sin perjuicio de lo que resultase de los antecedentes, tener por personado y parte al recurrente, la solicitud de remisión de actuaciones y la apertura de la pieza separada de suspensión.</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En providencia de la misma fecha, la Sección Cuarta acordó, conforme a lo dispuesto en el art. 56 LOTC, otorgar plazo común de tres días a la recurrente y al Ministerio Fiscal para que alegasen lo que estimaran procedente sobre la suspensión solicitada. </w:t>
      </w:r>
    </w:p>
    <w:p w:rsidR="00FE0907" w:rsidRDefault="00FE0907" w:rsidP="00FE0907">
      <w:pPr>
        <w:pStyle w:val="TextoNormal"/>
      </w:pPr>
      <w:r>
        <w:t>Finalizado el trámite de alegaciones, la Sala Segunda dictó Auto de 19 de diciembre de 1988 en el que se acordó denegar la suspensión.</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La Sección Segunda, en providencia de 16 de enero de 1989, acordó acusar recibo de las actuaciones, y dar vista de ellas al recurrente en amparo, al Abogado del Estado y al Ministerio Fiscal para que en el plazo común de veinte días formularan las alegaciones que estimasen procedentes. </w:t>
      </w:r>
    </w:p>
    <w:p w:rsidR="00FE0907" w:rsidRDefault="00FE0907" w:rsidP="00FE0907">
      <w:pPr>
        <w:pStyle w:val="TextoNormal"/>
      </w:pPr>
      <w:r>
        <w:t xml:space="preserve">El Ministerio Fiscal comienza por plantearse el problema de si el recurso de amparo está interpuesto por la vía del art. 43 o la del 44 de la LOTC. Concluye que a pesar de la existencia de cierta ambigüedad en la demanda,se trata de un recurso planteado por el cauce del art. 44 LOTC, esto es, contra la Sentencia del Tribunal Supremo, por dirigirse la demanda contra dicha Sentencia, por solicitar la nulidad de la misma y no la del acto administrativo (por otra parte ya anulado por la referida Sentencia) y porque, a pesar de solicitar la nulidad de la Disposición transitoria del Real Decreto que aprobó los Estatutos de la U.N.E.D., ello resulta una pretensión claramente inaceptable pues la vía de amparo sólo puede utilizarse ante violaciones efectivas y no ante las potenciales que pueden derivarse </w:t>
      </w:r>
      <w:r>
        <w:lastRenderedPageBreak/>
        <w:t xml:space="preserve">de disposiciones generales de la Administración. Desde este punto de vista afirma que no hay violación del art. 25.1 en dicha Sentencia, ya que precisamente lo que hizo fue anular una sanción. Tampoco considera que pueda haber violación del art. 24 C.E. por el hecho de que la Sentencia recurrida no se pronunciara sobre la supuesta violación del art. 25.1 C.E., ya que se había estimado la demanda por otros motivos, por lo que no puede hablarse de incongruencia. Por último señala que aunque el recurso hubiera sido dirigido contra el acto administrativo tampoco podría ser admitido, porque el amparo sólo se da frente a efectivas lesiones actuales, no frente a futuras. Por todo ello entiende que procede la desestimación del recurso. </w:t>
      </w:r>
    </w:p>
    <w:p w:rsidR="00FE0907" w:rsidRDefault="00FE0907" w:rsidP="00FE0907">
      <w:pPr>
        <w:pStyle w:val="TextoNormal"/>
      </w:pPr>
      <w:r>
        <w:t xml:space="preserve">El Abogado del Estado considera por el contrario que se denuncia la violación del art. 25 C.E. producida por la resolución del Rectorado de la U.N.E.D. Sin embargo dicha Resolución no existe, en cuanto anulada por la Sentencia, de la que difícilmente y por ese mismo hecho se puede considerar que lo vulnere. Se plantea si pudiera existir vulneración del art. 24 en la Sentencia por no pronunciarse sobre la vulneración del principio de legalidad, y concluye que en modo alguno ya que lo que hace en primer lugar es pronunciarse sobre los vicios procedimentales denunciados por el recurrente, y apreciada la nulidad del acto por ese motivo no es necesario pronunciamiento alguno sobre las demás peticiones. Entrando por último con carácter subsidiario, y en virtud del principio de plenitud jurisdiccional predicable del Tribunal Constitucional, a analizar si existe vulneración del principio de legalidad por falta de cobertura legal de las sanciones disciplinarias, considera que nos encontramos ante una relación especial de sujeción y además predicada en relación a una institución que es titular de autonomía reconocida como derecho fundamental, por lo que, y en virtud de la jurisprudencia establecida en el STC 2/1987, se puede afirmar que el principio de legalidad no tiene en este caso el mismo alcance que en la potestad sancionadora general de la Administración ni mucho menos con respecto a las sanciones penales, por lo la remisión del art. 27 L.R.U. otorga suficiente cobertura legal al régimen sancionador de las Universidades. Concluye solicitando la denegación del recurso de amparo. </w:t>
      </w:r>
    </w:p>
    <w:p w:rsidR="00FE0907" w:rsidRDefault="00FE0907" w:rsidP="00FE0907">
      <w:pPr>
        <w:pStyle w:val="TextoNormal"/>
      </w:pPr>
      <w:r>
        <w:t>Por su parte el escrito de alegaciones del recurrente se limita a tener por íntegramente reproducidos los alegatos esgrimidos en la demanda y reiterados en la súplica.</w:t>
      </w:r>
    </w:p>
    <w:p w:rsidR="00FE0907" w:rsidRDefault="00FE0907" w:rsidP="00FE0907">
      <w:pPr>
        <w:pStyle w:val="TextoNormal"/>
      </w:pPr>
    </w:p>
    <w:p w:rsidR="00FE0907" w:rsidRDefault="00FE0907" w:rsidP="00FE0907">
      <w:pPr>
        <w:pStyle w:val="TextoNormal"/>
      </w:pPr>
      <w:r w:rsidRPr="00FE0907">
        <w:rPr>
          <w:rStyle w:val="NumeroAFNegritaCaracter"/>
        </w:rPr>
        <w:t>7</w:t>
      </w:r>
      <w:r>
        <w:t>. Por escrito dirigido a la Sala por la Letrada del recurrente se comunica, con fecha 30 de noviembre de 1989, su renuncia a la defensa. La Sección, por providencia de 15 de enero de 1991, acordó tenerla por renunciada, y conceder al recurrente un plazo de diez días para la designación de nuevo Letrado. En el citado plazo fue designado como abogado el Letrado don Luis Bertelli Gálvez, que asume la defensa del recurrente, que fue tenido por designado por nueva providencia de 12 de febrero de 1990.</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Por escrito de 9 de abril de 1991, el Sr. Pérez López solicita, en aplicación del art. 80 LOTC, la abstención o recusación del Presidente del Tribunal, por haber interpuesto el recurrente, como promotor y miembro de la Junta Directiva de la Asociación contra la corrupción y la injusticia, una denuncia contra el Presidente del Tribunal Constitucional ante el Tribunal Supremo, lo que reitera con fecha 20 de agosto de 1991. Con fecha 6 de febrero manifiesta el recurrente promover incidente de recusación por el mismo motivo. Con fecha 10 de mayo de 1992, el Presidente del Tribunal Constitucional dirigió un escrito a la Sala en el que manifestaba su voluntad de abstenerse en el recurso de amparo 1.744/88, tramitado hasta el momento sin intervención ninguna de su parte. </w:t>
      </w:r>
    </w:p>
    <w:p w:rsidR="00FE0907" w:rsidRDefault="00FE0907" w:rsidP="00FE0907">
      <w:pPr>
        <w:pStyle w:val="TextoNormal"/>
      </w:pPr>
      <w:r>
        <w:lastRenderedPageBreak/>
        <w:t>Con fecha 6 de abril de 1992, la Sala acuerda aprobar la abstención del Sr. Presidente, así como no haber lugar a proveer el escrito de 6 de febrero de 1992, por carecer ya de objeto, y señalar para deliberación y votación de este recurso el día 27 de abril de 1992.</w:t>
      </w:r>
    </w:p>
    <w:p w:rsidR="00FE0907" w:rsidRDefault="00FE0907" w:rsidP="00FE0907">
      <w:pPr>
        <w:pStyle w:val="TextoNormal"/>
      </w:pPr>
    </w:p>
    <w:p w:rsidR="00FE0907" w:rsidRDefault="00FE0907" w:rsidP="00FE0907">
      <w:pPr>
        <w:pStyle w:val="TextoNormal"/>
      </w:pPr>
      <w:r w:rsidRPr="00FE0907">
        <w:rPr>
          <w:rStyle w:val="NumeroAFNegritaCaracter"/>
        </w:rPr>
        <w:t>9</w:t>
      </w:r>
      <w:r>
        <w:t>. Por providencia de fecha 22 de abril de 1992, se señaló el día 27 siguiente, para deliberación y fallo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Conviene precisar en primer lugar el acto potencialmente lesivo de derechos fundamentales que se plantea en el presente recurso de amparo, puesto que, aunque el recurrente dice impugnar la Sentencia del Tribunal Supremo que agota la vía judicial (lo que situaría el presente recurso de amparo entre los previstos en el art. 44 de la LOTC) la argumentación de la demanda se dirige frente, sin embargo,a una supuesta lesión del art. 25.1 de la Constitución, por vulneración del principio de legalidad del derecho sancionador, que sólo puede imputarse, de modo inmediato y directo a la resolución del Rectorado, por lo que parece situarse en el campo de aplicación del art. 43 de la LOTC, es decir en el de las violaciones procedentes de autoridades públicas en que las Sentencias recaídas cumplen simplemente la función de agotar la vía judicial previa. Esta ambigüedad presente en la demanda, unida al hecho de que en la misma, aunque no de forma expresa ni terminante parece alegarse también una supuesta vulneración del art. 24 C.E.  por la Sentencia del Tribunal Supremo, y sobre todo a la peculiaridad de que la Sentencia que se dice recurrida contenga como fallo la anulación de la resolución administrativa del Rectorado de la U.N.E.D., significa que tengamos que concluir que estamos en presencia de un recurso de amparo que se integra tanto en el supuesto previsto por el art. 43 LOTC, como en el contenido en el art. 44 de la misma disposición; por lo que hemos de analizar por separado las supuestas vulneraciones de los arts. 24 y 25.1 que contienen, tanto la Sentencia del Tribunal Supremo como la resolución del Rectorado de la U.N.E.D., en la medida en que ello sea necesario para la resolución del presente recurso.</w:t>
      </w:r>
    </w:p>
    <w:p w:rsidR="00FE0907" w:rsidRDefault="00FE0907" w:rsidP="00FE0907">
      <w:pPr>
        <w:pStyle w:val="TextoNormal"/>
      </w:pPr>
    </w:p>
    <w:p w:rsidR="00FE0907" w:rsidRDefault="00FE0907" w:rsidP="00FE0907">
      <w:pPr>
        <w:pStyle w:val="TextoNormal"/>
      </w:pPr>
      <w:r w:rsidRPr="00FE0907">
        <w:rPr>
          <w:rStyle w:val="NumeroAFNegritaCaracter"/>
        </w:rPr>
        <w:t>2</w:t>
      </w:r>
      <w:r>
        <w:t>. Por lo que se refiere a las vulneraciones de derechos susceptibles de amparo causadas por la Sentencia del Tribunal Supremo, el recurrente alega en primer lugar una supuesta incongruencia de la decisión judicial, en cuanto que se limita a estimar la demanda parcialmente por las violaciones del art.  24 de la Constitución, retrotrayendo el expediente disciplinario al momento en que se han cometido las vulneraciones de dicho derecho en la tramitación del expediente disciplinario, sin efectuar pronunciamiento alguno, por considerarlo innecesario, en relación a las violaciones alegadas de los arts.  14, 25 y 27 de la Constitución; incongruencia que denuncia ante este Tribunal únicamente en relación al art. 25 de la Constitución.  Sin embargo, tal alegación ha de ser rechazada. En efecto, como señalan en sus escritos tanto el Ministerio Fiscal como el Abogado del Estado, nos encontramos ante un supuesto en el que la demanda ha sido estimada por el primero de los motivos alegados por el recurrente, esto es, la violación en el expediente administrativo del art. 24 de la Constitución, apreciando los vicios procedimentales denunciados y razonando expresamente la improcedencia de pronunciarse sobre la aducida vulneración del art. 25.1; por lo que, estimada la demanda por la primera de sus causas, no puede hablarse de incongruencia constitucionalmente vedada por el hecho de que el Tribunal Supremo no considerase necesario realizar pronunciamiento alguno sobre las restantes causas aducidas.</w:t>
      </w:r>
    </w:p>
    <w:p w:rsidR="00FE0907" w:rsidRDefault="00FE0907" w:rsidP="00FE0907">
      <w:pPr>
        <w:pStyle w:val="TextoNormal"/>
      </w:pPr>
    </w:p>
    <w:p w:rsidR="00FE0907" w:rsidRDefault="00FE0907" w:rsidP="00FE0907">
      <w:pPr>
        <w:pStyle w:val="TextoNormal"/>
      </w:pPr>
      <w:r w:rsidRPr="00FE0907">
        <w:rPr>
          <w:rStyle w:val="NumeroAFNegritaCaracter"/>
        </w:rPr>
        <w:t>3</w:t>
      </w:r>
      <w:r>
        <w:t>. Carece igualmente de contenido constitucional la segunda de las violaciones del art. 24 de la C.E.  denunciada en el presente recurso, la relativa al no planteamiento por parte del Tribunal Supremo de la cuestión de inconstitucionalidad sobre el art.  27 de la Ley de Reforma Universitaria. En efecto, es reiterada jurisprudencia de este Tribunal (SSTC 148/1986, 23/1988, 67/1988 y 78/1988, entre otras) que el planteamiento de la cuestión de inconstitucionalidad es prerrogativa exclusiva e irrevisable de los órganos jurisdiccionales, sin que pueda constituir base para el planteamiento de un recurso de amparo el hecho de que éste no haya considerado conveniente formular una determinada cuestión de inconstitucionalidad pretendida por el recurrente.</w:t>
      </w:r>
    </w:p>
    <w:p w:rsidR="00FE0907" w:rsidRDefault="00FE0907" w:rsidP="00FE0907">
      <w:pPr>
        <w:pStyle w:val="TextoNormal"/>
      </w:pPr>
    </w:p>
    <w:p w:rsidR="00FE0907" w:rsidRDefault="00FE0907" w:rsidP="00FE0907">
      <w:pPr>
        <w:pStyle w:val="TextoNormal"/>
      </w:pPr>
      <w:r w:rsidRPr="00FE0907">
        <w:rPr>
          <w:rStyle w:val="NumeroAFNegritaCaracter"/>
        </w:rPr>
        <w:t>4</w:t>
      </w:r>
      <w:r>
        <w:t>. Por lo que atañe a la vulneración que se alega del art.  25.1 de la Constitución, resulta evidente, como se señaló en el fundamento jurídico 1º, que no puede achacarse en forma inmediata y directa al Tribunal Supremo, sino únicamente en cuanto no remedia, según la pretensión del recurrente, la vulneración que éste considera producida por el Rectorado de la U.N.E.D.; por lo que, de haberse violado el derecho en ese artículo constitucional reconocido, esa violación habría de atribuirse en forma inmediata y directa a la actuación del Rectorado. Nos situamos, por tanto, en el terreno del art.  43 de la LOTC. Existe, no obstante, una dificultad insalvable para el otorgamiento del amparo por esta vía.  En efecto, el art. 43.3 de la LOTC establece que "el recurso sólo podrá fundarse en la infracción, por una resolución firme de los preceptos constitucionales que reconocen los derechos o libertades susceptibles de amparo". Se exige,por tanto, una resolución firme. Sin embargo, en el presente recurso de amparo no existe tal resolución al haber sido anulada por la Sentencia del Tribunal Supremo, por lo que difícilmente puede considerarse que una resolución inexistente jurídicamente pueda vulnerar derecho fundamental alguno, por lo que no existe vulneración real y efectiva de derechos fundamentales, requisito imprescindible para el planteamiento de un recurso de amparo, que no puede ser dirigido, según reiterada y consolidada jurisprudencia de este Tribunal, contra lesiones futuras o meramente hipotéticas, (entre otras, SSTC 110/1984 y 123/1987).</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veintisiete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6" w:name="SENTENCIA_1992_63"/>
      <w:r>
        <w:lastRenderedPageBreak/>
        <w:t>SENTENCIA 63/1992, de 29 de abril de 1992</w:t>
      </w:r>
    </w:p>
    <w:bookmarkEnd w:id="66"/>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ECLI:ES:TC:1992:63</w:t>
      </w:r>
    </w:p>
    <w:p w:rsidR="00FE0907" w:rsidRDefault="00FE0907" w:rsidP="00FE0907">
      <w:pPr>
        <w:pStyle w:val="SntesisDescriptiva"/>
      </w:pPr>
    </w:p>
    <w:p w:rsidR="00FE0907" w:rsidRDefault="00FE0907" w:rsidP="00FE0907">
      <w:pPr>
        <w:pStyle w:val="SntesisDescriptiva"/>
      </w:pPr>
      <w:r>
        <w:t>Recurso de amparo 1.748/1988. Contra Auto de la Sala Primera del Tribunal Supremo inadmitiendo recurso de casación contra Sentencia de la Audiencia Territorial de Bilbao.</w:t>
      </w:r>
    </w:p>
    <w:p w:rsidR="00FE0907" w:rsidRDefault="00FE0907" w:rsidP="00FE0907">
      <w:pPr>
        <w:pStyle w:val="SntesisDescriptiva"/>
      </w:pPr>
    </w:p>
    <w:p w:rsidR="00FE0907" w:rsidRDefault="00FE0907" w:rsidP="00FE0907">
      <w:pPr>
        <w:pStyle w:val="SntesisAnaltica"/>
      </w:pPr>
      <w:r>
        <w:t>Vulneración del derecho a la tutela judicial efectiva en un supuesto de determinación de la cuantía litigiosa: interpretación de las leyes más favorable al derecho fundamental de acceso a los recursos</w:t>
      </w:r>
    </w:p>
    <w:p w:rsidR="00FE0907" w:rsidRDefault="00FE0907" w:rsidP="00FE0907">
      <w:pPr>
        <w:pStyle w:val="SntesisAnaltica"/>
      </w:pPr>
    </w:p>
    <w:p w:rsidR="00FE0907" w:rsidRDefault="00FE0907" w:rsidP="00FE0907">
      <w:pPr>
        <w:pStyle w:val="Extracto"/>
      </w:pPr>
      <w:r>
        <w:t>1.</w:t>
      </w:r>
      <w:r>
        <w:tab/>
        <w:t>Por lo que respecta a los límites que por razón de la cuantía condicionan la admisibilidad del recurso de casación civil (art. 1.710.2, en relación con los arts. 1.697 y 1.687.1 de la L.E.C.), este Tribunal ha afirmado ( STC 50/1990) que, en los supuestos en los que, para determinar, a los efectos del recurso, la cuantía litigiosa sean posibles distintos criterios de interpretación, el Tribunal Supremo debe dar prevalencia a la interpretación más favorable para la viabilidad del recurso por imperativo del derecho constitucional a la tutela judicial efectiva [F.J. 2].</w:t>
      </w:r>
    </w:p>
    <w:p w:rsidR="00FE0907" w:rsidRDefault="00FE0907" w:rsidP="00FE0907">
      <w:pPr>
        <w:pStyle w:val="Extracto"/>
      </w:pPr>
    </w:p>
    <w:p w:rsidR="00FE0907" w:rsidRDefault="00FE0907" w:rsidP="00FE0907">
      <w:pPr>
        <w:pStyle w:val="Extracto"/>
      </w:pPr>
      <w:r>
        <w:t>2.</w:t>
      </w:r>
      <w:r>
        <w:tab/>
        <w:t>La sola cita de los preceptos de la L.E.C. que apoyan la inadmisión del recurso no puede integrar la exigencia constitucional de motivación que el art. 24.1 de la C.E. impone, dado que nada se dice ni sobre los criterios a través de los cuales pueda inferirse que no se alcanza la suma de gravamen, ni siquiera acerca de cuál es la cuantía que, para el Tribunal Supremo, tenía el pleito [F.J. 3].</w:t>
      </w:r>
    </w:p>
    <w:p w:rsidR="00FE0907" w:rsidRDefault="00FE0907" w:rsidP="00FE0907">
      <w:pPr>
        <w:pStyle w:val="Extracto"/>
      </w:pPr>
    </w:p>
    <w:p w:rsidR="00FE0907" w:rsidRDefault="00FE0907" w:rsidP="00FE0907">
      <w:pPr>
        <w:pStyle w:val="Extracto"/>
      </w:pPr>
      <w:r>
        <w:t>3.</w:t>
      </w:r>
      <w:r>
        <w:tab/>
        <w:t>La reconvención tiene la consideración de una nueva pretensión que se acumula por el demandado a un proceso en curso o, lo que es lo mismo, una demanda nueva, que se valorará por separado (art. 489.17 L.E.C.), aunque se tramite en el mismo juicio de la demanda principal [F.J. 3].</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lastRenderedPageBreak/>
        <w:t>SENTENCIA</w:t>
      </w:r>
    </w:p>
    <w:p w:rsidR="00FE0907" w:rsidRDefault="00FE0907" w:rsidP="00FE0907">
      <w:pPr>
        <w:pStyle w:val="TextoNormalCentrado"/>
        <w:keepNext/>
      </w:pPr>
    </w:p>
    <w:p w:rsidR="00FE0907" w:rsidRDefault="00FE0907" w:rsidP="00FE0907">
      <w:pPr>
        <w:pStyle w:val="TextoNormal"/>
      </w:pPr>
      <w:r>
        <w:t>En el recurso de amparo núm. 1.748/88, promovido por la entidad "Colegio de Enseñanza Antonio Trueba, S.A.", representada por el Procurador de los Tribunales don Antonio García Arribas y asistida por el Letrado don Luís Fernando Bazán Laclaustra, contra Auto de 4 de octubre de 1988 de la Sala Primera del Tribunal Supremo, que inadmitió el recurso de casación interpuesto contra la Sentencia dictada, en fecha 10 de febrero de 1988, por la Sala de lo Civil de la Audiencia Territorial de Bilbao en el rollo núm. 688/85. En el proceso de amparo ha comparecido el Ministerio Fiscal y la entidad "Colegio de Enseñanza Trueba de Archanda, Sociedad Cooperativa Limitada", representada por el Procurador don José Murga Rodríguez y asistido por el Letrado don F. Javier Alberdi. Ha sido Ponente el Magistrado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tiene entrada en este Tribunal el 4 de noviembre de 1988, el Procurador de los Tribunales don Antonio García Arribas interpone, en nombre y representación de la entidad "Colegio de Enseñanza Antonio Trueba S.A.", recurso de amparo contra Auto de 4 de octubre de 1988 de la Sala Primera del Tribunal Supremo, que inadmitió el recurso de casación interpuesto contra la Sentencia de 10 de febrero de 1988 de la Sala de lo Civil de la Audiencia Territorial de Bilbao, dictada en el rollo de apelación núm. 688/85.</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basa, en síntesis, en los siguientes hechos: </w:t>
      </w:r>
    </w:p>
    <w:p w:rsidR="00FE0907" w:rsidRDefault="00FE0907" w:rsidP="00FE0907">
      <w:pPr>
        <w:pStyle w:val="TextoNormal"/>
      </w:pPr>
      <w:r>
        <w:t xml:space="preserve">a) Con fecha 1 de marzo de 1985, la sociedad "Colegio de Enseñanza Antonio Trueba S.A.", hoy recurrente de amparo, formuló demanda de juicio de menor cuantía contra la Sociedad Colegio de Enseñanza de Archanda, Sociedad Cooperativa Limitada, en reclamación de 2.000.000 de ptas., más 500.000 en concepto de indemnización de perjuicios, que fue tramitada en el Juzgado de Primera Instancia núm. 3 de Bilbao (autos núm. 243/85). La cooperativa demandada, en trámite de contestación a la demanda, se opuso a la misma alegando incumplimiento de contrato por la parte demandante, al tiempo que formuló demanda de reconvención en reclamación de 7.166.290 ptas., por lo que solicitó que la demandante le abonara 5.166.290 ptas., resultante de descontar al total reclamado la cantidad de 2.000.000 de ptas. objeto de la demanda. </w:t>
      </w:r>
    </w:p>
    <w:p w:rsidR="00FE0907" w:rsidRDefault="00FE0907" w:rsidP="00FE0907">
      <w:pPr>
        <w:pStyle w:val="TextoNormal"/>
      </w:pPr>
      <w:r>
        <w:t xml:space="preserve">b) En Sentencia dictada el 16 de septiembre de 1985, el Juzgado de Primera Instancia antes citado estimó parcialmente la demanda en cuantía de 2.000.000 y la reconvención en 2.209.411 ptas., declaró extinguidas las obligaciones de pago en la cantidad concurrente, y condenó a la actora Colegio de Enseñanza Antonio Trueba S.A., al pago de 209.411 ptas. más los intereses que procediesen. </w:t>
      </w:r>
    </w:p>
    <w:p w:rsidR="00FE0907" w:rsidRDefault="00FE0907" w:rsidP="00FE0907">
      <w:pPr>
        <w:pStyle w:val="TextoNormal"/>
      </w:pPr>
      <w:r>
        <w:t xml:space="preserve">c) Contra dicha parte formularon ambas partes recurso de apelación ante la Sala de lo Civil de la Audiencia Territorial de Bilbao (rollo núm. 688/85). Tras la pertinente tramitación, la Sala dictó Sentencia en fecha 10 de febrero de 1988, en la que estimó parcialmente el recurso planteado por la entidad Colegio de Enseñanza Trueba de Archanda, Sociedad Cooperativa Limitada, y revocó la Sentencia recurrida en cuanto a la estimación en la reconvención, incrementándola en otros 2.357.112 más. </w:t>
      </w:r>
    </w:p>
    <w:p w:rsidR="00FE0907" w:rsidRDefault="00FE0907" w:rsidP="00FE0907">
      <w:pPr>
        <w:pStyle w:val="TextoNormal"/>
      </w:pPr>
      <w:r>
        <w:t xml:space="preserve">d) La representación de la entidad demandante de amparo preparó recurso de casación por infracción de Ley contra la ci tada Sentencia (recurso núm. 823/88). Por Auto de 4 de </w:t>
      </w:r>
      <w:r>
        <w:lastRenderedPageBreak/>
        <w:t>octubre de 1988, la Sala Primera del Tribunal Supremo inadmitió el recurso de casación, de conformidad con lo dispuesto en la regla 2ª del art. 1.710 de la Ley de Enjuiciamiento Civil, en relación con el 1.697 y 1.687, "por no cubrir la cuantía reclamada la legalmente establecida".</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representación de la entidad recurrente de amparo estima, en primer lugar, que el Auto dictado por el Tribunal Supremo vulnera el derecho a obtener la tutela judicial efectiva del art. 24.1 de la Constitución. Al respecto alega, de un lado, que el Auto impugnado no está motivado pues en el mismo no se explica la razón por la cual la Sala entiende que la cuantía del proceso a efectos de acceso a la casación no es superior a 3.000.000 ptas. Y, de otro lado, que la inadmisión del recurso por razón de la cuantía es también contraria al art. 24.1 de la Constitución, toda vez que para determinar la procedencia o no del recurso de casación hay que atender no sólo a la cuantía fijada en la demanda, sino también en la reconvención, que en el presente caso supera el límite fijado para la casación. </w:t>
      </w:r>
    </w:p>
    <w:p w:rsidR="00FE0907" w:rsidRDefault="00FE0907" w:rsidP="00FE0907">
      <w:pPr>
        <w:pStyle w:val="TextoNormal"/>
      </w:pPr>
      <w:r>
        <w:t xml:space="preserve">En segundo lugar, aduce que la no admisión del recurso de casación para reclamaciones de cuantía superior a 3.000.000 ptas. formuladas por vía reconvencional, como parece interpretar el Tribunal Supremo, sería contraria al principio de igualdad del art. 14 de la C.E., pues los demandados en estas circunstancias estarían en peor situación que los demandados en procesos separados, sin razón alguna que justifique esta discriminación. </w:t>
      </w:r>
    </w:p>
    <w:p w:rsidR="00FE0907" w:rsidRDefault="00FE0907" w:rsidP="00FE0907">
      <w:pPr>
        <w:pStyle w:val="TextoNormal"/>
      </w:pPr>
      <w:r>
        <w:t>Por todo ello, solicita de este Tribunal que otorgue el amparo y, en consecuencia, anule el Auto recurrido y retrotraiga las actuaciones del recurso de casación al momento procesal inmediatamente anterior al de dictarse el Auto impugnado. Por "otrosí" solicita, de conformidad con lo dispuesto en el art. 56 de la LOTC, que se suspenda la ejecución del Auto impugnado, pues la misma hacía perder al amparo su finalidad.</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12 de diciembre de 1988, la Sección Cuarta de la Sala Segunda (en la actualidad Sala Primera) acuerda admitir a trámite la demanda de amparo formulada por el Colegio de Enseñanza Antonio Trueba, S.A., sin perjuicio de lo que resulte de los antecedentes, y tener por personado y parte en nombre y representación del mismo al Procurador Sr. García Arribas. Asimismo, y a tenor de lo dispuesto en el art. 51 de la Ley Orgánica del Tribunal Constitucional (LOTC), acuerda requerir atentamente al Tribunal Supremo y a la Audiencia de Bilbao, para que en el plazo de diez días remitan, respectivamente, testimonio del recurso de casación núm. 823/88 y del rollo de Sala núm. 688/85 dimanante de los autos núm. 243/85 del Juzgado de Primera Instancia núm. 3, interesándose al propio tiempo se emplace a quienes fueron parte en el mencionado procedimiento con excepción del recurrente que aparece ya personado, para que en el plazo de diez días puedan comparecer en este proceso constitucional.</w:t>
      </w:r>
    </w:p>
    <w:p w:rsidR="00FE0907" w:rsidRDefault="00FE0907" w:rsidP="00FE0907">
      <w:pPr>
        <w:pStyle w:val="TextoNormal"/>
      </w:pPr>
    </w:p>
    <w:p w:rsidR="00FE0907" w:rsidRDefault="00FE0907" w:rsidP="00FE0907">
      <w:pPr>
        <w:pStyle w:val="TextoNormal"/>
      </w:pPr>
      <w:r w:rsidRPr="00FE0907">
        <w:rPr>
          <w:rStyle w:val="NumeroAFNegritaCaracter"/>
        </w:rPr>
        <w:t>5</w:t>
      </w:r>
      <w:r>
        <w:t>. Por escrito presentado el 18 de enero de 1989, el Procurador de los Tribunales don José Murga Rodríguez, en nombre y representación de la entidad "Colegio de Enseñanza Trueba de Archanda, Sociedad Cooperativa Limitada", se persona en el presente recurso, solicitando que se entiendan con él las sucesivas diligencias.</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Por providencia de 16 de mayo de 1989, la Sección acuerda tener por recibidas las actuaciones remitidas por la Sala Primera del Tribunal Supremo, y por personado y parte al Procurador don José de Murga Rodríguez, en nombre y representación del Colegio de Enseñanza Trueba de Archanda, entendiéndose con el mismo las sucesivas diligencias. </w:t>
      </w:r>
      <w:r>
        <w:lastRenderedPageBreak/>
        <w:t>Asimismo, y a tenor de lo dispuesto en el art. 52 de la Ley Orgánica del Tribunal Constitucional, acuerda dar vista de todas las actuaciones del presente recurso de amparo, por un plazo común de veinte días al Ministerio Fiscal, y a los Procuradores Sres. García Arribas y Murga Rodríguez, para que dentro de dicho término puedan presentar las alegaciones que a su derecho convenga.</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En su escrito de alegaciones, presentado el 9 de junio de 1989, el Ministerio Fiscal interesa que se dicte Sentencia estimando el recurso de amparo, por vulnerar la resolución impugnada el derecho fundamental consagrado en el art. 24.1 de la Constitución. En primer término, alega que la reconvención es la inserción de una nueva pretensión en un proceso ya establecido, y su característica es que la nueva pretensión procesal se interpone por el demandado frente al actor. No es una oposición, sino que constituye una auténtica reclamación de fondo dirigida al órgano jurisdiccional en la que el sujeto activo es el sujeto pasivo de otra pretensión anterior. Hay, pues, en un mismo proceso dos pretensiones, una de ellas añadida por el primitivo demandado, cuyo fundamento es la economía procesal. Cada pretensión conserva sus características propias pero se resuelven en una misma Sentencia. La única consecuencia de la acumulación de pretensiones, por medio de reconvención, es que se discuten al propio tiempo y en la misma forma que la cuestión principal del pleito y son resueltas con ésta, en la misma sentencia definitiva (art. 544 L.E.C.), pero no constituyen una sola pretensión, sino dos pretensiones. El demandado al reconvenir asume el carácter de actor en el mismo proceso en que es demandado. El valor de la reconvención no se suma al valor del objeto de la demanda, como establece el art. 489-14 de la L.E.C. en otros supuestos, sino que se valora por separado (art. 489-17 de la L.E.C.). Todas estas notas significan que la pretensión que constituye el objeto de la reconvención tiene entidad propia y no puede ser considerada accesoria de la pretensión objeto de la demanda. Hay en los sujetos del proceso una dualidad de posiciones procesales y tienen la consideración de actores y demandados al mismo tiempo. </w:t>
      </w:r>
    </w:p>
    <w:p w:rsidR="00FE0907" w:rsidRDefault="00FE0907" w:rsidP="00FE0907">
      <w:pPr>
        <w:pStyle w:val="TextoNormal"/>
      </w:pPr>
      <w:r>
        <w:t xml:space="preserve">En segundo término, aduce que la nueva regulación del recurso de casación establece la cuantía mínima de tres millones para acceder al mismo. En el proceso de menor cuantía, pues, solo procede el recurso de casación cuando su cuantía alcance los tres millones de ptas. Esto supone que en este proceso si el objeto de la demanda y reconvención tiene un valor, cada una de ellas, inferior a tres millones de ptas. no cabe el recurso de casación contra la sentencia de la Audiencia. El problema se plantea cuando en un proceso de menor cuantía el objeto de la demanda es inferior al límite de tres millones y el de la reconvención es superior o al contrario. La naturaleza de la reconvención, antes expuesta, permite afirmar que si la cuantía de la reconvención es superior a tres millones de ptas. debe proceder el recurso de casación, aunque limitado a la impugnación del objeto de la reconvención. Esta conclusión nace de la interpretación conjunta de la naturaleza y límites económicos del proceso de menor cuantía, de los límites de ac ceso al recurso de casación y de la posibilidad de reconvenir, de acuerdo con el art. 63-4 de la L.E.C., cuando el Juez que conoce de la demanda tenga atribuciones para conocer la reconvención por razón de la cuantía. La interpretación contraria significa privar, sin fundamentación legal, del recurso de casación a pretensiones, que por su cuantía o naturaleza, tienen esa posibilidad. El fin de la reconvención es la economía procesal y esta finalidad no se logra con la interpretación anterior, porque nadie deduciría reconvención, en el supuesto de diferencia de valor con el objeto de la demanda, al verse privado de un recurso que legalmente procedía en el caso de deducir la pretensión de forma independiente. </w:t>
      </w:r>
    </w:p>
    <w:p w:rsidR="00FE0907" w:rsidRDefault="00FE0907" w:rsidP="00FE0907">
      <w:pPr>
        <w:pStyle w:val="TextoNormal"/>
      </w:pPr>
      <w:r>
        <w:lastRenderedPageBreak/>
        <w:t xml:space="preserve">Por lo que respecta al caso ahora enjuiciado, el Fiscal considera que la resolución judicial impugnada, que inadmite el recurso de casación porque "la cuantía reclamada no cubre la establecida legalmente", carece de fundamento porque la impugnación del recurrente se deduce contra la sentencia de la Audiencia en cuanto resuelve la pretensión reconvencional y ésta si alcanza la cuantía mínima que exige la ley procesal para acceder al recurso de casación. El Tribunal Supremo no justifica en su resolución la razón de no admitir el recurso de casación, pues la resolución no distingue entre las dos pretensiones que constituyen el objeto de la demanda y reconvención y, al no distinguir entre estas dos pretensiones, su respuesta de inadmisión no es adecuada ni congruente a la pretensión casacional deducida por el actor. La resolución impugnada tiene fundamentación respecto a una pretensión que no se ha planteado y carece de ella respecto a la pretensión que se plantea. Esta carencia de fundamentación de la resolución que inadmite el recurso de casación significa que el órgano judicial no acredita la causa legal que determina la inadmisión y priva al actor del acceso a un recurso legalmente establecido, con violación del derecho a la tutela judicial efectiva. De otra parte, el Tribunal Supremo interpreta, en este supuesto concreto, la naturaleza y normativa de la reconvención y acumulación de pretensiones. Y esta interpretación formalista y rigurosa crea un obstáculo procesal, inexistente en la normativa procesal, que adolece de arbitrariedad y fundamentación y que impide el acceso a un recurso legalmente establecido por lo que incide en el contenido del derecho a la tutela judicial efectiva y constituye su violación. </w:t>
      </w:r>
    </w:p>
    <w:p w:rsidR="00FE0907" w:rsidRDefault="00FE0907" w:rsidP="00FE0907">
      <w:pPr>
        <w:pStyle w:val="TextoNormal"/>
      </w:pPr>
      <w:r>
        <w:t>Finalmente, por lo que se refiere a la presunta violación del art. 14 de la Constitución, el Fiscal estima que no tiene base porque el recurrente no aporta "término de comparación" para realizar la confrontación con la resolución impugnada y poder afirmar en su caso la discriminación denunciada.</w:t>
      </w:r>
    </w:p>
    <w:p w:rsidR="00FE0907" w:rsidRDefault="00FE0907" w:rsidP="00FE0907">
      <w:pPr>
        <w:pStyle w:val="TextoNormal"/>
      </w:pPr>
    </w:p>
    <w:p w:rsidR="00FE0907" w:rsidRDefault="00FE0907" w:rsidP="00FE0907">
      <w:pPr>
        <w:pStyle w:val="TextoNormal"/>
      </w:pPr>
      <w:r w:rsidRPr="00FE0907">
        <w:rPr>
          <w:rStyle w:val="NumeroAFNegritaCaracter"/>
        </w:rPr>
        <w:t>8</w:t>
      </w:r>
      <w:r>
        <w:t xml:space="preserve">. La representación de la entidad recurrente, en escrito presentado el 30 de mayo de 1989, se remite expresamente a todos los hechos y fundamentos del escrito de demanda a fin de evitar su repetición. No obstante, reitera, en primer término, que el Auto impugnado vulnera el derecho a la tutela judicial efectiva (art. 24.1 C.E.) al contener una fundamentación insuficiente y orientada en sentido desfavorable para la efectividad del citado derecho fundamental. El Auto del Tribunal Supremo fundamenta deficientemente la inadmisión con la mera cita de ciertos preceptos de la Ley de Enjuiciamiento Civil, olvidando la concurrencia en el caso de la demanda reconvencional, la cuantía de ésta y el contenido de las Sentencias, dando por supuesto que la cuantía no excede de 3.000.000 ptas. (por no exceder esta suma la cuantía del escrito inicial de demanda), interpretando los preceptos procesales en juego en el sentido más desfavorable a la efectividad del derecho del art. 24.1, ya que los interpreta a todos los efectos en el sentido de que el único momento determinante de la cuantía procesal es el del escrito de demanda, careciendo de relevancia actos posteriores, como la Reconvención, siendo tales preceptos procesales susceptibles de otra interpretación más favorable a la efectividad del derecho del art. 24.1, como se ha argumentado ya en el escrito de demanda. </w:t>
      </w:r>
    </w:p>
    <w:p w:rsidR="00FE0907" w:rsidRDefault="00FE0907" w:rsidP="00FE0907">
      <w:pPr>
        <w:pStyle w:val="TextoNormal"/>
      </w:pPr>
      <w:r>
        <w:t xml:space="preserve">En segundo término, insiste en que el Auto impugnado también infringe el principio de igualdad del art. 14 de la Constitución, pues, al inadmitir la casación, por considerar fijada la cuantía con el escrito de demanda, coloca al demandado reconvencional en peor situación, ya que ese mismo demandado en proceso separado tendría acceso al recurso dada la cuantía. Tal trato contrario al principio de igualdad carece de causa alguna que lo justifique, ya que no existe razón para justificar un trato diferente en cuanto al acceso al recurso de casación para el demandado en vía reconvencional del que se otorga al demandado en </w:t>
      </w:r>
      <w:r>
        <w:lastRenderedPageBreak/>
        <w:t xml:space="preserve">proceso independiente y separado. No es conforme a la Constitución interpretar los preceptos invocados de tal forma que, si la demanda no es superior a 3.000.000 pesetas, pero sí la reconvención (como ocurre en el presente caso), no hay acceso a la casación frente a los pronunciamientos judiciales relativos al demandado, y, en cambio, sí la hay, respecto a los que se refieran a la reconvención, es decir, con respecto a la otra parte del proceso, cuya pretensión de ser ejercitada separadamente permitiría a ambas partes acceder al recurso. </w:t>
      </w:r>
    </w:p>
    <w:p w:rsidR="00FE0907" w:rsidRDefault="00FE0907" w:rsidP="00FE0907">
      <w:pPr>
        <w:pStyle w:val="TextoNormal"/>
      </w:pPr>
      <w:r>
        <w:t>En atención a lo expuesto, solicita que se dicte Sentencia estimatoria del recurso y otorgue el amparo solicitado y, en su consecuencia, reconozca el derecho fundamental del recurrente a la tutela judicial efectiva, anule el Auto de 4 de octubre de 1988 de la Sala Primera del Tribunal Supremo, y retrotraiga las actuaciones del citado recurso de casación al momento procesal inmediatamente anterior al de dictarse el Auto anulado.</w:t>
      </w:r>
    </w:p>
    <w:p w:rsidR="00FE0907" w:rsidRDefault="00FE0907" w:rsidP="00FE0907">
      <w:pPr>
        <w:pStyle w:val="TextoNormal"/>
      </w:pPr>
    </w:p>
    <w:p w:rsidR="00FE0907" w:rsidRDefault="00FE0907" w:rsidP="00FE0907">
      <w:pPr>
        <w:pStyle w:val="TextoNormal"/>
      </w:pPr>
      <w:r w:rsidRPr="00FE0907">
        <w:rPr>
          <w:rStyle w:val="NumeroAFNegritaCaracter"/>
        </w:rPr>
        <w:t>9</w:t>
      </w:r>
      <w:r>
        <w:t>. Por escrito presentado el 14 de junio de 1989, la representación de la entidad "Colegio de Enseñanza Trueba de Archanda, Sociedad Cooperativa Limitada", comparecida como parte demandada, alega que, a la vista de las actuaciones y la solicitud inicial de la recurrente, es evidente que sus pretensiones no alcanzan la cuantía susceptible de casación ante el Tribunal Supremo, por lo que considera que la resolución ahora impugnada está plenamente ajustada a derecho.</w:t>
      </w:r>
    </w:p>
    <w:p w:rsidR="00FE0907" w:rsidRDefault="00FE0907" w:rsidP="00FE0907">
      <w:pPr>
        <w:pStyle w:val="TextoNormal"/>
      </w:pPr>
    </w:p>
    <w:p w:rsidR="00FE0907" w:rsidRDefault="00FE0907" w:rsidP="00FE0907">
      <w:pPr>
        <w:pStyle w:val="TextoNormal"/>
      </w:pPr>
      <w:r w:rsidRPr="00FE0907">
        <w:rPr>
          <w:rStyle w:val="NumeroAFNegritaCaracter"/>
        </w:rPr>
        <w:t>10</w:t>
      </w:r>
      <w:r>
        <w:t>. Por Auto de 6 de febrero de 1989, dictado en la pieza separada de suspensión, la Sala denegó la suspensión solicitada por la entidad recurrente.</w:t>
      </w:r>
    </w:p>
    <w:p w:rsidR="00FE0907" w:rsidRDefault="00FE0907" w:rsidP="00FE0907">
      <w:pPr>
        <w:pStyle w:val="TextoNormal"/>
      </w:pPr>
    </w:p>
    <w:p w:rsidR="00FE0907" w:rsidRDefault="00FE0907" w:rsidP="00FE0907">
      <w:pPr>
        <w:pStyle w:val="TextoNormal"/>
      </w:pPr>
      <w:r w:rsidRPr="00FE0907">
        <w:rPr>
          <w:rStyle w:val="NumeroAFNegritaCaracter"/>
        </w:rPr>
        <w:t>11</w:t>
      </w:r>
      <w:r>
        <w:t>. Por providencia de 27 de abril de 1992, se señaló el día 29 del mismo mes y año para deliberación y fallo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cuestión planteada en el presente recurso de amparo consiste en determinar si ha resultado vulnerado el derecho a la tutela judicial efectiva (art. 24.1 C.E.), con indefensión para la entidad recurrente, como consecuencia de haber inadmitido la Sala Primera del Tribunal Supremo, de manera inmotivada y debido a un error en la determinación de la cuantía del litigio, el recurso de casación interpuesto.  En este sentido, aunque en la demanda también se invoca la posible vulneración del principio de igualdad (art.  14 C.E.), en realidad esta infracción constitucional se confunde con la del derecho a obtener la tutela judicial efectiva y a la no indefensión, puesto que se basa en la inadmisión del recurso de casación y, en todo caso, la denunciada falta de motivación en la resolución recurrida impide apreciar que la inadmisión del recurso se haya basado en razones discriminatorias para la entidad recurrente de amparo.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Es doctrina reiterada de este Tribunal que el derecho a la tutela efectiva que garantiza el art.  24.1 de la Constitución comprende, en los casos y con los requisitos que la Ley establezca, la utilización de los recursos legalmente previstos contra las resoluciones de los órganos judiciales, incluido el recurso de casación.  En consecuencia, infringe aquel derecho fundamental cualquier decisión de inadmisión de un recurso que no se funde en la aplicación razonada y razonable de una causa legal de inadmisibilidad, puesto que, si bien </w:t>
      </w:r>
      <w:r>
        <w:lastRenderedPageBreak/>
        <w:t>es cierto que corresponde al Tribunal Supremo la última decisión sobre la admisión de los recursos de casación y la verificación de la concurrencia de los requisitos materiales y procesales a que los mismos están sujetos, también lo es que si no está justificada o debidamente motivada la decisión, se funda en un manifiesto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 (entre otras, SSTC 10/1987, 214/1988, y 50/1990).  Más concretamente, y por lo que respecta a los límites que por razón de la cuantía condicionan la admisibilidad del recurso de casación civil (art. 1710.2, en relación con los arts. 1.697 y 1.687.1 de la LEC), este Tribunal ha afirmado -en la STC 50/1990, antes citada-, que en los supuestos en los que, para determinar, a los efectos de la casación, la cuantía litigiosa sean posibles distintos criterios de interpretación, el Tribunal Supremo debe dar prevalencia a la interpretación más favorable para la viabilidad del recurso por imperativo del derecho constitucional a la tutela judicial efectiva.</w:t>
      </w:r>
    </w:p>
    <w:p w:rsidR="00FE0907" w:rsidRDefault="00FE0907" w:rsidP="00FE0907">
      <w:pPr>
        <w:pStyle w:val="TextoNormal"/>
      </w:pPr>
    </w:p>
    <w:p w:rsidR="00FE0907" w:rsidRDefault="00FE0907" w:rsidP="00FE0907">
      <w:pPr>
        <w:pStyle w:val="TextoNormal"/>
      </w:pPr>
      <w:r w:rsidRPr="00FE0907">
        <w:rPr>
          <w:rStyle w:val="NumeroAFNegritaCaracter"/>
        </w:rPr>
        <w:t>3</w:t>
      </w:r>
      <w:r>
        <w:t>. Por lo que se refiere al caso que nos ocupa, la Sala Primera del Tribunal Supremo inadmitió el recurso de casación por razón de la cuantía, de conformidad con lo dispuesto en la regla 2ª del art. 1.710 de la L.E.C., en relación con los arts.  1.697 y 1.687 de dicha Ley, razonando la inadmisión del recurso "por no cubrir la cuantía reclamada la legalmente establecida".  Por contra, el examen de las actuaciones remitidas pone de manifiesto, tal como arguyen tanto la entidad recurrente como el Ministerio Fiscal, que la cuantía litigiosa superaba con creces el mínimo legalmente establecido (-3.000.000 ptas.: art.  1.687.1 de la L.E.C.-), pues, aunque la cantidad inicialmente demandada por la entidad hoy recurrente era de 2.500.000 ptas, la demanda reconvencional formulada en su contra por la parte demandada ascendía a 7.166.290 ptas. y el importe de la condena fijado en la Sentencia de apelación, como consecuencia de la estimación parcial de la demanda reconvencional, era de 4.566.523 ptas.</w:t>
      </w:r>
    </w:p>
    <w:p w:rsidR="00FE0907" w:rsidRDefault="00FE0907" w:rsidP="00FE0907">
      <w:pPr>
        <w:pStyle w:val="TextoNormal"/>
      </w:pPr>
      <w:r>
        <w:t>Por ello, el Auto del Tribunal Supremo ahora impugnado, que cierra el acceso al recurso de casación por entender que la cuantía litigosa era inferior a la legalmente exigida, es contrario al derecho a obtener la tutela judicial efectiva consagrado en el art. 24.1 de la C.E.  En efecto, en primer término, dicho Auto carece de la necesaria motivación, pues la sola cita de los preceptos de la L.E.C. que apoyan la inadmisión del recurso no puede integrar la exigencia constitucional de motivación que el art.  24.1 de la C.E.  impone, dado que nada se dice, ni sobre los criterios a través de los cuales pueda inferirse que no se alcanza la suma de gravamen, ni siquiera acerca de cuál es la cuantía que, para el Tribunal Supremo, tenía el pleito.  En segundo término, si la demanda de reconvención formulada contra la hoy recurrente de amparo era por cuantía de 7.166.290 ptas.  y la condena fijada en la Sentencia recurrida, en virtud de la demanda reconvencional, era de 4.566.523 ptas., como antes se dijo, la afirmación del Tribunal Supremo de que el recurso no cubría la cuantía legalmente establecida para la casación ha sido consecuencia de una determinación de la cuantía, no razonada ni explicada, por lo que ha de concluirse que se ha vulnerado el derecho de la recurrente a obtener la tutela judicial efectiva (art.  24.1 C.E.), al haberse inadmitido el recurso de casación en virtud de una decisión que, aun cuando aparece formalmente motivada, adolece de un manifiesto error.  En este sentido, tal y como hemos tenido recientemente ocasión de declarar en la STC 55/1992, de esta Sala, el hecho de que la condena de la entidad recurrente haya sido consecuencia de la estimación de la demanda reconvencional formulada en su contra, ninguna relevancia o incidencia puede tener en el régimen del recurso de casación, puesto que la reconvención tiene la considera</w:t>
      </w:r>
      <w:r>
        <w:lastRenderedPageBreak/>
        <w:t>ción de una nueva pretensión que se acumula por el demandado a un proceso en curso o, lo que es lo mismo, una demanda nueva, que se valorará por separado (art.  489, regla 17, de la L.E.C.), aunque se tramite en el mismo juicio de la demanda principal; y, de otra, el recurso de casación inadmitido se había interpuesto únicamente contra la condena derivada de la reconvención, no respecto de la demanda inicial de la recurrente, que había sido parcialmente estimada, tanto en primera, como en segunda instancia.</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amparo solicitado por la entidad "Colegio de Enseñanza Antonio Trueba, S.A.", y, en su virtud:</w:t>
      </w:r>
    </w:p>
    <w:p w:rsidR="00FE0907" w:rsidRDefault="00FE0907" w:rsidP="00FE0907">
      <w:pPr>
        <w:pStyle w:val="TextoNormal"/>
      </w:pPr>
      <w:r>
        <w:t>1º Declarar la nulidad del Auto de 4 de octubre de 1988 de la Sala Primera de Tribunal Supremo (recurso núm. 823/88).</w:t>
      </w:r>
    </w:p>
    <w:p w:rsidR="00FE0907" w:rsidRDefault="00FE0907" w:rsidP="00FE0907">
      <w:pPr>
        <w:pStyle w:val="TextoNormal"/>
      </w:pPr>
      <w:r>
        <w:t>2º Reconocer a la recurrente el derecho fundamental a la tutela judicial efectiva.</w:t>
      </w:r>
    </w:p>
    <w:p w:rsidR="00FE0907" w:rsidRDefault="00FE0907" w:rsidP="00FE0907">
      <w:pPr>
        <w:pStyle w:val="TextoNormal"/>
      </w:pPr>
      <w:r>
        <w:t>3º Restablecer a la recurrente en la integridad de su derecho, retrotrayendo las actuaciones en el citado recurso de casación al momento procesal inmediatamente anterior al de dictarse el Auto anulado.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veintinueve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7" w:name="SENTENCIA_1992_64"/>
      <w:r>
        <w:lastRenderedPageBreak/>
        <w:t>SENTENCIA 64/1992, de 29 de abril de 1992</w:t>
      </w:r>
    </w:p>
    <w:bookmarkEnd w:id="67"/>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ECLI:ES:TC:1992:64</w:t>
      </w:r>
    </w:p>
    <w:p w:rsidR="00FE0907" w:rsidRDefault="00FE0907" w:rsidP="00FE0907">
      <w:pPr>
        <w:pStyle w:val="SntesisDescriptiva"/>
      </w:pPr>
    </w:p>
    <w:p w:rsidR="00FE0907" w:rsidRDefault="00FE0907" w:rsidP="00FE0907">
      <w:pPr>
        <w:pStyle w:val="SntesisDescriptiva"/>
      </w:pPr>
      <w:r>
        <w:t>Recurso de amparo 2.129/1988. Contra Sentencia del Tribunal Supremo declarando mal admitida apelación en proceso contencioso-administrativo de protección de derechos fundamentales, acerca de una investigación sobre situación tributaria del actor.</w:t>
      </w:r>
    </w:p>
    <w:p w:rsidR="00FE0907" w:rsidRDefault="00FE0907" w:rsidP="00FE0907">
      <w:pPr>
        <w:pStyle w:val="SntesisDescriptiva"/>
      </w:pPr>
    </w:p>
    <w:p w:rsidR="00FE0907" w:rsidRDefault="00FE0907" w:rsidP="00FE0907">
      <w:pPr>
        <w:pStyle w:val="SntesisAnaltica"/>
      </w:pPr>
      <w:r>
        <w:t>Supuesta vulneración del derecho a la tutela judicial efectiva: incumplimiento de un requisito esencial por conducta negligente del recurrente</w:t>
      </w:r>
    </w:p>
    <w:p w:rsidR="00FE0907" w:rsidRDefault="00FE0907" w:rsidP="00FE0907">
      <w:pPr>
        <w:pStyle w:val="SntesisAnaltica"/>
      </w:pPr>
    </w:p>
    <w:p w:rsidR="00FE0907" w:rsidRDefault="00FE0907" w:rsidP="00FE0907">
      <w:pPr>
        <w:pStyle w:val="Extracto"/>
      </w:pPr>
      <w:r>
        <w:t>1.</w:t>
      </w:r>
      <w:r>
        <w:tab/>
        <w:t>Los Tribunales deben evitar cualquier exceso formalista que convierta los cauces procesales en obstáculos que, en sí mismo,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recurrida [F.J. 3].</w:t>
      </w:r>
    </w:p>
    <w:p w:rsidR="00FE0907" w:rsidRDefault="00FE0907" w:rsidP="00FE0907">
      <w:pPr>
        <w:pStyle w:val="Extracto"/>
      </w:pPr>
    </w:p>
    <w:p w:rsidR="00FE0907" w:rsidRDefault="00FE0907" w:rsidP="00FE0907">
      <w:pPr>
        <w:pStyle w:val="Extracto"/>
      </w:pPr>
      <w:r>
        <w:t>2.</w:t>
      </w:r>
      <w:r>
        <w:tab/>
        <w:t>No toda irregularidad formal puede erigirse en un obstáculo insalvable para la prosecución del proceso. Debe procederse a permitir su subsanación, antes de inadmitir el recurso, siempre que así pueda lograrse la finalidad a la que sirve el requisito procesal incumplido sin detrimento de otros derechos o bienes constitucionalmente dignos de tutela, siempre que el defecto no tenga origen en una actividad negligente o maliciosa del interesado, y siempre que no dañe la regularidad del procedimiento, ni los legítimos intereses de la parte contraria [ F.J. 3].</w:t>
      </w:r>
    </w:p>
    <w:p w:rsidR="00FE0907" w:rsidRDefault="00FE0907" w:rsidP="00FE0907">
      <w:pPr>
        <w:pStyle w:val="Extracto"/>
      </w:pPr>
    </w:p>
    <w:p w:rsidR="00FE0907" w:rsidRDefault="00FE0907" w:rsidP="00FE0907">
      <w:pPr>
        <w:pStyle w:val="Extracto"/>
      </w:pPr>
      <w:r>
        <w:t>3.</w:t>
      </w:r>
      <w:r>
        <w:tab/>
        <w:t>El art. 9.2 de la Ley 62/1978 concentra, en una sola fase procesal, la interposición del recurso de apelación y la formulación de los motivos que sustentan la impugnación del fallo pronunciado en la instancia. Con esta regulación del proceso contencioso-administrativo de amparo, la Ley se aparta del régimen tradicional de la apelación previsto en el art. 100 L.J.C.A. y en la propia L.E.C., y se aproxima a modelos más sencillos, como el del recurso laboral de suplicación o la apelación en el procedimiento penal abreviado [F.J. 4].</w:t>
      </w:r>
    </w:p>
    <w:p w:rsidR="00FE0907" w:rsidRDefault="00FE0907" w:rsidP="00FE0907">
      <w:pPr>
        <w:pStyle w:val="Extracto"/>
      </w:pPr>
    </w:p>
    <w:p w:rsidR="00FE0907" w:rsidRDefault="00FE0907" w:rsidP="00FE0907">
      <w:pPr>
        <w:pStyle w:val="Extracto"/>
      </w:pPr>
      <w:r>
        <w:t>4.</w:t>
      </w:r>
      <w:r>
        <w:tab/>
        <w:t>La omisión de todo razonamiento en sustento de la impugnación articulada en el recurso, supone la inobservancia total de un requisito esencial de orden público, como lo es el de la preclusión, que, en garantía de la regularidad y concentración del procedimiento, ha de obligar a las partes a formular sus alegaciones en el plazo procesalmente previsto, todo ello bajo la sanción de la pérdida de la posibilidad de realización del acto o la de inadmisión del recurso [F.J. 5].</w:t>
      </w:r>
    </w:p>
    <w:p w:rsidR="00FE0907" w:rsidRDefault="00FE0907" w:rsidP="00FE0907">
      <w:pPr>
        <w:pStyle w:val="Extracto"/>
      </w:pPr>
    </w:p>
    <w:p w:rsidR="00FE0907" w:rsidRDefault="00FE0907" w:rsidP="00FE0907">
      <w:pPr>
        <w:pStyle w:val="Extracto"/>
      </w:pPr>
      <w:r>
        <w:t>5.</w:t>
      </w:r>
      <w:r>
        <w:tab/>
        <w:t xml:space="preserve">La presentación extemporánea de un recurso constituye un obstáculo insalvable para su admisión, salvo que la propia norma que fija el plazo inatendido fuera constitucionalmente ilegítima. Nada puede objetarse a que se frustre el ejercicio </w:t>
      </w:r>
      <w:r>
        <w:lastRenderedPageBreak/>
        <w:t>de un derecho por su negligente actuación extemporánea, aunque sea por un escaso margen de tiempo [F.J. 5].</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2.129/88, promovido por don Juan Peláez Fabra, representado por el Procurador don Luis Pozas Granero y actuando en su propia defensa por su condición de Abogado, contra la Sentencia emitida por el Tribunal Supremo (antigua Sala Quinta), de 11 noviembre 1988 (r. 1472-88 DF), que declaró mal admitida la apelación en proceso contencioso administrativo de protección de derechos fundamentales, acerca de una investigación sobre la situación tributaria del actor. Ha comparecido como parte el Abogado del Estado, ha intervenido el Ministerio Fiscal, y ha sido Ponente el Magistrado don Vicente Gimeno Sendra,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23 de diciembre de l988 tuvo entrada en este Tribunal escrito por el que se interpuso el recurso de referencia, en el que se solicita la anulación de la resolución judicial impugnada, con los demás pronunciamientos de rigor, por vulnerar el derecho fundamental a la tutela judicial efectiva del art. 24 Constitución.</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Los hechos que sustentan la pretensión de amparo son los siguientes: </w:t>
      </w:r>
    </w:p>
    <w:p w:rsidR="00FE0907" w:rsidRDefault="00FE0907" w:rsidP="00FE0907">
      <w:pPr>
        <w:pStyle w:val="TextoNormal"/>
      </w:pPr>
      <w:r>
        <w:t xml:space="preserve">1º) La Audiencia Nacional (Sala de lo Contencioso Administrativo, Sección Primera), por Sentencia de 28 enero 1988 (a. 17468) desestimó el recurso dirigido por el Sr. Peláez contra la comunicación, por parte de un Inspector de Finanzas del Estado perteneciente a la Subdirección General de Inspección Centralizada (Dirección General de Inspección Financiera y Tributaria, Ministerio de Economía y Hacienda), sin fecha, notificada el 6 mayo 1987, por la que se había puesto en conocimiento del contribuyente la iniciación de actuaciones de comprobación e investigación tributaria relativas al demandante, por parte de la Unidad especial de vigilancia y represión del fraude fiscal. </w:t>
      </w:r>
    </w:p>
    <w:p w:rsidR="00FE0907" w:rsidRDefault="00FE0907" w:rsidP="00FE0907">
      <w:pPr>
        <w:pStyle w:val="TextoNormal"/>
      </w:pPr>
      <w:r>
        <w:t xml:space="preserve">La Sentencia de la Audiencia fundó su fallo denegatorio en que no se había vulnerado el art. 14 C.E., porque las situaciones de los otros sesenta y seis mil contribuyentes sometidos a inspección aludidos en la demanda no eran iguales a la del actor; y en que el simple hecho del anuncio de las actuaciones no solamente no le sumía en indefensión, contraria al art. 24.1 C.E., sino que le facilitaba el ejercicio de sus derechos de defensa incluso con </w:t>
      </w:r>
      <w:r>
        <w:lastRenderedPageBreak/>
        <w:t xml:space="preserve">antelación a que, en el peor de los casos, se le formularan cargos, los cuales deberían ser entonces comunicados. </w:t>
      </w:r>
    </w:p>
    <w:p w:rsidR="00FE0907" w:rsidRDefault="00FE0907" w:rsidP="00FE0907">
      <w:pPr>
        <w:pStyle w:val="TextoNormal"/>
      </w:pPr>
      <w:r>
        <w:t xml:space="preserve">2º) La Sentencia fue notificada al Procurador del Sr. Peláez el día 4 marzo 1988. El cual presentó el siguiente día 10, último del plazo para hacerlo, escrito interponiendo recurso de apelación contra aquélla por considerarla lesiva a sus intereses, y no ajustada a Derecho. El recurrente cayó en la cuenta de que no había dado cumplimiento a lo prevenido en el art. 9.2 de la Ley 62/1978, pues no había fundamentado o razonado su recurso. Por ello, el siguiente día 11 marzo 1988 presentó, en el Juzgado de Guardia, un escrito en ampliación del anterior, formulando alegaciones. </w:t>
      </w:r>
    </w:p>
    <w:p w:rsidR="00FE0907" w:rsidRDefault="00FE0907" w:rsidP="00FE0907">
      <w:pPr>
        <w:pStyle w:val="TextoNormal"/>
      </w:pPr>
      <w:r>
        <w:t xml:space="preserve">Ese mismo día 11, la Sección inadmitió el recurso de apelación por no estar debidamente razonado, mediante providencia que fué notificada a la parte el siguiente día 28. El recurrente interpuso súplica el día 29 marzo, invocando el derecho fundamental a la tutela judicial efectiva, razonando que el recurso había sido interpuesto en tiempo aunque no en forma, pero que dicho defecto había sido subsanado espontáneamente, sin perjuicio para la regularidad del procedimiento ni para los intereses de la parte contraria. El Abogado del Estado se opuso, porque el escrito razonado había sido presentado el día 11, fuera del plazo legal. </w:t>
      </w:r>
    </w:p>
    <w:p w:rsidR="00FE0907" w:rsidRDefault="00FE0907" w:rsidP="00FE0907">
      <w:pPr>
        <w:pStyle w:val="TextoNormal"/>
      </w:pPr>
      <w:r>
        <w:t xml:space="preserve">Finalmente la Audiencia Nacional acordó, por Auto de 16 mayo 1988, admitir el recurso de apelación interpuesto por el demandante contra la Sentencia de 28 enero anterior, por entender que el requisito de la fundamentación no era tan esencial como la interposición dentro de plazo, habiendo subsanado la deficiencia el día siguiente, mucho antes de conocer la providencia de inadmisión. </w:t>
      </w:r>
    </w:p>
    <w:p w:rsidR="00FE0907" w:rsidRDefault="00FE0907" w:rsidP="00FE0907">
      <w:pPr>
        <w:pStyle w:val="TextoNormal"/>
      </w:pPr>
      <w:r>
        <w:t>3º) El Tribunal Supremo, por la Sentencia impugnada, declaró mal admitida la apelación y la inadmisión del recurso. En los procesos tramitados de conformidad con la Ley de Protección Jurisdiccional de los Derechos Fundamentales de la Persona de 1978, las alegaciones combatiendo o defendiendo la Sentencia apelada deben ser formuladas en los escritos de interposición del recurso por los apelantes, y en los escritos de personación por los apelados. Las alegaciones fueron presentadas cuando ya había precluído el derecho a hacerlo, por ser un plazo de caducidad que no admite prórroga ni puede ser abierto con posterioridad a la expiración del plazo marcado por el art. 9.2 de la Ley 62/1978. Sin que obste el que hubiera sido presentado al día siguiente, por las razones expresadas y porque --como alega el Abogado del Estado-- sentaría un grave precedente susceptible de ser invocado en el futuro en casos análogos.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Entiende el recurrente que la inadmisión decretada en la Sentencia impugnada vulnera el art. 24.1 de la Constitución. La tutela judicial efectiva comprende el derecho a obtener una decisión sobre el fondo. Aunque la concurrencia de los requisitos necesarios para el acceso a los recursos corresponde a los Tribunales ordinarios, de acuerdo con el art. 117.3 C.E., la inadmisión entra en la esfera de competencia del Tribunal Constitucional porque lesiona el derecho fundamental, al enlazar una sanción desproporcionada --la inadmisión del recurso-- a un defecto formal. Habiendo insistido la jurisprudencia sobre la técnica de la subsanación, cuando sea posible sin menoscabo de la regularidad del procedimiento y sin daño de la parte adversa, y sobre la primacía del principio pro actione. </w:t>
      </w:r>
    </w:p>
    <w:p w:rsidR="00FE0907" w:rsidRDefault="00FE0907" w:rsidP="00FE0907">
      <w:pPr>
        <w:pStyle w:val="TextoNormal"/>
      </w:pPr>
      <w:r>
        <w:t>La demanda sostiene que, en el caso de autos, parece patente que la solución correcta era aceptar la subsanación, que había sido realizada espontáneamente el día siguiente a la presentación del recurso, y no declarar su inadmisibilidad. El recurso fue presentado en tiempo hábil, por lo que no cabe hablar de caducidad del plazo; su subsanación no causó perjuicio a la Administración del Estado; y no existió negligencia ni contumacia en la pos</w:t>
      </w:r>
      <w:r>
        <w:lastRenderedPageBreak/>
        <w:t xml:space="preserve">tura del recurrente, ya que rectificó su imperdonable olvido en las veinticuatro horas siguientes. </w:t>
      </w:r>
    </w:p>
    <w:p w:rsidR="00FE0907" w:rsidRDefault="00FE0907" w:rsidP="00FE0907">
      <w:pPr>
        <w:pStyle w:val="TextoNormal"/>
      </w:pPr>
      <w:r>
        <w:t>Por añadidura, en materia de derechos fundamentales el recurso de apelación debería de admitirse aun cuando no se razonara en absoluto, puesto que el Tribunal dispone de todos los elementos de juicio necesarios para fallar el pleito. Siendo la fundamentación del recurso una oportunidad más --ante la segunda instancia-- que se da al ciudadano, pero a la que evidentemente puede renunciar, por distintos motivos, y entre otros por entender agotados los razonamientos utilizados en defensa de su tesis en los escritos precedentes.</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El recurso fue admitido por providencia de la Sección Cuarta de este Tribunal de 13 febrero l989, en la que se acordó requerir testimonio de las actuaciones judiciales. El día 22 se personó el Abogado del Estado en la representación que ostenta. </w:t>
      </w:r>
    </w:p>
    <w:p w:rsidR="00FE0907" w:rsidRDefault="00FE0907" w:rsidP="00FE0907">
      <w:pPr>
        <w:pStyle w:val="TextoNormal"/>
      </w:pPr>
      <w:r>
        <w:t xml:space="preserve">El siguiente 22 de mayo se reclamaron nuevamente las actuaciones. Tras recibirse el testimonio de las sustanciadas ante el Tribunal Supremo, el 16 junio 1989, se reiteró nuevamente la solicitud a la Audiencia Nacional, mediante telegramas de 7 julio y 12 septiembre 1989. El Presidente de su Sala de lo Contencioso Administrativo las remitió, junto con oficio, que tuvieron entrada en el registro de este Tribunal el 30 octubre 1989. </w:t>
      </w:r>
    </w:p>
    <w:p w:rsidR="00FE0907" w:rsidRDefault="00FE0907" w:rsidP="00FE0907">
      <w:pPr>
        <w:pStyle w:val="TextoNormal"/>
      </w:pPr>
      <w:r>
        <w:t>Por providencia de 13 noviembre 1989 se dió vista de las actuaciones a las partes, para que pudieran formular alegaciones en el plazo de veinte días.</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El Abogado del Estado, por escrito presentado el 1 diciembre 1989, alegó en favor de la denegación del amparo solicitado. </w:t>
      </w:r>
    </w:p>
    <w:p w:rsidR="00FE0907" w:rsidRDefault="00FE0907" w:rsidP="00FE0907">
      <w:pPr>
        <w:pStyle w:val="TextoNormal"/>
      </w:pPr>
      <w:r>
        <w:t xml:space="preserve">Respecto al derecho a los recursos establecidos por el legislador, la STC 157/1989, fundamento jurídico 2º, señala que el criterio antiformalista no puede conducir a eliminar los requisitos procesales; la inadmisión es una garantía y un medio de preservación objetiva del ordenamiento (STC 165/1989, fundamento jurídico 2º, 2/1989, fundamento jurídico 3º, 105/1989, fundamento jurídico 2º). La decisión judicial de tener por precluído un trámite procesal conlleva su ineludible pérdida, cualquiera que sea su fundamento; y está excluída del ámbito protegido por la Constitución la indefensión debida a la negligencia, error técnico o impericia de la parte (STC 101/1989, fundamentos jurídicos 3º y 5º). </w:t>
      </w:r>
    </w:p>
    <w:p w:rsidR="00FE0907" w:rsidRDefault="00FE0907" w:rsidP="00FE0907">
      <w:pPr>
        <w:pStyle w:val="TextoNormal"/>
      </w:pPr>
      <w:r>
        <w:t xml:space="preserve">Diversos Autos del Tribunal Constitucional se han pronunciado acerca del incumplimiento de la carga de razonar el escrito con el que se prepara la apelación en el recurso contencioso administrativo de la Ley 62/1978, considerándolo de tal trascendencia que equivale a la no utilización del recurso (ATC 85/1983), que la inadmisión no genera indefensión (ATC 661/1984), que se basa en los principios de preferencia y sumariedad, así como la evitación de que las restantes partes queden indefensas (ATC 159/1985). En fin, el ATC 296/1987 desechó la alegación de que el requisito, consistente en razonar el escrito de apelación es subsanable, por considerar que esa apreciación era de la incumbencia de la jurisdicción ordinaria, cuya decisión de inadmisión no carecía de fundamento o justificación. Esta misma tesis ha sido reafirmada por la STC 109/1985, cuyo fundamento jurídico 4º declaró que la segunda instancia es articulada, por la Ley 62/1978, sobre principios de brevedad y sumariedad; y que si el actor omitió formular alegaciones en el momento procesal oportuno, fue debido a un conocimiento equivocado o erróneo de las normas procesales, dando lugar a su propia indefensión. </w:t>
      </w:r>
    </w:p>
    <w:p w:rsidR="00FE0907" w:rsidRDefault="00FE0907" w:rsidP="00FE0907">
      <w:pPr>
        <w:pStyle w:val="TextoNormal"/>
      </w:pPr>
      <w:r>
        <w:t xml:space="preserve">La Sentencia impugnada no viola el art. 24.1 C.E., a la luz de la jurisprudencia constitucional. De admitirse la subsanación de la omisión de todo razonamiento en el escrito con que se prepara el recurso de apelación, se alteraría completamente el diseño procesal querido por la Ley 62/1978, de acuerdo con la preferencia y sumariedad que impone el art. </w:t>
      </w:r>
      <w:r>
        <w:lastRenderedPageBreak/>
        <w:t xml:space="preserve">53.2 C.E. Dado que de ese escrito se da traslado a las otras partes, para que hagan sus alegaciones al personarse, la subsanación o bien condenaría a éstas a la indefensión, o bien sería necesario un trámite nuevo --no previsto por la ley-- para dar traslado de las alegaciones al apelante, lo que solo serviría para dilatar el proceso y favorecer la negligencia, si es que no la mala fe procesal. </w:t>
      </w:r>
    </w:p>
    <w:p w:rsidR="00FE0907" w:rsidRDefault="00FE0907" w:rsidP="00FE0907">
      <w:pPr>
        <w:pStyle w:val="TextoNormal"/>
      </w:pPr>
      <w:r>
        <w:t xml:space="preserve">Las razones del recurrente no son atendibles. La Sentencia se limita a decir que había precluído el plazo dentro del cual, según el art. 9.2 de la Ley 62/1978, debía haberse presentado el escrito razonando la interposición del recurso, y que éste es un plazo de caducidad que no admite prórroga, tesis irreprochable con arreglo al art. 121.1 LJCA. El breve lapso de tiempo transcurrido entre la preclusión del plazo y el intento voluntario de subsanar no puede ser argumento válido en un problema ante todo cualitativo, cual es el de decidir si el art. 24.1 C.E. impone la calificación como subsanable del defecto consistente en omitir todo razonamiento en el escrito previsto por el art. 9.2 de la Ley 62/1978. Si la tesis del actor es exacta, igual sería que hubieran transcurrido meses después de finado el plazo de cinco días. </w:t>
      </w:r>
    </w:p>
    <w:p w:rsidR="00FE0907" w:rsidRDefault="00FE0907" w:rsidP="00FE0907">
      <w:pPr>
        <w:pStyle w:val="TextoNormal"/>
      </w:pPr>
      <w:r>
        <w:t>La solución de inadmisión a que llegó la que fue Sala Quinta del T.S. es congruente y proporcionada al vicio en que incurrió el recurrente, sobre quien pesaba la carga de argumentar su pretensión impugnatoria en un determinado momento procesal y en la forma prescrita --no arbitrariamente-- por la Ley. El criterio interpretativo que favorece la mayor efectividad de los derechos fundamentales es perfectamente compatible con el de su ejercicio responsable, al menos en aquéllos que están enlazados con los derechos de otras personas y que obligan a los poderes públicos a una actividad positiva de prestación, más allá de la mera abstención. Este criterio podría asentarse en el deber constitucional de respeto a la ley y a los derechos de terceros, que fluye de los arts. 1.1, 9.1 y 10.1 C.E., y en su virtud quien ejercita su derecho fundamental debe hacerlo de tal manera que no lo utilice para defender situaciones abusivas, excusar la negligencia propia, o amparar el imperfecto conocimiento de preceptos legales contra los que no cabe tacha de inconstitucionalidad. A la luz de este criterio, que el Abogado del Estado cree atisbar en las STC 157/1989, fundamento jurídico 2º, y 165/89, fundamento jurídico 1º, entre otras, procedería denegar el amparo.</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interesó la denegación del amparo, por escrito presentado el 11 diciembre l989. En él expone que el objeto del presente recurso se reduce a determinar si el defecto de falta de motivación del recurso de apelación es en sí subsanable (art. 11.3 LOPJ), o por el contrario se trata de un requisito esencial, no subsanable. En aras a la brevedad a que responde el cauce procesal de la Ley 62/1978 está justificado que la apelación se prepare en escrito razonado, subsumiendo en un mismo trámite varias fases procesales, lo que no puede incumplirse por un conocimiento equivocado o erróneo de los preceptos legales (ATC 655/1988). </w:t>
      </w:r>
    </w:p>
    <w:p w:rsidR="00FE0907" w:rsidRDefault="00FE0907" w:rsidP="00FE0907">
      <w:pPr>
        <w:pStyle w:val="TextoNormal"/>
      </w:pPr>
      <w:r>
        <w:t xml:space="preserve">La Sentencia que se dicte no puede contemplarse exclusivamente desde la óptica de este concreto procedimiento. Si se sigue la tesis del actor, los órganos judiciales deberían ofrecer la posibilidad de fundamentar todos los escritos de apelación que omitieran todo razonamiento, al estimarse subsanable. El que aquí se hubiera intentado subsanar por propia iniciativa es indiferente, tanto si se entiende que es subsanable como si se entiende lo contrario. </w:t>
      </w:r>
    </w:p>
    <w:p w:rsidR="00FE0907" w:rsidRDefault="00FE0907" w:rsidP="00FE0907">
      <w:pPr>
        <w:pStyle w:val="TextoNormal"/>
      </w:pPr>
      <w:r>
        <w:t>Nos encontramos ante un error del solicitante de amparo, debido a su exclusiva negligencia, que se traduce en la falta de un requisito esencial en un procedimiento caracterizado por los principios de brevedad y sumariedad, que es incompatible con cualquier subsa</w:t>
      </w:r>
      <w:r>
        <w:lastRenderedPageBreak/>
        <w:t>nación en cualquier momento posterior a la preclusión del plazo para recurrir, por el retraso en la tramitación que supondría, lo que origina un perjuicio para el procedimiento (SSTC 178/1988 y 2/1989). Por lo que no existe quiebra alguna del derecho fundamental a la tutela judicial efectiva del demandante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xml:space="preserve">. El recurrente en amparo formuló sus alegaciones en escrito que tuvo entrada en el registro el 9 diciembre 1989. La cuestión sobre la que se impetra el amparo constitucional es de gran sencillez fáctica: el actor se alzó en apelación contra la Sentencia dictada por la Audiencia Nacional dentro de plazo, pero en un escrito sin fundamentar; y ello en razón de que en el orden civil --jurisdicción en la que habitualmente ejerce su profesión de Abogado-- no se fundamentan tales recursos. Sin embargo, cayendo en la cuenta de su error, presentó escrito fundado el siguiente día, corrigiendo su falta inicial, lo que fué aceptado por la Audiencia, de conformidad con la doctrina constitucional sobre la subsanación. Pero no lo entendió así el Tribunal Supremo, en la Sentencia impugnada. </w:t>
      </w:r>
    </w:p>
    <w:p w:rsidR="00FE0907" w:rsidRDefault="00FE0907" w:rsidP="00FE0907">
      <w:pPr>
        <w:pStyle w:val="TextoNormal"/>
      </w:pPr>
      <w:r>
        <w:t>La conculcación del derecho fundamental a la tutela judicial efectiva es clara, como se argumenta en la demanda de amparo, y como ratifican las SSTC 132/1987 y 46/1989, las cuales permiten entender que el error cometido es disculpable, ya que nuestras leyes procesales son harto complejas y existen --como es obvio-- recursos que, bajo el mismo nombre de apelación, exigen distinto tratamiento procedimental. También es palmaria la diligencia procesal de la parte que, advertida de su error, lo subsanó al siguiente día.</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27 de abril de 1992, se acordó fijar para la deliberación y votación de la presente Sentencia el día 29 del mismo mes y año.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La presente pretensión de amparo consiste en solicitar de este Tribunal la anulación de la Sentencia del Tribunal Supremo de fecha 11 noviembre 1988, que declaró mal admitido el recurso de apelación interpuesto por el recurrente contra el fallo dictado por la Audiencia Nacional, que había desestimado su demanda de protección de derechos fundamentales contra la actuación de la Inspección Tributaria del Ministerio de Economía y Hacienda. La razón de la inadmisión estribó en que el actor había preparado su recurso de apelación mediante un escrito no razonado, incumpliendo lo dispuesto clara e imperativamente por el art.  9.2 de la Ley 62/1978 (de 26 diciembre, LPJDF).  En dicho escrito, presentado en la Secretaría de la Sección de la Audiencia Nacional el último de los cinco días del plazo establecido en ese mismo art.  9.2, se había limitado a señalar que la Sentencia de instancia era lesiva a sus intereses, y no ajustada a Derecho. Y sólo al día siguiente, cuando ya había expirado el plazo para recurrir, y ya la Audiencia había dictado providencia inadmitiendo a trámite la apelación mal preparada, su Procurador presentó en el Juzgado de Guardia un escrito de alegaciones en fundamentación de la apelación interpuesta, solicitando que se tuviera por subsanada la falta de razonamiento en su escrito inicial.  El Tribunal Supremo, revocando la admisión que finalmente había dictado la Audiencia Nacional, terminó rechazando la admisión del recurso de apelación mediante la Sentencia impugnada.</w:t>
      </w:r>
    </w:p>
    <w:p w:rsidR="00FE0907" w:rsidRDefault="00FE0907" w:rsidP="00FE0907">
      <w:pPr>
        <w:pStyle w:val="TextoNormal"/>
      </w:pPr>
      <w:r>
        <w:t>El recurrente en amparo sostiene que la Sentencia del Tribunal Supremo ha vulnerado su derecho a obtener una resolución judicial sobre el fondo, que garantiza el art. 24.1 C.E., por no haber aceptado la subsanación de un recurso deducido en tiempo hábil.  A tal efec</w:t>
      </w:r>
      <w:r>
        <w:lastRenderedPageBreak/>
        <w:t>to aduce que debió admitirse su escrito de formalización del recurso, ya que ningún perjuicio se ocasionaba a la contraparte, ni cabe apreciar negligencia alguna en la suya, dada la complejidad de la legislación procesal y la fecha de presentación que, aunque extemporánea, se efectuó tan solo veinticuatro horas después de la expiración del plazo.</w:t>
      </w:r>
    </w:p>
    <w:p w:rsidR="00FE0907" w:rsidRDefault="00FE0907" w:rsidP="00FE0907">
      <w:pPr>
        <w:pStyle w:val="TextoNormal"/>
      </w:pPr>
    </w:p>
    <w:p w:rsidR="00FE0907" w:rsidRDefault="00FE0907" w:rsidP="00FE0907">
      <w:pPr>
        <w:pStyle w:val="TextoNormal"/>
      </w:pPr>
      <w:r w:rsidRPr="00FE0907">
        <w:rPr>
          <w:rStyle w:val="NumeroAFNegritaCaracter"/>
        </w:rPr>
        <w:t>2</w:t>
      </w:r>
      <w:r>
        <w:t>. Por el contrario, tanto el Ministerio Fiscal, como el Abogado del Estado alegan que no se ha producido vulneración del derecho fundamental a la tutela judicial efectiva.  Aquél sostiene que la falta de fundamentación del escrito de apelación, en el cauce de la Ley 62/1978, constituye la infracción de un requisito esencial en un procedimiento urgente por su naturaleza y que su presentación extemporánea se debe exclusivamente a la negligencia del recurrente, sin que se pudiera haber subsanado después de la preclusión del plazo establecido por la ley para la interposición y formalización del recurso.</w:t>
      </w:r>
    </w:p>
    <w:p w:rsidR="00FE0907" w:rsidRDefault="00FE0907" w:rsidP="00FE0907">
      <w:pPr>
        <w:pStyle w:val="TextoNormal"/>
      </w:pPr>
      <w:r>
        <w:t>El Abogado del Estado, por su parte, afirma que la inadmisión dispuesta por la antigua Sala Quinta del Tribunal Supremo es congruente y proporcionada al vicio cometido por el recurrente, pues el derecho a los recursos y el principio antiformalista no pueden llevar a eliminar los requisitos procesales, en especial los relativos a la preclusión de los plazos. Tras recordar que diversos Autos de este Tribunal han considerado de gran trascendencia la omisión de todo razonamiento al apelar Sentencias dictadas en el proceso de protección de derechos fundamentales, que se rige por los principios de preferencia y "sumariedad", razona que admitir la subsanación alteraría el diseño procesal de la Ley 62/1978, dilatando el proceso y favoreciendo la negligencia, cuando no la mala fe procesal.</w:t>
      </w:r>
    </w:p>
    <w:p w:rsidR="00FE0907" w:rsidRDefault="00FE0907" w:rsidP="00FE0907">
      <w:pPr>
        <w:pStyle w:val="TextoNormal"/>
      </w:pPr>
    </w:p>
    <w:p w:rsidR="00FE0907" w:rsidRDefault="00FE0907" w:rsidP="00FE0907">
      <w:pPr>
        <w:pStyle w:val="TextoNormal"/>
      </w:pPr>
      <w:r w:rsidRPr="00FE0907">
        <w:rPr>
          <w:rStyle w:val="NumeroAFNegritaCaracter"/>
        </w:rPr>
        <w:t>3</w:t>
      </w:r>
      <w:r>
        <w:t>. La solución del presente recurso de amparo exige recordar la doctrina de este Tribunal. Es cierto que, desde la STC 3/1983, cuyo fundamento jurídico 4º condensó la doctrina, la jurisprudencia de este Tribunal ha mantenido con firmeza que el derecho fundamental que enuncia el apartado 1 del art. 24 de la Constitución incluye el derecho a acceder a los recursos establecidos en la Ley.  Como dijimos en la STC 17/1985, fundamento jurídico 2º, las normas que contienen los requisitos procesales han de ser aplicadas teniendo siempre presente el fin pretendido por la Ley al establecer dichos requisitos. En esa tarea, los Tribunales deben evitar cualquier exceso formalista que convierta los cauces procesales en obstáculos que, en sí mismos,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recurrida (SSTC 185/1987, fundamento jurídico 2º, 157/1989, fundamento jurídico 2º, y 133/1991, fundamento jurídico 2º).</w:t>
      </w:r>
    </w:p>
    <w:p w:rsidR="00FE0907" w:rsidRDefault="00FE0907" w:rsidP="00FE0907">
      <w:pPr>
        <w:pStyle w:val="TextoNormal"/>
      </w:pPr>
      <w:r>
        <w:t xml:space="preserve">Por ello nuestra jurisprudencia viene reiterando que el Tribunal ad quem debe proceder a una justa adecuación de las consecuencias jurídicas del incumplimiento de un requisito procesal a la entidad real del defecto, de manera proporcionada con su naturaleza, el grado de inobservancia y con su trascendencia práctica, todo ello a la luz de las circunstancias concurrentes en el caso, y en función de la finalidad última al que sirve el requisito procesal (SSTC 36/1986, fundamento jurídico 2º, y 105/1989, fundamento jurídico 2º). De aquí se desprende que no toda irregularidad formal puede erigirse en un obstáculo insalvable para la prosecución del proceso.  Debe procederse a permitir su subsanación, antes de inadmitir el recurso, siempre que así pueda lograrse la finalidad a la que sirve el requisito procesal incumplido sin detrimento de otros derechos o bienes constitucionalmente dignos de tutela, siempre que el defecto no tenga origen en una actividad negligente o maliciosa del interesado, y siempre que no dañe la regularidad del procedimiento, ni los legítimos </w:t>
      </w:r>
      <w:r>
        <w:lastRenderedPageBreak/>
        <w:t>intereses de la parte contraria (SSTC 39/1988, fundamento jurídico 1º, 95/1989, fundamento jurídico 2º, 239/1991, fundamento jurídico 2º, y 247/1991, fundamento jurídico 4º).</w:t>
      </w:r>
    </w:p>
    <w:p w:rsidR="00FE0907" w:rsidRDefault="00FE0907" w:rsidP="00FE0907">
      <w:pPr>
        <w:pStyle w:val="TextoNormal"/>
      </w:pPr>
    </w:p>
    <w:p w:rsidR="00FE0907" w:rsidRDefault="00FE0907" w:rsidP="00FE0907">
      <w:pPr>
        <w:pStyle w:val="TextoNormal"/>
      </w:pPr>
      <w:r w:rsidRPr="00FE0907">
        <w:rPr>
          <w:rStyle w:val="NumeroAFNegritaCaracter"/>
        </w:rPr>
        <w:t>4</w:t>
      </w:r>
      <w:r>
        <w:t>. De acuerdo con dicha doctrina, la pretensión de amparo no puede prosperar.  El art. 9.2 de la Ley 62/1978 concentra, en una sola fase procesal, la interposición del recurso de apelación y la formulación de los motivos que sustentan la impugnación del fallo pronunciado en la instancia. Con esta regulación del proceso contencioso administrativo de amparo, la Ley se aparta del régimen tradicional de la apelación previsto en el art. 100 LJCA y en la propia L.E.C., y se aproxima a modelos más sencillos, como el del recurso laboral de suplicación o la apelación en el procedimiento penal abreviado.</w:t>
      </w:r>
    </w:p>
    <w:p w:rsidR="00FE0907" w:rsidRDefault="00FE0907" w:rsidP="00FE0907">
      <w:pPr>
        <w:pStyle w:val="TextoNormal"/>
      </w:pPr>
      <w:r>
        <w:t>Como manifestamos en el Auto 159/1985, esta regulación legal responde a la naturaleza del procedimiento para la tutela de los derechos fundamentales de la persona, que se basa en los principios de preferencia y "sumariedad", entendido este último concepto, como efectua el art. 53.2 C.E., como sinónimo de "rapidez". La preparación de la apelación mediante escrito razonado no solamente permite a los Tribunales resolver el recurso de conformidad con las alegaciones de las partes y con pleno respeto a los principios de contradicción y de igualdad, sino que contribuye decisivamente a obtener una mayor celeridad en su tratimación al suprimir actuaciones procesales que en nada menguan aquellas garantias constitucionales (STC 109/1985, fundamento jurídico 4º).</w:t>
      </w:r>
    </w:p>
    <w:p w:rsidR="00FE0907" w:rsidRDefault="00FE0907" w:rsidP="00FE0907">
      <w:pPr>
        <w:pStyle w:val="TextoNormal"/>
      </w:pPr>
      <w:r>
        <w:t>Es evidente, por tanto, que los Tribunales no podían admitir en modo alguno el recurso de apelación preparado mediante un escrito no razonado. Este proceder hubiera dejado indefensos a las otras partes del proceso contencioso de amparo, dañando la regularidad del procedimiento y los intereses de la contraparte (SSTC 59/1984, fundamento jurídico 4º, 39/1990, fundamento jurídico 2º, y AATC 85/1983 y 159/1985).  Asimismo hubiera vulnerado el derecho fundamental a la tutela judicial del favorecido por la Sentencia recurrida, pues del mismo modo que un órgano judicial no puede inadmitir un recurso previsto por la Ley, tampoco le está permitido pronunciarse en vía de recurso cuando viene a faltar un requisito tan esencial, como es su fundamentación, pues, si así lo hiciera, se excedería de la competencia que el legislador le ha otorgado en el caso concreto (SSTC 116/1986, fundamento jurídico 3º, y 187/1989, fundamento jurídico 2º).</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omisión de todo razonamiento en el escrito para preparar la apelación, presentado el último día del plazo, justificó sobradamente la inicial resolución que denegó el recurso, inadmisión que fué finalmente sustentada por la Sentencia del Tribunal Supremo ahora impugnada. El defecto en el que incurrió el recurrente no consistió en la omisión de un mero requisito formal, como la firma de un Procurador o un Abogado cuya representación o habilitación procesales no ofrece dudas (por todas, SSTC 177/1991 y 118/1990). Tampoco se trataba de haber formulado los motivos del recurso incumpliendo exigencias formales innecesarias para su recta comprensión (SSTC 57/1985, fundamento jurídico 4º, 123/1986, fundamento jurídico 3º, y 96/1991, fundamento jurídico 3º), o incurriendo en errores evidentes e intrascendentes (SSTC 139/1985, fundamento jurídico 5º, y 154/1987, fundamento jurídico 4º), pero sí ofreciendo sus argumentos impugnatorios en los términos de claridad y precisión que requieren las leyes procesales para facilitar la labor de los Tribunales superiores y la defensa de las otras partes (SSTC 17/1985, fundamento jurídico 5º, 60/1985, fundamento jurídico 5º, y 240/1991, fundamento jurídico 3º).  Se trató, lisa y llanamente, de la omisión de todo razonamiento en sustento de la impugnación articulada en el recurso, lo cual supone la inobservancia total de un requisito esencial de orden público, como lo es el de la preclusión, que, en garantía de la regularidad y concentración del </w:t>
      </w:r>
      <w:r>
        <w:lastRenderedPageBreak/>
        <w:t>procedimiento ha de obligar a las partes a formular sus alegaciones en el plazo procesalmente previsto, todo ello bajo la sanción de la pérdida de la posibilidad de realización del acto o la de inadmisión del recurso (SSTC 39/1981, fundamento jurídico 2º y 3º, 16/1992, fundamento jurídico 4º, y ATC 661/1984 y 159/1985), sanción procesal esta última prevista por nuestro ordenamiento para el caso que nos ocupa y que se manifiesta del todo punto respetuosa con las exigencias del derecho a la tutela.</w:t>
      </w:r>
    </w:p>
    <w:p w:rsidR="00FE0907" w:rsidRDefault="00FE0907" w:rsidP="00FE0907">
      <w:pPr>
        <w:pStyle w:val="TextoNormal"/>
      </w:pPr>
      <w:r>
        <w:t>La posterior presentación en el Juzgado de Guardia de un escrito conteniendo las alegaciones omitidas, una vez que la Audiencia Nacional ya había declarado la improcedencia de la admisión del recurso de apelación, no altera la conclusión anterior.  El precepto que frontalmente infringió el demandante en amparo al recurrir en apelación no sólo protege el interés de la celeridad procesal, sino también, y fundamentalmente, los intereses concretos de la parte favorecida por la Sentencia de instancia: tanto para acelerar en lo posible la tramitación del recurso, como para eliminar los inconvenientes y demoras que podrían originarse en la ejecución de la Sentencia si ésta hubiera de verse interrumpida por la presentación de recursos de los que sólo se tiene noticia tardíamente. La subsanación del esencial requisito de la fundamentación del recurso después de haber expirado el plazo para hacerlo, en las circunstacias de este caso, hubiera supuesto la alteración del término preclusivo previsto por la Ley, que sirve a los fines disuasorios de cualquier dilación en la efectividad del pronunciamiento judicial.</w:t>
      </w:r>
    </w:p>
    <w:p w:rsidR="00FE0907" w:rsidRDefault="00FE0907" w:rsidP="00FE0907">
      <w:pPr>
        <w:pStyle w:val="TextoNormal"/>
      </w:pPr>
      <w:r>
        <w:t>Resulta palmario que la presentación extemporánea de un recurso constituye un obstáculo insalvable para su admisión, salvo que la propia norma que fija el plazo inatendido fuera constitucionalmente ilegítima (SSTC 41/1985, fundamento jurídico 2º, 25/1986, fundamento jurídico 3º, y 36/1989, fundamento jurídico 2º). El art. 24.1 CE no deja los plazos legales al arbitrio de las partes, ni somete a la libre disposición de éstas su prórroga ni, más en general, el tiempo en que han de ser cumplidos (SSTC 65/1983, fundamento jurídico 4º.B, y 1/1989, fundamento jurídico 3º), sin que sea posible subsanar la extemporaneidad o incumplimiento de un plazo (STC 117/1986, fundamento jurídico 3º), el cual se agota una vez llega a su término (SSTC 39/1981, fundamento jurídico 3º, 53/1987, fundamento jurídico 3º, y 157/1989, fundamento jurídico 3º.d).</w:t>
      </w:r>
    </w:p>
    <w:p w:rsidR="00FE0907" w:rsidRDefault="00FE0907" w:rsidP="00FE0907">
      <w:pPr>
        <w:pStyle w:val="TextoNormal"/>
      </w:pPr>
      <w:r>
        <w:t>La insistencia del solicitante de amparo en que la subsanación se produjo un solo día después de expirado el plazo para recurrir tampoco puede ser acogido.  Y ello no solamente porque la presentación del escrito de alegaciones en el Juzgado de Guardia hizo demorar varios días su recepción por la Audiencia, que ya había dictado correctamente la inadmisión (a diferencia de los supuestos recogidos por la STC 117/1991) sino, sobre todo, porque desde un punto de vista jurídico, que es el que inevitablemente ha de adoptarse por los órganos de aplicación del Derecho, nada puede objetarse a que se frustre el ejercicio de un derecho por su negligente actuación extemporánea, aunque sea por un escaso margen de tiempo (SSTC 13/1984, fundamento 1º, y 117/1986, fundamento jurídico 3º).</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En definitiva, la Sentencia que declaró mal admitido el recurso de apelación preparado por el actor no vulneró el art. 24.1 CE, quien vió satisfecho el núcleo de su derecho fundamental a la tutela judicial efectiva al obtener una Sentencia fundada en Derecho sobre la inadmisión de su recurso como consecuencia del negligente incumplimiento de un requisito esencial, y quien igualmente vió respetado su derecho a los recursos establecidos por la Ley, porque la denegación a trámite decretada por la Sentencia emitida en grado de apelación aplicó de manera no arbitraria una causa de inadmisión prevista por la Ley, que por su naturaleza, es insubsanable, pues afecta a la preclusión del procedimiento, garantía implícita en el derecho a un proceso sin dilaciones indebidas que, con mayor rigor, ha de </w:t>
      </w:r>
      <w:r>
        <w:lastRenderedPageBreak/>
        <w:t>observarse en un procedimiento sustancialmente acelerado como ha de serlo el contencioso-administrativo especial de protección de los derechos fundamentales.</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Denegar el amparo solicitado.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veintinueve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8" w:name="SENTENCIA_1992_65"/>
      <w:r>
        <w:lastRenderedPageBreak/>
        <w:t>SENTENCIA 65/1992, de 29 de abril de 1992</w:t>
      </w:r>
    </w:p>
    <w:bookmarkEnd w:id="68"/>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ECLI:ES:TC:1992:65</w:t>
      </w:r>
    </w:p>
    <w:p w:rsidR="00FE0907" w:rsidRDefault="00FE0907" w:rsidP="00FE0907">
      <w:pPr>
        <w:pStyle w:val="SntesisDescriptiva"/>
      </w:pPr>
    </w:p>
    <w:p w:rsidR="00FE0907" w:rsidRDefault="00FE0907" w:rsidP="00FE0907">
      <w:pPr>
        <w:pStyle w:val="SntesisDescriptiva"/>
      </w:pPr>
      <w:r>
        <w:t>Recurso de amparo 26/1989. Contra Sentencia de la Sala Segunda del Tribunal Supremo confirmatoria en casación de una anterior de la Audiencia Provincial de Pontevedra.</w:t>
      </w:r>
    </w:p>
    <w:p w:rsidR="00FE0907" w:rsidRDefault="00FE0907" w:rsidP="00FE0907">
      <w:pPr>
        <w:pStyle w:val="SntesisDescriptiva"/>
      </w:pPr>
    </w:p>
    <w:p w:rsidR="00FE0907" w:rsidRDefault="00FE0907" w:rsidP="00FE0907">
      <w:pPr>
        <w:pStyle w:val="SntesisAnaltica"/>
      </w:pPr>
      <w:r>
        <w:t>Supuesta vulneración del derecho a la tutela judicial efectiva: decisión fundada de celebración del juicio a puerta cerrada e inadmisión, igualmente fundamentada, de la prueba propuesta</w:t>
      </w:r>
    </w:p>
    <w:p w:rsidR="00FE0907" w:rsidRDefault="00FE0907" w:rsidP="00FE0907">
      <w:pPr>
        <w:pStyle w:val="SntesisAnaltica"/>
      </w:pPr>
    </w:p>
    <w:p w:rsidR="00FE0907" w:rsidRDefault="00FE0907" w:rsidP="00FE0907">
      <w:pPr>
        <w:pStyle w:val="Extracto"/>
      </w:pPr>
      <w:r>
        <w:t>1.</w:t>
      </w:r>
      <w:r>
        <w:tab/>
        <w:t>La decisión de celebrar el juicio a puerta cerrada supone una excepción del derecho a un juicio público que reconoce y ampara el art. 24.2 C.E., derecho que tiene por finalidad, según tiene declarado este Tribunal (STC 96/1987), proteger a las partes frente a una justicia sustraída al conocimiento público y mantener la confianza de la comunidad en los Tribunales. Sin embargo, no se trata de un derecho absoluto, y así resulta de lo dispuesto al respecto por la Declaración Universal de Derechos Humanos y por los tratados internacionales sobre esta materia suscritos por España. En efecto, del art. 29, en relación con el art 10, ambos de la Declaración Universal, del art. 14.1 del Pacto Internacional de Derechos Civiles y Políticos y del art. 6.1 del Convenio Europeo de Protección de los Derechos Humanos y Libertades Fundamentales se deduce que el derecho a un juicio público y, en concreto, el acceso del público y de la prensa a la Sala de audiencia durante la celebración del juicio oral puede ser limitado o excluido, entre otras, por razones de orden público justificadas en una sociedad democrática, que estén previstas por las Leyes [F.J. 2].</w:t>
      </w:r>
    </w:p>
    <w:p w:rsidR="00FE0907" w:rsidRDefault="00FE0907" w:rsidP="00FE0907">
      <w:pPr>
        <w:pStyle w:val="Extracto"/>
      </w:pPr>
    </w:p>
    <w:p w:rsidR="00FE0907" w:rsidRDefault="00FE0907" w:rsidP="00FE0907">
      <w:pPr>
        <w:pStyle w:val="Extracto"/>
      </w:pPr>
      <w:r>
        <w:t>2.</w:t>
      </w:r>
      <w:r>
        <w:tab/>
        <w:t>Como ha declarado este Tribunal en múltiples decisiones, el juicio sobre la pertinencia de la prueba propuesta, pertinencia que condiciona o delimita el derecho a la utilización de los medios probatorios conforme al art. 24.2 C.E., corresponde a los órganos judiciales competentes en cada proceso, de modo que este Tribunal sólo puede revisar esa valoración si la decisión denegatoria de la prueba aparece carente de todo fundamento, o bien su fundamentación o motivación es incongruente, arbitraria o irrazonable [F.J. 3].</w:t>
      </w:r>
    </w:p>
    <w:p w:rsidR="00FE0907" w:rsidRDefault="00FE0907" w:rsidP="00FE0907">
      <w:pPr>
        <w:pStyle w:val="Extracto"/>
      </w:pPr>
    </w:p>
    <w:p w:rsidR="00FE0907" w:rsidRDefault="00FE0907" w:rsidP="00FE0907">
      <w:pPr>
        <w:pStyle w:val="Extracto"/>
      </w:pPr>
      <w:r>
        <w:t>3.</w:t>
      </w:r>
      <w:r>
        <w:tab/>
        <w:t>La incomparecencia de testigos puede afectar al derecho a utilizar las pruebas pertinentes, derecho que los órganos judiciales tienen el deber de asegurar en la medida de lo posible. De ahí que el art. 746.3 de la L.E.Crim. disponga la procedencia de suspender el juicio oral «cuando no comparezcan los testigos de cargo y descargo ofrecidos por las partes y el Tribunal considere necesaria la declaración de los mismos». Ahora bien, la obligación de los Tribunales de suspender el juicio en estos supuestos, para hacer efectivo el derecho a la prueba reconocido en el art. 24.2 C.E., no es absoluta o automática, sino que depende de la necesariedad de la prueba testifical de que se trate [F. 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26/89, promovido por don Luis Caldelas de la Iglesia, representado por la Procuradora doña María Jesús González Díez y defendido por el Letrado don Gonzalo Martínez-Fresneda, contra Sentencia de la Sala Segunda del Tribunal Supremo de 2 de noviembre de 1988, que confirmó en casación la Sentencia de la Audiencia Provincial de Pontevedra de 21 de mayo de 1987, dictada en el sumario núm. 54/85 del Juzgado de Instrucción de Villagarcía de Arosa. Ha sido parte el Ministerio Fiscal y Ponente el Magistrado don Fernando García-Mon y González-Regueral, quien expresa el parecer de la Sala.</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tuvo entrada en este Tribunal el 4 de enero de 1989, procedente del Juzgado de Guardia, la Procuradora doña María Jesús González Díez, en nombre de don Luis Caldelas de la Iglesia, interpuso recurso de amparo contra Sentencia de 2 de noviembre de 1988 de la Sala Segunda del Tribunal Supremo, que confirmó la Sentencia de 21 de mayo de 1987 de la Audiencia Provincial de Pontevedra, dimanante del sumario 54/85 del Juzgado Villagarcía de Arosa.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La demanda de amparo se funda en los antecedentes de hecho que a continuación se resumen. </w:t>
      </w:r>
    </w:p>
    <w:p w:rsidR="00FE0907" w:rsidRDefault="00FE0907" w:rsidP="00FE0907">
      <w:pPr>
        <w:pStyle w:val="TextoNormal"/>
      </w:pPr>
      <w:r>
        <w:t xml:space="preserve">El recurrente fue condenado por Sentencia de la Audiencia Provincial de Pontevedra, de 21 de mayo de 1987, a la pena de veintiseis años, ocho meses y un día de reclusión mayor, más accesorias, costas y responsabilidad civil, como autor de un delito de asesinato sin circunstancias modificativas de la responsabilidad penal, a consecuencia de la muerte por arma de fuego de don José Jiménez Gabarri. La condena fue confirmada en casación por Sentencia de la Sala Segunda del Tribunal Supremo de 2 de noviembre de 1988. </w:t>
      </w:r>
    </w:p>
    <w:p w:rsidR="00FE0907" w:rsidRDefault="00FE0907" w:rsidP="00FE0907">
      <w:pPr>
        <w:pStyle w:val="TextoNormal"/>
      </w:pPr>
      <w:r>
        <w:t xml:space="preserve">La Audiencia consideró probado que el interfecto, conocido por "Bartolo", que "era persona de mala conducta, que tenía atemorizados a los dueños de cafeterías y barras americanas de la comarca", tras haber estado hablando con el Sr. Caldelas de la Iglesia en un local llamado "Sayma" la noche de los hechos, se personó en la "whisquería La Nit", propiedad del hoy recurrente, en estado de embriaguez, discutiendo con éste y amenazándole y, "ante el cariz violento que tomaba la disputa", un camarero del establecimiento, también condenado, recogió una escopeta de un reservado del local y disparó un tiro por la espalda </w:t>
      </w:r>
      <w:r>
        <w:lastRenderedPageBreak/>
        <w:t xml:space="preserve">sobre la víctima, en la región lumbar, tras de lo cual el hoy recurrente "le arrebató la escopeta y disparó un segundo tiro en el cuello a Bartolo, cuando ya estaba en el suelo, que determinó su muerte". </w:t>
      </w:r>
    </w:p>
    <w:p w:rsidR="00FE0907" w:rsidRDefault="00FE0907" w:rsidP="00FE0907">
      <w:pPr>
        <w:pStyle w:val="TextoNormal"/>
      </w:pPr>
      <w:r>
        <w:t xml:space="preserve">El aspecto que interesa en este recurso de amparo, según cabe extraer de la demanda, consiste en que la Audiencia y después el Tribunal Supremo denegaron la aplicación de la eximente de miedo insuperable, solicitada por la defensa de don Luis Caldelas. Para probar la concurrencia de dicha eximente, establecida en el art. 8.10 del C.P., la defensa solicitó ciertas pruebas documentales, consistentes en solicitar informes de la Guardia Civil, Policía y Juzgados sobre los antecedentes de la víctima y las sentencias dictadas contra él. Estas pruebas documentales fueron denegadas por Auto de la Sala de instancia, de 21 de abril de 1987, formulándose la oportuna protesta por la representación del procesado. También solicitó la defensa prueba testifical, citando como testigos a cuatro mujeres relacionadas con bares "donde el muerto había causado tantos problemas en vida" y que se hallaban, según se dice, la noche de los hechos en el local "Sayma". Esta prueba fue admitida por la Audiencia. Sin embargo, familiares y amigos del fallecido, que era de etnia gitana, habían protagonizado incidentes ya en la fase sumarial, y, previo informe de la policía sobre posibles alteraciones o agresiones que pudieran causar el día del juicio oral, la Audiencia decidió que éste se celebrara a puerta cerrada. En el acto del juicio no comparecieron cuatro testigos propuestas por la defensa, según se dice en la demanda de amparo, "por las amenazas de los familiares del muerto y el pánico que sentían ante la situación de intolerable presión y coacción que se había creado sobre todo el proceso". No obstante, la Sala denegó la solicitud de la defensa de que se suspendiera la vista hasta que las testigos comparecieran, con las debidas garantías, haciéndose constar en acta la protesta de los defensores y las preguntas básicas sobre las que debería haber versado el interrogatorio de las testigos. Estas preguntas se referían a lo ocurrido en la sala "Sayma" entre el llamado "Bartolo" y Luis Caldelas de la Iglesia, y si aquél era persona que portaba armas habitualmente y originaba frecuentes pendencias. </w:t>
      </w:r>
    </w:p>
    <w:p w:rsidR="00FE0907" w:rsidRDefault="00FE0907" w:rsidP="00FE0907">
      <w:pPr>
        <w:pStyle w:val="TextoNormal"/>
      </w:pPr>
      <w:r>
        <w:t>En la Sentencia desestimatoria del recurso de casación, el Tribunal Supremo establece, en cuanto a la denegación de la prueba documental a la que se ha hecho referencia, que, si bien la prueba se denegó sin ningún tipo de motivación, no era pertinente, pues la propia Sala era consciente de la personalidad de la víctima, que con esa prueba se trataba de demostrar, como se deduce de la Sentencia de primera instancia. En cuanto a la no suspensión del juicio oral por incomparecencia de las testigos propuestos por la defensa, el Tribunal Supremo recuerda que las referidas testigos habían declarado en el atestado de la Guardia Civil, que la celebración del juicio oral a puerta cerrada se justificaba por el temor fundado a que se produjeran "situaciones graves" y que la Sala tenía elementos de juicio suficientes sobre la finalidad de la prueba, siendo correcta la decisión que adoptó.</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la demanda de amparo se invoca la infracción del art. 24.2 C.E., en cuanto al derecho a un proceso público con todas las garantías y en cuanto al derecho a utilizar los medios de prueba pertinentes para la defensa. </w:t>
      </w:r>
    </w:p>
    <w:p w:rsidR="00FE0907" w:rsidRDefault="00FE0907" w:rsidP="00FE0907">
      <w:pPr>
        <w:pStyle w:val="TextoNormal"/>
      </w:pPr>
      <w:r>
        <w:t xml:space="preserve">El primero de estos derechos, reflejado en el art. 11 de la Declaración Universal de Derechos Humanos, en el art. 14 del Pacto Internacional de Derechos Civiles y Políticos y en el art. 6 del Convenio Europeo para la Protección de los Derechos Humanos y de las Libertades Fundamentales, confiere a toda persona el derecho a un juicio oral abierto al público. Este derecho no es absoluto, pero en ninguno de esos instrumentos internacionales está previsto que pueda limitarse por supuestas amenazas o intentos de intimidación dirigidos a las partes o al Tribunal. Este fue el motivo por el que la Audiencia de Pontevedra </w:t>
      </w:r>
      <w:r>
        <w:lastRenderedPageBreak/>
        <w:t xml:space="preserve">acordó en el presente caso suprimir el derecho a un juicio público, haciendo así dejación de su autoridad, tanto para reprimir cualquier amenaza, como para prestar garantías para la práctica de todas las pruebas y, en especial, la declaración de unas testigos amenazadas en su integridad física. En ese clima se produjo la incomparecencia de las testigos de descargo, pese a lo cual la Audiencia acordó proseguir el juicio. </w:t>
      </w:r>
    </w:p>
    <w:p w:rsidR="00FE0907" w:rsidRDefault="00FE0907" w:rsidP="00FE0907">
      <w:pPr>
        <w:pStyle w:val="TextoNormal"/>
      </w:pPr>
      <w:r>
        <w:t xml:space="preserve">La vulneración del derecho a la práctica de las pruebas pertinentes se ha producido, según la parte actora, en primer lugar al denegar la Audiencia la prueba documental mencionada, que era necesaria para demostrar la extrema peligrosidad de la víctima y la impresión que podía causar en el hoy recurrente. Se produce también por seguirse el juicio sin que pudieran declarar las testigos de la defensa, siendo así que no se presentaron por miedo, y que su testimonio habría de resultar crucial, pues fueron las únicas que vieron juntos al muerto y a los procesados antes de producirse los hechos, conocían perfectamente a la víctima y sabían de sus relaciones con aquéllos y vieron su estado en aquella noche. Todas estas circunstancias pudieron ser relevantes para el fallo, pues podrían haber evidenciado el temor que el recurrente sentía la citada noche, que es lo que la defensa trataba de demostrar. </w:t>
      </w:r>
    </w:p>
    <w:p w:rsidR="00FE0907" w:rsidRDefault="00FE0907" w:rsidP="00FE0907">
      <w:pPr>
        <w:pStyle w:val="TextoNormal"/>
      </w:pPr>
      <w:r>
        <w:t>En consecuencia, se solicita en la demanda la anulación de las Sentencias recurridas y la celebración de una nueva vista del juicio en la mencionada causa, que sea vista pública, previa reclamación de la prueba documental solicitada por don Luis Caldelas de la Iglesia, examinando a las testigos admitidas en su día por la Sala y con la adopción de todas las medidas de policía de estrados necesarias para el libre y normal desenvolvimiento del juicio.</w:t>
      </w:r>
    </w:p>
    <w:p w:rsidR="00FE0907" w:rsidRDefault="00FE0907" w:rsidP="00FE0907">
      <w:pPr>
        <w:pStyle w:val="TextoNormal"/>
      </w:pPr>
    </w:p>
    <w:p w:rsidR="00FE0907" w:rsidRDefault="00FE0907" w:rsidP="00FE0907">
      <w:pPr>
        <w:pStyle w:val="TextoNormal"/>
      </w:pPr>
      <w:r w:rsidRPr="00FE0907">
        <w:rPr>
          <w:rStyle w:val="NumeroAFNegritaCaracter"/>
        </w:rPr>
        <w:t>4</w:t>
      </w:r>
      <w:r>
        <w:t>. Por providencia de 3 de abril de 1989, la Sección Primera de este Tribunal acordó admitir a trámite la demanda de amparo, interesándose de la Audiencia Provincial de Pontevedra el emplazamiento de quienes fueron parte en el proceso de que trae causa el recurso de amparo. No habiendo comparecido ninguno de los emplazados, por providencia de 18 de septiembre de 1989 la Sección acordó dar vista por una plazo común de veinte días al Ministerio Fiscal y al solicitante de amparo para que pudieran formular alegaciones, conforme a lo dispuesto en el art. 52 de la LOTC.</w:t>
      </w:r>
    </w:p>
    <w:p w:rsidR="00FE0907" w:rsidRDefault="00FE0907" w:rsidP="00FE0907">
      <w:pPr>
        <w:pStyle w:val="TextoNormal"/>
      </w:pPr>
    </w:p>
    <w:p w:rsidR="00FE0907" w:rsidRDefault="00FE0907" w:rsidP="00FE0907">
      <w:pPr>
        <w:pStyle w:val="TextoNormal"/>
      </w:pPr>
      <w:r w:rsidRPr="00FE0907">
        <w:rPr>
          <w:rStyle w:val="NumeroAFNegritaCaracter"/>
        </w:rPr>
        <w:t>5</w:t>
      </w:r>
      <w:r>
        <w:t xml:space="preserve">. La parte recurrente reprodujo en este trámite, en sustancia, las alegaciones expuestas en la demanda de amparo. Insiste en que la prueba documental denegada por la Audiencia era fundamental para conocer la conducta agresiva de la víctima y que, junto a la prueba testifical que, pese a ser admitida, no se pudo realizar en el juicio por la situación de coacciones y amenazas que se estaba creando a su alrededor, hubiera servido para acreditar la situación de miedo insuperable en que se encontraba don Luis Caldelas de la Iglesia la noche que sucedieron los hechos, determinando la aplicación de lo dispuesto en el núm. 10 del art. 8 del C.P. Por esa misma situación de presiones y coacciones, la Audiencia acordó la celebración del juicio oral a puerta cerrada, conculcando de esta manera el derecho de todos a un proceso público con todas las garantías, además del derecho a utilizar los medios de prueba pertinentes para la defensa. Por su parte, la Sentencia del Tribunal Supremo, que afirma erróneamente que la protesta por la denegación de la prueba documental no se reprodujo en la vista oral, justifica la decisión de la Audiencia de celebrar el juicio a puerta cerrada por los temores y "situaciones graves" que podrían producirse de lo contrario. Pero, de esta manera incurre en una contradicción, ya que no acepta esos mismos temores en la persona del imputado por estimar la eximente de miedo insuperable, al </w:t>
      </w:r>
      <w:r>
        <w:lastRenderedPageBreak/>
        <w:t>menos de forma incompleta. Por estas razones reitera la recurrente las pretensiones formuladas en la demanda.</w:t>
      </w:r>
    </w:p>
    <w:p w:rsidR="00FE0907" w:rsidRDefault="00FE0907" w:rsidP="00FE0907">
      <w:pPr>
        <w:pStyle w:val="TextoNormal"/>
      </w:pPr>
    </w:p>
    <w:p w:rsidR="00FE0907" w:rsidRDefault="00FE0907" w:rsidP="00FE0907">
      <w:pPr>
        <w:pStyle w:val="TextoNormal"/>
      </w:pPr>
      <w:r w:rsidRPr="00FE0907">
        <w:rPr>
          <w:rStyle w:val="NumeroAFNegritaCaracter"/>
        </w:rPr>
        <w:t>6</w:t>
      </w:r>
      <w:r>
        <w:t xml:space="preserve">. El Ministerio Fiscal comienza por recordar que el juicio oral se celebró a puerta cerrada a petición de la representación de algunos procesados, entre ellos don Luis Caldelas, fundándose en que peligraba la integridad física de sus representados y la libertad de actuación de los intervinientes en el proceso, que supone alteración del orden público, petición a la que se sumó el Ministerio Fiscal y la acusación particular. El derecho a un juicio público reconocido por el art. 24.2 C.E. y la publicidad del proceso penal (art. 120.1 C.E.) admiten excepciones autorizadas por la ley. Entre ellas se cuentan las razones de orden público, que no solo prevén, en nuestro ordenamiento, los arts. 232.2 de la LOPJ y 680, párrafo 2º de la L.E.Crim., sino también el art. 14.1 del Pacto Internacional de Derechos Civiles y Políticos y el art. 6.1 del Convenio de Roma de 1950. En el presente caso la Audiencia acordó celebrar el juicio a puerta cerrada por razones de orden público, que también fueron invocadas por las partes, entre ellas por el representante del hoy recurrente en amparo y además de oído el Ministerio Fiscal, previo informe de la Policía judicial, que preveía importantes alteraciones del orden público si se permitía la entrada en el acto de la vista a todas las personas llegadas para la ocasión con el propósito de intimidar a los procesados y a sus defensores. El acuerdo de la Sala, que no solo no fue protestado por el recurrente, sino que incluso fue instado por su representante, no vulnera, por tanto, el art. 24.2 C.E., aparte de que este motivo del recurso de amparo no podía ser, en sustancia, admitido, por no haberse invocado previamente por el demandante en la vía judicial previa. </w:t>
      </w:r>
    </w:p>
    <w:p w:rsidR="00FE0907" w:rsidRDefault="00FE0907" w:rsidP="00FE0907">
      <w:pPr>
        <w:pStyle w:val="TextoNormal"/>
      </w:pPr>
      <w:r>
        <w:t xml:space="preserve">Por lo que se refiere a la alegada vulneración del derecho a utilizar los medios de prueba pertinentes, expone el Ministerio Fiscal que la prueba documental propuesta y rechazada por el Auto de la Audiencia de 24 de abril de 1987, no era pertinente, tal y como explica la Sentencia del Tribunal Supremo, pues la Sala de instancia ya se había formado su convicción sobre la personalidad de la víctima, que es a la que se dirigía dicha prueba, y, si bien la denegación de la prueba se acordó sin motivación, el Tribunal Supremo subsanó ese vicio inicial al realizar un juicio sobre la pertinencia. </w:t>
      </w:r>
    </w:p>
    <w:p w:rsidR="00FE0907" w:rsidRDefault="00FE0907" w:rsidP="00FE0907">
      <w:pPr>
        <w:pStyle w:val="TextoNormal"/>
      </w:pPr>
      <w:r>
        <w:t>Por lo que se refiere a la prueba testifical propuesta, no se practicó en su totalidad por causa ajena al órgano judicial, al no comparecer tres de los cinco testigos propuestos por la defensa del Sr. Caldelas. Sin embargo, el Tribunal acordó la continuación del juicio, tal y como autoriza el art. 746.3 de la L.E.Crim., siendo así que la Sala de instancia tenía suficientes elementos de juicio, como declara el Tribunal Supremo. Por todo ello, el Ministerio Fiscal interesa la desestimación de la demanda de amparo.</w:t>
      </w:r>
    </w:p>
    <w:p w:rsidR="00FE0907" w:rsidRDefault="00FE0907" w:rsidP="00FE0907">
      <w:pPr>
        <w:pStyle w:val="TextoNormal"/>
      </w:pPr>
    </w:p>
    <w:p w:rsidR="00FE0907" w:rsidRDefault="00FE0907" w:rsidP="00FE0907">
      <w:pPr>
        <w:pStyle w:val="TextoNormal"/>
      </w:pPr>
      <w:r w:rsidRPr="00FE0907">
        <w:rPr>
          <w:rStyle w:val="NumeroAFNegritaCaracter"/>
        </w:rPr>
        <w:t>7</w:t>
      </w:r>
      <w:r>
        <w:t>. Por providencia de 27 de abril de 1992 se fijó para deliberación y votación del presente recurso el día 29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xml:space="preserve">. En la demanda de amparo se alega la infracción del art. 24.2 C.E., en lo que se refiere al derecho a un proceso público con todas las garantías y a utilizar los medios de prueba pertinentes para la defensa. Estas infracciones se atribuyen, en concreto, a las decisiones de la Sala de instancia de celebrar el juicio a puerta cerrada, de rechazar la práctica de ciertas pruebas documentales solicitadas por la representación del hoy recurrente y de no </w:t>
      </w:r>
      <w:r>
        <w:lastRenderedPageBreak/>
        <w:t>suspender el juicio oral a pesar de la incomparecencia de algunos testigos propuestos por la defensa.  Examinaremos sucesivamente todas estas imputaciones.</w:t>
      </w:r>
    </w:p>
    <w:p w:rsidR="00FE0907" w:rsidRDefault="00FE0907" w:rsidP="00FE0907">
      <w:pPr>
        <w:pStyle w:val="TextoNormal"/>
      </w:pPr>
    </w:p>
    <w:p w:rsidR="00FE0907" w:rsidRDefault="00FE0907" w:rsidP="00FE0907">
      <w:pPr>
        <w:pStyle w:val="TextoNormal"/>
      </w:pPr>
      <w:r w:rsidRPr="00FE0907">
        <w:rPr>
          <w:rStyle w:val="NumeroAFNegritaCaracter"/>
        </w:rPr>
        <w:t>2</w:t>
      </w:r>
      <w:r>
        <w:t>. La decisión de celebrar el juicio a puerta cerrada supone una excepción del derecho a un juicio público que reconoce y ampara el art. 24.2 C.E., derecho que tiene por finalidad, según tiene declarado este Tribunal (STC 96/1987), proteger a las partes frente a una justicia sustraída al conocimiento público y mantener la confianza de la comunidad en los Tribunales.  Sin embargo, no se trata de un derecho absoluto, y así resulta de lo dispuesto al respecto por la Declaración Universal de Derechos Humanos y por los tratados internacionales sobre esta materia suscritos por España, conforme a los que deben interpretarse los derechos fundamentales reconocidos en nuestro texto constitucional, por imperativo del art. 10.2 de la propia C.E. En efecto, del art. 29, en relación con el art. 10, ambos de la Declaración Universal, del art. 14.1 del Pacto Internacional de Derecho Civiles y Políticos y del art. 6.1 del Convenio Europeo de Protección de los Derechos Humanos y Libertades Fundamentales se deduce que el derecho a un juicio público y, en concreto, el acceso del público y de la prensa a la Sala de audiencia durante la celebración del juicio oral puede ser limitado o excluido, entre otras, por razones de orden público justificadas en una sociedad democrática, que estén previstas por las leyes. Así lo ha declarado igualmente este Tribunal en reiteradas decisiones (ATC 96/1981, SSTC 62/1982, 96/1987 y 176/1988), confirmando la validez de las excepciones al principio de publicidad del proceso establecidas en el art. 232 de la LOPJ y en el art. 680 de la L.E.Crim.</w:t>
      </w:r>
    </w:p>
    <w:p w:rsidR="00FE0907" w:rsidRDefault="00FE0907" w:rsidP="00FE0907">
      <w:pPr>
        <w:pStyle w:val="TextoNormal"/>
      </w:pPr>
      <w:r>
        <w:t>En el presente caso, es obvio que la Sala acordó la celebración del juicio a puerta cerrada, mediante resolución motivada y fundada en Derecho, por temores fundados de alteración del orden público, confirmados por un informe policial.  Pero, además, ese acuerdo se adoptó precisamente a instancia del representante del propio recurrente, petición reiterada en persona por éste, y aceptada por todas las partes y por el Ministerio Fiscal, coincidiendo todos ellos en el riesgo de agresiones, amenazas, coacciones y desórdenes que podrían producirse de celebrarse la vista pública. De ahí que las alegaciones que en este recurso hace la parte demandante sobre la supuesta infracción de su derecho a un proceso público, y que no hizo en el recurso de casación, no sólo se revelan carentes de fundamento, sino que, como el Ministerio Fiscal alega, ni siquiera hubiesen dado lugar por sí solas a la admisión del recurso de amparo, por falta de invocación del mencionado derecho constitucional en el momento procesal oportuno.</w:t>
      </w:r>
    </w:p>
    <w:p w:rsidR="00FE0907" w:rsidRDefault="00FE0907" w:rsidP="00FE0907">
      <w:pPr>
        <w:pStyle w:val="TextoNormal"/>
      </w:pPr>
      <w:r>
        <w:t>Por otra parte, la decisión de celebrar el juicio a puerta cerrada, lejos de reducir en este caso las garantías del proceso, tenía como finalidad justamente facilitar el correcto y ordenado desarrollo del mismo, evitando cualquier intimidación dirigida a los procesados, sus defensores y los testigos.  Nada permite sospechar que la falta de publicidad obedeciera a otros motivos y menos aún que, como el demandante de amparo sugiere, la Sala no adoptara las medidas necesarias de policía de estrados para asegurar las garantías del proceso, máxime cuando la autoridad policial informó sobre la adopción de las medidas de seguridad correspondientes, tal y como figura en las actuaciones.</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En cuanto a la supuesta conculcación del derecho del recurrente a utilizar los medios de prueba pertinentes para su defensa, se atribuye en primer lugar al Auto de la Audiencia de Pontevedra, de 21 de abril de 1987, por el que se rechazan ciertas pruebas documentales propuestas por la representación del procesado, consistentes en requerir informes de ciertas Comandancias de la Guardia Civil, Comisarías de Policía y Juzgados sobre los antecedentes de la víctima y Sentencias dictadas contra él.  Según el recurrente estas pruebas </w:t>
      </w:r>
      <w:r>
        <w:lastRenderedPageBreak/>
        <w:t>eran necesarias para demostrar la personalidad violenta de aquélla y, por tanto, la impresión de miedo insuperable que producía en el condenado.</w:t>
      </w:r>
    </w:p>
    <w:p w:rsidR="00FE0907" w:rsidRDefault="00FE0907" w:rsidP="00FE0907">
      <w:pPr>
        <w:pStyle w:val="TextoNormal"/>
      </w:pPr>
      <w:r>
        <w:t>No obstante, como ha declarado este Tribunal en múltiples decisiones (por ejemplo, en SSTC 51/1985, 149/1987, 9/1989 y 52/1989), el juicio sobre la pertinencia de la prueba propuesta, pertinencia que condiciona o delimita el derecho a la utilización de los medios probatorios conforme al art. 24.2 C.E., corresponde a los órganos judiciales competentes en cada proceso, de modo que este Tribunal solo puede revisar esa valoración si la decisión denegatoria de la prueba aparece carente de todo fundamento, o bien su fundamentación o motivación es incongruente, arbitraria o irrazonable.</w:t>
      </w:r>
    </w:p>
    <w:p w:rsidR="00FE0907" w:rsidRDefault="00FE0907" w:rsidP="00FE0907">
      <w:pPr>
        <w:pStyle w:val="TextoNormal"/>
      </w:pPr>
      <w:r>
        <w:t>Por lo que al presente caso se refiere, es cierto que el Auto de la Audiencia por el que se deniegan las referidas diligencias de prueba carece de motivación, lo que supone la inicial concurrencia del vicio de inconstitucionalidad denunciado.  Pero, como declaró este Tribunal en STC 50/1988 (fundamento jurídico 4), ese reproche inicial "no puede sostenerse ahora tras el examen que el Tribunal Supremo hizo de la conformidad a Derecho de tal conducta judicial, objeto del recurso de casación por quebrantamiento de forma, examen en el que dicho Tribunal expresamente se refirió a la posible pertinencia de la prueba no realizada, llegando a la conclusión fundada y no manifiestamente irrazonable de tal impertinencia".</w:t>
      </w:r>
    </w:p>
    <w:p w:rsidR="00FE0907" w:rsidRDefault="00FE0907" w:rsidP="00FE0907">
      <w:pPr>
        <w:pStyle w:val="TextoNormal"/>
      </w:pPr>
      <w:r>
        <w:t>En efecto, la Sentencia del Tribunal Supremo señala que la finalidad que se pretendía con la prueba inadmitida, esto es, poner de relieve la peligrosidad del fallecido, se había cumplido ya mediante otros medios probatorios, puesto que en la Sentencia de instancia se declara que el "interfecto era de mala conducta, que tenía atemorizados a los dueños de cafeterías y barras americanas de la comarca ...", lo que demuestra que la Sala ya se había formado una convicción sobre la personalidad de la víctima.  Por esta razón, la decisión de denegar las referidas pruebas propuestas por impertinentes no aparece desprovista de una fundamentación lógica y razonable.  Cosa distinta es que, pese a aquella convicción, la Sala no entendiera aplicable la eximente de miedo insuperable. Pero este resultado no es siquiera indicio de la pertinencia de la prueba denegada, ni, por consiguiente, de la infracción del art.  24.2 C.E.</w:t>
      </w:r>
    </w:p>
    <w:p w:rsidR="00FE0907" w:rsidRDefault="00FE0907" w:rsidP="00FE0907">
      <w:pPr>
        <w:pStyle w:val="TextoNormal"/>
      </w:pPr>
    </w:p>
    <w:p w:rsidR="00FE0907" w:rsidRDefault="00FE0907" w:rsidP="00FE0907">
      <w:pPr>
        <w:pStyle w:val="TextoNormal"/>
      </w:pPr>
      <w:r w:rsidRPr="00FE0907">
        <w:rPr>
          <w:rStyle w:val="NumeroAFNegritaCaracter"/>
        </w:rPr>
        <w:t>4</w:t>
      </w:r>
      <w:r>
        <w:t>. Por último, hemos de examinar la queja relativa a no haberse practicado en parte la prueba testifical en la vista oral y a la no suspensión de la misma solicitada por este motivo.</w:t>
      </w:r>
    </w:p>
    <w:p w:rsidR="00FE0907" w:rsidRDefault="00FE0907" w:rsidP="00FE0907">
      <w:pPr>
        <w:pStyle w:val="TextoNormal"/>
      </w:pPr>
      <w:r>
        <w:t>Nos encontramos aquí con una prueba admitida previamente como pertinente y que, en relación con cuatro testigos propuestos por la defensa, no se pudo llevar a cabo por su incomparecencia.  Conviene decir ante todo que esta incomparecencia no es imputable al órgano judicial, pues, contra lo que el recurrente pretende indicar, no existe dato alguno que permita aventurar que la Sala no adoptó las medidas oportunas que estuvieran a su alcance para que los testigos pudieran deponer con garantías de seguridad personal.  La citada incomparecencia no afecta, por tanto, al derecho del recurrente a un proceso con todas las garantías.</w:t>
      </w:r>
    </w:p>
    <w:p w:rsidR="00FE0907" w:rsidRDefault="00FE0907" w:rsidP="00FE0907">
      <w:pPr>
        <w:pStyle w:val="TextoNormal"/>
      </w:pPr>
      <w:r>
        <w:t>Sí puede afectar, en cambio, al derecho a utilizar las pruebas pertinentes, derecho que los órganos judiciales tienen el deber de asegurar en la medida de lo posible. De ahí que el art.  746.3º de la L.E.Crim. disponga la procedencia de suspender el juicio oral "cuando no comparezcan los testigos de cargo y descargo ofrecidos por las partes y el Tribunal considere necesaria la declaración de los mismos".  Ahora bien, la obligación de los Tribunales de suspender el juicio en estos supuestos, para hacer efectivo el derecho a la prueba reconocido en el art. 24.2 C.E., no es absoluta o automática, sino que depende de la necesarie</w:t>
      </w:r>
      <w:r>
        <w:lastRenderedPageBreak/>
        <w:t>dad de la prueba testifical de que se trate. Esta necesariedad no puede identificarse con la pertinencia, ya declarada, de la prueba, "pues si el Tribunal se considera suficientemente informado con la prueba practicada para formar un juicio completo sobre los hechos, no debe prescribir medidas que, como la suspensión, son dilaciones injustificadas del proceso" (STC 116/1983).  En consecuencia, sólo si la prueba testifical no practicada por la incomparecencia de los testigos y por la negativa del Tribunal a suspender el juicio hubiera de considerarse necesaria, es decir, necesaria para la correcta valoración de los hechos y sus circunstancias, habría que entender que el órgano judicial actuó contraviniendo lo dispuesto en el art. 24.2 C.E.</w:t>
      </w:r>
    </w:p>
    <w:p w:rsidR="00FE0907" w:rsidRDefault="00FE0907" w:rsidP="00FE0907">
      <w:pPr>
        <w:pStyle w:val="TextoNormal"/>
      </w:pPr>
      <w:r>
        <w:t>Según tiene declarado este Tribunal en supuestos semejantes, para atender cualquier demanda de amparo frente a una negativa a suspender el juicio, es preciso (STC 51/1990) que se hayan hecho constar en el acta, junto con la protesta, "cuáles eran los puntos que pretendían aclararse con el interrogatorio, pues sin ello este Tribunal carecería de los necesarios elementos de juicio", para analizar la necesidad de la declaración de los testigos. Así se hizo en el presente caso, en que el defensor del hoy demandante de amparo formuló protesta ante la decisión de la Sala de instancia de no suspender el juicio y, según el acta correspondiente, hizo constar su voluntad de haber interrogado a las testigos no comparecidas "sobre lo ocurrido en la sala de fiesta 'Sayma' en la noche de los hechos entre 'Bartolo' y Luis Caldelas de la Iglesia".  En la demanda de amparo se recalca que con la prueba testifical no practicada se pretendía ilustrar al Tribunal sobre la relación personal entre la víctima y el acusado hoy demandante de amparo, sobre el estado de posible embriaguez en que se encontraba aquél y sobre su costumbre de portar armas, a efectos de poner de manifiesto el supuesto miedo insuperable de don Luis Caldelas.</w:t>
      </w:r>
    </w:p>
    <w:p w:rsidR="00FE0907" w:rsidRDefault="00FE0907" w:rsidP="00FE0907">
      <w:pPr>
        <w:pStyle w:val="TextoNormal"/>
      </w:pPr>
      <w:r>
        <w:t>Pero sobre todos estos extremos y, en particular, sobre lo sucedido la noche de los hechos en la sala "Sayma", podía el Tribunal efectivamente considerarse suficientemente informado.  Primero, porque las declaraciones de los tres procesados, efectuadas en el juicio oral respetando los principios de oralidad, inmediación y contradicción, se refieren también a esos extremos, siendo así que la Sentencia recoge en buena parte la narración de hechos de don Luis Caldelas sobre lo sucedido en la sala "Sayma", tal como figura en el acta del juicio; es decir, que encontraron allí al llamado "Bartolo" y estuvieron hablando sobre los destrozos producidos en el local "La Nit"; y, en segundo lugar, porque las testigos no comparecidas habían declarado ya en el sumario y, como declara la STC 51/1990 en un caso semejante, "cabe también (STC 64/1986) que se tomen en consideración sobre todo declaraciones sumariales cuando éstas se han prestado con las debidas garantías, habida cuenta de que, como dice esta última Sentencia (...)  tras las últimas modificaciones de la L.E.Crim., el sumario ha perdido en gran parte el carácter puramente inquisitivo que antes tenía y se ha convertido en una preparación del juicio de la que no están ausentes la contradicción y las garantías procesales".  Finalmente, no puede dejar de considerarse que la muerte de la víctima no se produjo en el lugar donde se encontraban las testigos no comparecidas, sino en otro distinto, y que la propia Sentencia da por sentado, según se dijo, el temor que el referido "Bartolo" inspiraba a todos los propietarios de las barras americanas de la comarca, además de su estado de embriaguez.</w:t>
      </w:r>
    </w:p>
    <w:p w:rsidR="00FE0907" w:rsidRDefault="00FE0907" w:rsidP="00FE0907">
      <w:pPr>
        <w:pStyle w:val="TextoNormal"/>
      </w:pPr>
      <w:r>
        <w:t xml:space="preserve">Si la Audiencia de Pontevedra y posteriormente el Tribunal Supremo no aplicaron la eximente de miedo insuperable no fue, obviamente, en consideración de los sentimientos o impresiones que el interfecto podía causar en don Luis Caldelas de la Iglesia, sino en atención a las circunstancias en que se produjo la muerte de aquél en el local "La Nit".  Pero es evidente que la prueba testifical que no pudo practicarse en la vista oral nada podía haber aportado sobre tales circunstancias.  En consecuencia, la estimación de dicha prueba como </w:t>
      </w:r>
      <w:r>
        <w:lastRenderedPageBreak/>
        <w:t>no necesaria por el Tribunal de instancia, ratificada por el Tribunal Supremo, a efectos de no suspender el proceso, constituye una decisión justificada y razonable, que no ha infringido lo dispuesto en el art.  24.2 C.E.</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Desestimar el presente recurso de amparo.</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veintinueve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69" w:name="SENTENCIA_1992_66"/>
      <w:r>
        <w:lastRenderedPageBreak/>
        <w:t>SENTENCIA 66/1992, de 29 de abril de 1992</w:t>
      </w:r>
    </w:p>
    <w:bookmarkEnd w:id="69"/>
    <w:p w:rsidR="00FE0907" w:rsidRDefault="00FE0907" w:rsidP="00FE0907">
      <w:pPr>
        <w:pStyle w:val="TtuloResolucin"/>
      </w:pPr>
      <w:r>
        <w:t>Sala Primera</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ECLI:ES:TC:1992:66</w:t>
      </w:r>
    </w:p>
    <w:p w:rsidR="00FE0907" w:rsidRDefault="00FE0907" w:rsidP="00FE0907">
      <w:pPr>
        <w:pStyle w:val="SntesisDescriptiva"/>
      </w:pPr>
    </w:p>
    <w:p w:rsidR="00FE0907" w:rsidRDefault="00FE0907" w:rsidP="00FE0907">
      <w:pPr>
        <w:pStyle w:val="SntesisDescriptiva"/>
      </w:pPr>
      <w:r>
        <w:t>Recurso de amparo 2.135/1989. Contra Auto del Juzgado de Instrucción núm. 3 de Salamanca inadmitiendo recurso de apelación contra Sentencia del mismo Juzgado y diversas resoluciones judiciales desestimatorias de los recursos interpuestos contra Auto que desestimó recurso de queja.</w:t>
      </w:r>
    </w:p>
    <w:p w:rsidR="00FE0907" w:rsidRDefault="00FE0907" w:rsidP="00FE0907">
      <w:pPr>
        <w:pStyle w:val="SntesisDescriptiva"/>
      </w:pPr>
    </w:p>
    <w:p w:rsidR="00FE0907" w:rsidRDefault="00FE0907" w:rsidP="00FE0907">
      <w:pPr>
        <w:pStyle w:val="SntesisAnaltica"/>
      </w:pPr>
      <w:r>
        <w:t>Vulneración del derecho a la tutela judicial efectiva: ofrecimiento inidóneo de acciones</w:t>
      </w:r>
    </w:p>
    <w:p w:rsidR="00FE0907" w:rsidRDefault="00FE0907" w:rsidP="00FE0907">
      <w:pPr>
        <w:pStyle w:val="SntesisAnaltica"/>
      </w:pPr>
    </w:p>
    <w:p w:rsidR="00FE0907" w:rsidRDefault="00FE0907" w:rsidP="00FE0907">
      <w:pPr>
        <w:pStyle w:val="Extracto"/>
      </w:pPr>
      <w:r>
        <w:t>1.</w:t>
      </w:r>
      <w:r>
        <w:tab/>
        <w:t>La inadmisión del recurso de apelación con base en la norma preclusiva para mostrarse parte, cuya observancia al recurrente no le era exigible por desconocer el cambio de procedimiento efectuado, supone una aplicación contraria a la mayor efectividad del derecho a la tutela judicial efectiva sin indefensión, en su faceta, en este caso, del derecho a los recursos legalmente establecidos [F.J. 2].</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recurso de amparo núm. 2.135/89, promovido por don Paulino López Martín, representado por el Procurador de los Tribunales don José Luis Granizo García-Cuenca, sustituído por su compañero don Roberto Granizo Palomeque y asistido por el Letrado don Manuel Calvo Ubeda, contra el Auto del Juzgado de Instrucción núm. 3 de Salamanca de 10 de julio de 1989, que inadmite el recurso de apelación interpuesto contra la Sentencia dictada por ese mismo Juzgado en el procedimiento abreviado núm. 16/89, el Auto del Juzgado de Instrucción núm. 3 de Salamanca de 19 de julio de 1989, que desestima el recurso de reforma interpuesto frente al primero, el Auto de la Audiencia Provincial de Salamanca de 26 de septiembre de 1989, que desestima el recurso de queja interpuesto contra el Auto desestimatorio del recurso de reforma, y el Auto de la Audiencia Provincial de Salamanca de 4 de octubre de 1989, que desestima el recurso de súplica contra el Auto desestimatorio del recurso de queja. Ha comparecido el Ministerio Fiscal. Ha sido Ponente el Magistrado don Jesús Leguina Villa, quien expresa el parecer de la Sala.</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tiene entrada en este Tribunal el 28 de octubre de 1989, don José Luis Granizo García-Cuenca, Procurador de los Tribunales, en nombre y representación de don Paulino López Martín, interpone recurso de amparo contra el Auto del Juzgado de Instrucción núm. 3 de Salamanca de 10 de julio de 1989, que inadmite el recurso de apelación interpuesto contra la Sentencia dictada por ese mismo Juzgado en el procedimiento abreviado núm. 16/89, el Auto del Juzgado de Instrucción núm. 3 de Salamanca de 19 de julio de 1989, que desestima el recurso de reforma interpuesto frente al primero, el Auto de la Audiencia Provincial de Salamanca de 26 de septiembre de 1989, que desestima el recurso de queja interpuesto contra el Auto desestimatorio del recurso de reforma, y el Auto de la Audiencia Provincial de Salamanca de 4 de octubre de 1989, que desestima el recurso de súplica contra el Auto desestimatorio del recurso de queja.</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El presente recurso de amparo tiene su origen en los siguientes hechos: </w:t>
      </w:r>
    </w:p>
    <w:p w:rsidR="00FE0907" w:rsidRDefault="00FE0907" w:rsidP="00FE0907">
      <w:pPr>
        <w:pStyle w:val="TextoNormal"/>
      </w:pPr>
      <w:r>
        <w:t xml:space="preserve">a) En la localidad de Galinduste, el día 12 de diciembre de 1987, don Paulino López Martín fue agredido por don Mariano Moreta Díaz, con resultado de lesiones. Por estos hechos, el Juzgado de Distrito de Alba de Tormes incoó diligencias (núm. 18/88) y continuó la tramitación (núms. 24 y 43/88) por inhibición de los Juzgados de Distrito núms. 2 y 3 de Salamanca de las practicadas por denuncia del ofendido y por remisión de partes médicos del Juzgado de Instrucción núm. 3 de Salamanca, respectivamente. </w:t>
      </w:r>
    </w:p>
    <w:p w:rsidR="00FE0907" w:rsidRDefault="00FE0907" w:rsidP="00FE0907">
      <w:pPr>
        <w:pStyle w:val="TextoNormal"/>
      </w:pPr>
      <w:r>
        <w:t xml:space="preserve">b) El Juzgado de Distrito de Alba de Tormes, en atención a la importancia de las lesiones, remitió al Juzgado de Instrucción Decano de Salamanca las diligencias núms. 24/88 y 43/88, correspondiendo, por turno de reparto, al Juzgado de Instrucción núm. 3, que incoó diligencias previas núm. 147/89, posteriormente seguidas por el trámite del procedimiento abreviado con el núm. 16/89. </w:t>
      </w:r>
    </w:p>
    <w:p w:rsidR="00FE0907" w:rsidRDefault="00FE0907" w:rsidP="00FE0907">
      <w:pPr>
        <w:pStyle w:val="TextoNormal"/>
      </w:pPr>
      <w:r>
        <w:t xml:space="preserve">c) El Ministerio Fiscal calificó provisionalmente los hechos como constitutivos de un delito de lesiones graves, solicitando la imposición a don Mariano Moreta Díaz de una pena de dos meses de arresto mayor, accesorias, costas y multa de 30.000 pts. con arresto sustitutorio e indemnización de 96.000 pts. a don Paulino López Martín. Señalado el juicio oral para el día 15 de junio de 1989, se intentó citar a don Paulino en calidad de testigo, pero la citación no pudo llevarse a efecto. </w:t>
      </w:r>
    </w:p>
    <w:p w:rsidR="00FE0907" w:rsidRDefault="00FE0907" w:rsidP="00FE0907">
      <w:pPr>
        <w:pStyle w:val="TextoNormal"/>
      </w:pPr>
      <w:r>
        <w:t xml:space="preserve">d) En el acto del juicio oral, el Fiscal modificó sus conclusiones provisionales, en el sentido de considerar los hechos constitutivos de una falta de lesiones y solicitó para el acusado la pena de ocho días de arresto menor e indemnización al perjudicado en cantidad no superior a 25.000 pts. A esta calificación se adhirió el acusado, conformándose con la petición del Ministerio Fiscal. El Juzgado de Instrucción dictó Sentencia el 16 de junio de 1989 de acuerdo con la petición del Ministerio Fiscal. </w:t>
      </w:r>
    </w:p>
    <w:p w:rsidR="00FE0907" w:rsidRDefault="00FE0907" w:rsidP="00FE0907">
      <w:pPr>
        <w:pStyle w:val="TextoNormal"/>
      </w:pPr>
      <w:r>
        <w:t xml:space="preserve">e) Al tener conocimiento de dicha Sentencia el recurrente en amparo, dirigió, en fecha 22 de junio de 1989, escrito al Juzgado de Instrucción núm. 3 de Salamanca, personándose en el referido procedimiento abreviado núm. 16/89 e interponiendo recurso de apelación para ante la Audiencia provincial contra la mencionada Sentencia, alegando al propio tiempo que no le había sido hecho el ofrecimiento de acciones previsto en los arts. 109 y 110 de la Ley de Enjuiciamiento Criminal, ni se le había tomado declaración, ni se le había citado en forma para el acto del juicio. Asimismo, aducía que acababa de recibir citación del Juzgado de Distrito núm. 3 de Salamanca para ser examinado por el Médico Forense de sus lesiones, actuando dicho Juzgado a requerimiento del de Alba de Tormes, </w:t>
      </w:r>
      <w:r>
        <w:lastRenderedPageBreak/>
        <w:t xml:space="preserve">donde aún continuaba tramitándose otro procedimiento (núm. 18/88). En consecuencia, solicitaba la anulación de la sentencia y la retroacción de las actuaciones. </w:t>
      </w:r>
    </w:p>
    <w:p w:rsidR="00FE0907" w:rsidRDefault="00FE0907" w:rsidP="00FE0907">
      <w:pPr>
        <w:pStyle w:val="TextoNormal"/>
      </w:pPr>
      <w:r>
        <w:t xml:space="preserve">f) Presentado el recurso de apelación, el Juzgado de Instrucción núm. 3 de Salamanca dictó providencia de fecha 28 de junio de 1989, por la que, vistas las actuaciones instruídas por el Juzgado de Distrito de Alba de Tormes y por observarse repetidas resoluciones de éste que interesaban el cumplimiento de despachos por el Juzgado de Distrito núm. 3 de Salamanca, se requería a éste último la remisión de cuantos exhortos estuviesen pendientes de cumplimentar en relación con el juicio de faltas núm. 24/88, seguido en el Juzgado de Distrito de Alba de Tormes. Entre los exhortos cumplimentados, el Juzgado de Distrito núm. 3 de Salamanca remite el de la diligencia de toma de declaración y ofrecimiento de acciones a don Paulino López Martín, practicada el 12 de febrero de 1988, con manifestación del interesado de quedar enterado de dicho ofrecimiento. </w:t>
      </w:r>
    </w:p>
    <w:p w:rsidR="00FE0907" w:rsidRDefault="00FE0907" w:rsidP="00FE0907">
      <w:pPr>
        <w:pStyle w:val="TextoNormal"/>
      </w:pPr>
      <w:r>
        <w:t xml:space="preserve">g) En fecha 10 de julio de 1989, el Juzgado de Instrucción núm. 3 de Salamanca dictó Auto, por el que teniendo por personado al recurrente, declaró no haber lugar a tenerle por parte procesal en calidad de perjudicado e inadmitió el recurso de apelación formulado, con fundamento en que el ofrecimiento de acciones había sido realizado, que el art. 110 L.E.Crim. impide al perjudicado mostrarse parte en la causa una vez calificada y que la solicitud era extemporánea y la sentencia firme. </w:t>
      </w:r>
    </w:p>
    <w:p w:rsidR="00FE0907" w:rsidRDefault="00FE0907" w:rsidP="00FE0907">
      <w:pPr>
        <w:pStyle w:val="TextoNormal"/>
      </w:pPr>
      <w:r>
        <w:t>h) Contra este Auto el recurrente interpuso recurso de reforma y subsidiario de apelación, que el Juzgado desestimó por Auto de 19 de julio de 1989, y contra éste formuló recurso de queja, desestimado por Auto de la Audiencia Provincial de Salamanca de 26 de septiembre de 1989; resolución contra la que interpuso recurso de súplica, desestimado por Auto de 4 de octubre de 1989.</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El recurrente invoca la vulneración del derecho a la tutela judicial efectiva sin que pueda producirse indefensión, que consagra el art. 24.1 C.E. y se dirige contra los cuatro Autos reseñados, dictados por el Juzgado de Instrucción núm. 3 de Salamanca y por la Audiencia Provincial de Salamanca, que, con posterioridad a la Sentencia de 16 de junio de 1989 dictada por dicho Juzgado de Instrucción, impidieron el acceso al recurso de apelación, en el que obtener una decisión judicial sobre la nulidad de actuaciones que en el mismo se solicitaba. La demanda de amparo se basa en la indefensión producida por la ausencia del ofrecimiento de acciones que prevén los arts. 109 y 110 L.E.Crim. y por la falta de citación al acto del juicio; hechos ambos que motivaron la no comparecencia del recurrente, lo que a su vez motivó la vulneración de su derecho a ser oído en la causa, así como su derecho al recurso legalmente previsto, porque al no haber sido parte no tuvo sino un conocimiento casual de la Sentencia dictada. </w:t>
      </w:r>
    </w:p>
    <w:p w:rsidR="00FE0907" w:rsidRDefault="00FE0907" w:rsidP="00FE0907">
      <w:pPr>
        <w:pStyle w:val="TextoNormal"/>
      </w:pPr>
      <w:r>
        <w:t>En virtud de todo ello, solicita de este Tribunal que dicte Sentencia por la que, otorgando el amparo pedido, se declare la nulidad de los Autos de fechas 10 y 19 de julio de 1989 del Juzgado de Instrucción núm. 3 de Salamanca y de los Autos de 26 de septiembre y 4 de octubre de 1989 de la Audiencia Provincial y, en consecuencia, se declare la admisión del recurso de apelación interpuesto por el recurrente contra la Sentencia dictada en procedimiento abreviado núm. 16/89, con objeto de conseguir la nulidad de actuaciones detallada en el mismo.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15 de enero de 1990, la Sección Primera (Sala Primera) de este Tribunal acuerda admitir a trámite la demanda de amparo formulada por don Paulino López Martín, sin perjuicio de lo que resulte de los antecedentes, y tener por personado y parte en su nombre y representación al Procurador don José Luis Granizo García-Cuenca, </w:t>
      </w:r>
      <w:r>
        <w:lastRenderedPageBreak/>
        <w:t>y acuerda, asimismo, a tenor de lo dispuesto en el art. 51 LOTC, requerir atentamente a la Audiencia Provincial de Salamanca y al Juzgado de Instrucción núm. 3 de dicha ciudad para que en el plazo de diez días remitan, respectivamente, testimonio del rollo 48/89 y del procedimiento abreviado 16/89, interesándose al propio tiempo el emplazamiento de cuantos han sido parte en el proceso judicial antecedente, excepto el recurrente en amparo, para que en el plazo de diez días comparezcan en el presente proceso constitucional. En cuanto al recibimiento a prueba solicitado, en su momento se acordará lo procedente.</w:t>
      </w:r>
    </w:p>
    <w:p w:rsidR="00FE0907" w:rsidRDefault="00FE0907" w:rsidP="00FE0907">
      <w:pPr>
        <w:pStyle w:val="TextoNormal"/>
      </w:pPr>
    </w:p>
    <w:p w:rsidR="00FE0907" w:rsidRDefault="00FE0907" w:rsidP="00FE0907">
      <w:pPr>
        <w:pStyle w:val="TextoNormal"/>
      </w:pPr>
      <w:r w:rsidRPr="00FE0907">
        <w:rPr>
          <w:rStyle w:val="NumeroAFNegritaCaracter"/>
        </w:rPr>
        <w:t>5</w:t>
      </w:r>
      <w:r>
        <w:t>. La Sección, por providencia de 5 de marzo de 1990, acuerda tener por recibidas las actuaciones interesadas y, a tenor de lo dispuesto en el art. 52 LOTC, dar vista de las actuaciones del recurso de amparo por plazo común de veinte días al Ministerio Fiscal y al Procurador Sr. Granizo y García-Cuenca, para que dentro de dicho plazo formulen las alegaciones que a su derecho convengan.</w:t>
      </w:r>
    </w:p>
    <w:p w:rsidR="00FE0907" w:rsidRDefault="00FE0907" w:rsidP="00FE0907">
      <w:pPr>
        <w:pStyle w:val="TextoNormal"/>
      </w:pPr>
    </w:p>
    <w:p w:rsidR="00FE0907" w:rsidRDefault="00FE0907" w:rsidP="00FE0907">
      <w:pPr>
        <w:pStyle w:val="TextoNormal"/>
      </w:pPr>
      <w:r w:rsidRPr="00FE0907">
        <w:rPr>
          <w:rStyle w:val="NumeroAFNegritaCaracter"/>
        </w:rPr>
        <w:t>6</w:t>
      </w:r>
      <w:r>
        <w:t>. Por escrito presentado el 2 de abril de 1990, la representación del recurrente en amparo ratifica el escrito de demanda y las alegaciones en él contenidas.</w:t>
      </w:r>
    </w:p>
    <w:p w:rsidR="00FE0907" w:rsidRDefault="00FE0907" w:rsidP="00FE0907">
      <w:pPr>
        <w:pStyle w:val="TextoNormal"/>
      </w:pPr>
    </w:p>
    <w:p w:rsidR="00FE0907" w:rsidRDefault="00FE0907" w:rsidP="00FE0907">
      <w:pPr>
        <w:pStyle w:val="TextoNormal"/>
      </w:pPr>
      <w:r w:rsidRPr="00FE0907">
        <w:rPr>
          <w:rStyle w:val="NumeroAFNegritaCaracter"/>
        </w:rPr>
        <w:t>7</w:t>
      </w:r>
      <w:r>
        <w:t>. En su escrito de alegaciones, presentado el 4 de abril de 1990, el Ministerio Fiscal solicita la desestimación del presente recurso de amparo, sobre la base de que el ofrecimiento de acciones a cuya falta imputa el recurrente la situación de indefensión sí se llevó a cabo por el Juzgado de Distrito núm. 3 de Salamanca. Por tanto, cualquiera que fuese el momento en que dicha diligencia se uniese a las actuaciones del procedimiento abreviado núm. 16/89 del Juzgado de Instrucción núm. 3 de Salamanca, lo cierto es que, practicado el ofrecimiento de acciones, la falta de personación del recurrente sólo a él puede ser imputable y no al órgano jurisdiccional.</w:t>
      </w:r>
    </w:p>
    <w:p w:rsidR="00FE0907" w:rsidRDefault="00FE0907" w:rsidP="00FE0907">
      <w:pPr>
        <w:pStyle w:val="TextoNormal"/>
      </w:pPr>
    </w:p>
    <w:p w:rsidR="00FE0907" w:rsidRDefault="00FE0907" w:rsidP="00FE0907">
      <w:pPr>
        <w:pStyle w:val="TextoNormal"/>
      </w:pPr>
      <w:r w:rsidRPr="00FE0907">
        <w:rPr>
          <w:rStyle w:val="NumeroAFNegritaCaracter"/>
        </w:rPr>
        <w:t>8</w:t>
      </w:r>
      <w:r>
        <w:t>. Por providencia de 27 de abril de 1992, se señaló para votación y fallo de la presente Sentencia el día 29 siguiente; habiendo comparecido el Procurador don Roberto Granizo Palomeque en sustitución de su compañero Sr. Granizo García-Cuenca en representación del recurrente, acordando no haber lugar al recibimiento a prueba solicitado.</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del presente recurso de amparo lo constituyen las resoluciones judiciales del Juzgado de Instrucción núm.  3 y de la Audiencia Provincial de Salamanca que vedaron el acceso del recurrente al recurso de apelación interpuesto frente a la Sentencia de 16 de junio de 1989, dictada por el Juzgado de Instrucción núm. 3 de Salamanca en el procedimiento abreviado núm.  16/89. Frente a la alegación del recurente de que en dicho procedimiento no le había sido realizado el preceptivo ofrecimiento de acciones previsto en los arts. 109 y 110 L.E.Crim., ni había sido citado al acto del juicio, las resoluciones impugnadas basaron la inadmisión del recurso de apelación, en el que el recurrente quería sostener la nulidad de la Sentencia citada, en el hecho de que el ofrecimiento de acciones - aun cuando el Juzgado de Instrucción no tuviera conocimiento de ello hasta después de dictar Sentencia y una vez presentado el recurso de apelación - sí había sido realizado, por lo que, en consecuencia, el recurrente no se personó en tiempo hábil, ya que el art. 110 L.E.Crim.  impide al perjudicado mostrarse parte en la causa después del trámite de califi</w:t>
      </w:r>
      <w:r>
        <w:lastRenderedPageBreak/>
        <w:t>cación.  Por todo ello, el recurso de apelación debía considerarse extemporáneo y la Sentencia debía reputarse firme. En el fondo del recurso de amparo late, pues, una imputación de indefensión por privación del derecho al recurso legalmente establecido, causada por las resoluciones impugnadas al inadmitir el recurso de apelación presentado con base en un motivo arbitrario. De este modo, el presente recurso de amparo se contrae a determinar si la inadmisión del recurso por los órganos judiciales fue razonable, pues en caso contrario se habría conculcado el art.  24.1 C.E., ya que, como este Tribunal ha afirmado, el derecho a la tutela judicial efectiva se satisface mediante un pronunciamiento que resuelva motivadamente la cuestión litigiosa planteada o que decida su inadmisión a trámite como consecuencia del incumplimiento de alguno de los requisitos procesales establecidos por el legislador para la válida interposición de los recursos, requisitos cuya apreciación corresponde a los órganos judiciales en el ejercicio de la función que tienen constitucionalmente asignada (SSTC 100/1988, y 168/1988, entre otras), si bien la interpretación de los mencionados requisitos ha de efectuarse por el órgano judicial en la forma que sea más favorable a la efectividad del derecho consagrado en el art. 24.1 C.E.  (SSTC 1/1989, 20/1989, y 50/1990, entre otras), de modo que no basta para entender respetado dicho derecho fundamental una resolución que, aunque formalmente razonada, recoja un fundamento arbitrario o irrazonable (por todas, STC 199/1988).</w:t>
      </w:r>
    </w:p>
    <w:p w:rsidR="00FE0907" w:rsidRDefault="00FE0907" w:rsidP="00FE0907">
      <w:pPr>
        <w:pStyle w:val="TextoNormal"/>
      </w:pPr>
    </w:p>
    <w:p w:rsidR="00FE0907" w:rsidRDefault="00FE0907" w:rsidP="00FE0907">
      <w:pPr>
        <w:pStyle w:val="TextoNormal"/>
      </w:pPr>
      <w:r w:rsidRPr="00FE0907">
        <w:rPr>
          <w:rStyle w:val="NumeroAFNegritaCaracter"/>
        </w:rPr>
        <w:t>2</w:t>
      </w:r>
      <w:r>
        <w:t>. En el presente caso, la cuestión no estriba en la existencia o inexistencia del ofrecimiento de acciones al recurrente; ni siquiera estriba en si el ofrecimiento, aun realizado, era desconocido por el juzgador en el momento de dictar Sentencia.  Del examen de las actuaciones se deduce que el ofrecimiento, cuando el asunto se encontraba todavía en el Juzgado de Distrito de Alba de Tormes, fue realizado al recurrente por el Juzgado de Distrito núm.  3 de Salamanca en vía de auxilio judicial.  Asimismo, también está claro que el Juzgado de Instrucción núm.  3 de Salamanca sólo tuvo conocimiento de la efectiva realización de la diligencia de ofrecimiento de acciones con posterioridad a dictar Sentencia y una vez presentado el recurso de apelación.  Los órganos judiciales razonan que, existiendo dicho ofrecimiento y no habiéndose personado el recurrente antes del trámite preclusivo de calificación señalado en el art.  110 LECRIM, se ha respetado el derecho del recurrente a tener la oportunidad de ser oído y que, por tanto, sólo a su inactividad es imputable la improcedencia del recurso de apelación al no haberse mostrado tempestivamente parte en la causa.</w:t>
      </w:r>
    </w:p>
    <w:p w:rsidR="00FE0907" w:rsidRDefault="00FE0907" w:rsidP="00FE0907">
      <w:pPr>
        <w:pStyle w:val="TextoNormal"/>
      </w:pPr>
      <w:r>
        <w:t>No puede ponerse en duda la corrección que dicha afirmación tiene con carácter general. Ahora bien, concurre en el presente caso una circunstancia que modifica radicalmente la razonabilidad del argumento utilizado en las resoluciones impugnadas.  Dicha circunstancia es la de que el ofrecimiento de acciones efectivamente llevado a cabo, se realizó en un procedimiento que, por su propia naturaleza, pudo razonablemente inducir al recurrente a entender que no era necesaria su personación posterior en la causa de forma independiente y separada de su comparecencia en juicio.  Dicho de otro modo, el ofrecimiento de acciones se hizo en un procedimiento de juicio de faltas, y en esta clase de juicio, a diferencia del procedimiento abreviado o del procedimiento ordinario, es facultativa la intervención de Abogado y Procurador, siendo el acto del juicio el momento procesal adecuado para que el perjudicado pueda mostrarse parte y ejercitar sus acciones, de modo que el Juez tiene la obligación de citarle al acto del juicio al no haber precluído la facultad de mostrarse parte. En este caso, como se ha dicho, el ofrecimiento de acciones se realizó en un momento en que se sustanciaba un juicio de faltas, pero con posterioridad - y sin comunicarlo al interesado - se remitieron las actuaciones al Juzgado de Instrucción en aten</w:t>
      </w:r>
      <w:r>
        <w:lastRenderedPageBreak/>
        <w:t>ción a la aparente gravedad de las lesiones y se produjo un cambio en el procedimiento, que pasó a tramitarse por los cauces del procedimiento abreviado. Es razonable pensar que el recurrente - que no renunció expresamente al ejercicio de la acción penal ni de la civil - confiara en ser citado al acto del juicio conforme a las normas del procedimiento que creía seguían rigiendo la tramitación de la causa.  De este modo, la inadmisión del recurso de apelación con base en la norma preclusiva para mostrarse parte, cuya observancia al recurrente no le era exigible por desconocer el cambio de procedimiento efectuado, supone una aplicación contraria a la mayor efectividad del derecho a la tutela judicial efectiva sin indefensión, en su faceta en este caso del derecho a los recursos legalmente establecidos.  Una intepretación de las normas sobre requisitos del recurso de apelación más acorde con el derecho fundamental consagrado en el art. 24.1 C.E. debería haber conducido al Juzgado de Instrucción o a la Audiencia Provincial, ante la ausencia de un nuevo ofrecimiento de acciones y dada la falta de constancia de que el recurrente conociese el curso de los autos por otros medios, a admitir el recurso de apelación interpuesto con el fin de que, mediante la sustanciación del mismo, se pudiese analizar y resolver lo procedente sobre la nulidad de la Sentencia y la retroacción de actuaciones solicitada por el recurrente al presentar dicho recurso.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Estimar el recurso de amparo promovido por don Paulino López Martín y, en su virtud:</w:t>
      </w:r>
    </w:p>
    <w:p w:rsidR="00FE0907" w:rsidRDefault="00FE0907" w:rsidP="00FE0907">
      <w:pPr>
        <w:pStyle w:val="TextoNormal"/>
      </w:pPr>
      <w:r>
        <w:t>1º.  Anular los Autos de 10 de julio y 19 de julio de 1989 dictados por el Juzgado de Instrucción núm.  3 de Salamanca en el procedimiento abreviado núm.  16/89 y los Autos de 26 de septiembre y 4 de octubre de 1989 de la Audiencia Provincial de Salamanca dictados en el rollo 48/89.</w:t>
      </w:r>
    </w:p>
    <w:p w:rsidR="00FE0907" w:rsidRDefault="00FE0907" w:rsidP="00FE0907">
      <w:pPr>
        <w:pStyle w:val="TextoNormal"/>
      </w:pPr>
      <w:r>
        <w:t>2º.  Reconocer el derecho del recurrente a obtener la tutela judicial efectiva sin indefensión.</w:t>
      </w:r>
    </w:p>
    <w:p w:rsidR="00FE0907" w:rsidRDefault="00FE0907" w:rsidP="00FE0907">
      <w:pPr>
        <w:pStyle w:val="TextoNormal"/>
      </w:pPr>
      <w:r>
        <w:t>3º.  Restablecer al recurrente en la integridad de su derecho vulnerado, para lo cual deberá admitirse a trámite el recurso de apelación presentado contra la Sentencia de 16 de junio de 1989 del Juzgado de Instrucción núm. 3 de Salamanca, para que en el mismo se decida lo procedente sobre la nulidad de dicha Sentencia y la retroacción de actuaciones planteadas por el recurrente.</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veintinueve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70" w:name="SENTENCIA_1992_67"/>
      <w:r>
        <w:lastRenderedPageBreak/>
        <w:t>SENTENCIA 67/1992, de 30 de abril de 1992</w:t>
      </w:r>
    </w:p>
    <w:bookmarkEnd w:id="70"/>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ECLI:ES:TC:1992:67</w:t>
      </w:r>
    </w:p>
    <w:p w:rsidR="00FE0907" w:rsidRDefault="00FE0907" w:rsidP="00FE0907">
      <w:pPr>
        <w:pStyle w:val="SntesisDescriptiva"/>
      </w:pPr>
    </w:p>
    <w:p w:rsidR="00FE0907" w:rsidRDefault="00FE0907" w:rsidP="00FE0907">
      <w:pPr>
        <w:pStyle w:val="SntesisDescriptiva"/>
      </w:pPr>
      <w:r>
        <w:t>Conflicto positivo de competencia 1.199/1986. Promovido por el Gobierno de la Nación en relación con Resolución de la Dirección General de Industria de la Comunidad Autónoma de Madrid, sobre autorización y declaración de utilidad pública del proyecto de ampliación de la subestación 400/200 KV "San Sebastián de los Reyes"</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Se reitera doctrina anterior (SSTC 12/1984 y 119/1986) respecto de los criterios de competencia para la autorización de instalaciones eléctricas [F. J. 4].</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Francisco Rubio Llorente, don Fernando García-Mon y González-Regueral, don Carlos de la Vega Benayas, don Eugenio Díaz Eimil, don Jesús Leguina Villa, don Luis López Guerra, don José Luis de los Mozos y de los Mozos, don Alvaro Rodríguez Bereijo, don José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1.199/86 planteado por el Abogado del Estado, en representa ción del Gobierno, frente a la Resolución de 12 de junio de 1986 de la Dirección General de Industria de la Comunidad Autonóma de Madrid sobre autorización y declaración de utilidad pública del proyecto de ampliación de la subestación 400/200 KV "San Sebastián de los Reyes". Ha sido parte el Consejo de Gobierno de la Comunidad de Madrid, representada por el Abogado don Juan Salazar-Alonso Cendrero y Ponente el Magistrado don Eugenio Díaz Eimil, quien expresa el parecer del Tribunal.</w:t>
      </w:r>
    </w:p>
    <w:p w:rsidR="00FE0907" w:rsidRDefault="00FE0907" w:rsidP="00FE0907">
      <w:pPr>
        <w:pStyle w:val="TextoNormal"/>
      </w:pPr>
    </w:p>
    <w:p w:rsidR="00FE0907" w:rsidRDefault="00FE0907" w:rsidP="00FE0907">
      <w:pPr>
        <w:pStyle w:val="TextoNormalNegritaCentrado"/>
        <w:keepNext/>
      </w:pPr>
      <w:r>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Con fecha 12 de noviembre de 1986 tuvo entrada en el Registro de este Tribunal un escrito por el que el Abogado del Estado, en nombre y representación del Gobierno de la Nación, y una vez cumplidos los requisitos previos exigidos por los arts. 62 y 63 de la Ley Orgánica del Tribunal Constitucional (en adelante, LOTC), plantea conflicto constitucio</w:t>
      </w:r>
      <w:r>
        <w:lastRenderedPageBreak/>
        <w:t xml:space="preserve">nal positivo de competencia contra la resolución de 12 de junio de 1986 de la Dirección General de Industria de la Comunidad Autónoma de Madrid, sobre la autorización y declaración de utilidad pública del proyecto de ampliación de la subestación 400/200 KV "San Sebastian de los Reyes". Se invoca expresamente el art. 161.2 de la C.E., a los efectos de suspensión automática, de la Resolución cuestionada y se solicita de este Tribunal que declare que el Estado es competente para resolver sobre la autorización y declaración de utilidad pública del proyecto de ampliación de la subestación de "San Sebastian de los Reyes", solicitado por Unión Eléctrica Fenosa S.A. procediendo, en consecuencia, a la anulación de la referida resolución y demás pronunciamientos que sean procedentes. </w:t>
      </w:r>
    </w:p>
    <w:p w:rsidR="00FE0907" w:rsidRDefault="00FE0907" w:rsidP="00FE0907">
      <w:pPr>
        <w:pStyle w:val="TextoNormal"/>
      </w:pPr>
      <w:r>
        <w:t xml:space="preserve">El representante del Gobierno de la Nación funda su petitum en las siguientes consideraciones: </w:t>
      </w:r>
    </w:p>
    <w:p w:rsidR="00FE0907" w:rsidRDefault="00FE0907" w:rsidP="00FE0907">
      <w:pPr>
        <w:pStyle w:val="TextoNormal"/>
      </w:pPr>
      <w:r>
        <w:t xml:space="preserve">a) Comienza señalando que como en conflictos anteriores, y particularmente en el resuelto por la STC 12/1984, la cuestión a resolver es la de si la autorización de una instalación eléctrica como la aprobada encaja dentro de las competencias estatales o de las de la Comunidad Autónoma de Madrid. Afirma que la cuestión ha sido resuelta por la STC 12/1984, por lo que la solución que se deba dar a este caso y a otros similares es una cuestión esencialmente fáctica consistente en determinar si el aprovechamiento de energía afecta o no a otra Comunidad. Por ello, sin necesidad de reiterar argumentaciones ya expuestas en casos anteriores, el problema es examinar si existen o no, en el caso de la línea de que se trata, aprovechamientos supraautónomicos, y, para ello, considerar sus características técnicas. </w:t>
      </w:r>
    </w:p>
    <w:p w:rsidR="00FE0907" w:rsidRDefault="00FE0907" w:rsidP="00FE0907">
      <w:pPr>
        <w:pStyle w:val="TextoNormal"/>
      </w:pPr>
      <w:r>
        <w:t>b) En relación a las características técnicas de la instalación autorizada, subraya que no se trata de una instalación con exclusivas funciones de reparto o distribución en el territorio de la Comunidad, sino que, por sus características, tiene por objeto la interconexión del transporte de energía eléctrica, quedando integrada en el sistema eléctrico nacional, y como tal la Ley 49/1984, de 26 de diciembre, sobre explotación unificada del sistema eléctrico nacional incluye en el anexo único, Tabla IV, a la subestación de San Sebastián de los Reyes como formando parte de la red básica peninsular, y en la Tabla I se incluye el tramo Morata-San Sebastián de los Reyes, y en la Tabla VII los de Grijota-San Sebastián y Morata-San Sebastián. Todo ello, afirma, unido a la no contestación al requerimiento, debe entenderse suficiente para fundamentar la estimación de la pretensión del Gobierno.</w:t>
      </w:r>
    </w:p>
    <w:p w:rsidR="00FE0907" w:rsidRDefault="00FE0907" w:rsidP="00FE0907">
      <w:pPr>
        <w:pStyle w:val="TextoNormal"/>
      </w:pPr>
    </w:p>
    <w:p w:rsidR="00FE0907" w:rsidRDefault="00FE0907" w:rsidP="00FE0907">
      <w:pPr>
        <w:pStyle w:val="TextoNormal"/>
      </w:pPr>
      <w:r w:rsidRPr="00FE0907">
        <w:rPr>
          <w:rStyle w:val="NumeroAFNegritaCaracter"/>
        </w:rPr>
        <w:t>2</w:t>
      </w:r>
      <w:r>
        <w:t>. Por providencia de 19 de noviembre de 1986, la Sección Primera del Pleno acordó admitir a trámite el conflicto positivo de competencia planteado por el Gobierno de la Nación, dar traslado de la demanda y documentos presentados al Consejo de Gobierno de la Comunidad de Madrid, comunicarlo al Presidente de la Audiencia Territorial de Madrid a los efectos del art. 61.2 de la LOTC, tener por invocado el art. 161.2 de la C.E., lo que, a su tenor y conforme establece el art. 64.2 de la LOTC, produce la suspensión de la vigencia y aplicación de la Resolución impugnada y publicar la formalización del conflicto y la suspensión acordada en los Boletines Oficiales del Estado y de Madrid.</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Mediante escrito registrado en este Tribunal el día 18 de diciembre de 1986, el Letrado de los Servicios Jurídicos de la Comunidad de Madrid presentó su escrito de alegaciones contra la pretensión ejercida por el Gobierno. Sus argumentos pueden sintetizarse de la siguiente forma: </w:t>
      </w:r>
    </w:p>
    <w:p w:rsidR="00FE0907" w:rsidRDefault="00FE0907" w:rsidP="00FE0907">
      <w:pPr>
        <w:pStyle w:val="TextoNormal"/>
      </w:pPr>
      <w:r>
        <w:t xml:space="preserve">a) Señala que la finalidad de la ampliación es atender al incremento del consumo de energía eléctrica de Madrid, por lo que hay que entender que se encuentra entre las competencias transferidas por el Real Decreto 1.860/1984, ya que el transporte de energía no sale </w:t>
      </w:r>
      <w:r>
        <w:lastRenderedPageBreak/>
        <w:t xml:space="preserve">del ámbito territorial de la Comunidad Autónoma y su aprovechamiento no afecta a otra Comunidad. Analiza las características técnicas de la subestación y concluye que es un elemento de distribución de energía y no de transporte, y que en ella existe por una parte unas líneas de conexión con la red, y por otra parte una subestación de transformación, y que la autorización se refiere a esta última siendo la totalidad de la energía consumida en la Comunidad, por lo que la competencia debe ser comunitaria. </w:t>
      </w:r>
    </w:p>
    <w:p w:rsidR="00FE0907" w:rsidRDefault="00FE0907" w:rsidP="00FE0907">
      <w:pPr>
        <w:pStyle w:val="TextoNormal"/>
      </w:pPr>
      <w:r>
        <w:t>b) Por último, afirma que una interpretación del alcance de la competencia como la que refleja la impugnación del Gobierno supondría dejar sin contenido las transferencias realizadas por el Real Decreto 1.860/1984, de 18 de julio.</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providencia de 18 de marzo de 1987, próximo a finalizar el plazo de cinco meses que señala el art. 65.2 de la LOTC, la Sección Primera del Pleno, acordó oír a las partes acerca de la procedencia del mantenimiento o levantamiento de la suspensión de la resolución objeto de conflicto. </w:t>
      </w:r>
    </w:p>
    <w:p w:rsidR="00FE0907" w:rsidRDefault="00FE0907" w:rsidP="00FE0907">
      <w:pPr>
        <w:pStyle w:val="TextoNormal"/>
      </w:pPr>
      <w:r>
        <w:t>Evacuado el trámite, por Auto del Pleno de 7 de abril de 1987 se acordó el levantamiento de la suspensión.</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28 de abril se señaló el día 30 del mismo mes, para deliberación y votación de la presente Sentencia.</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del presente conflicto de competencias es declarar la instancia territorial competente para autorizar y declarar de utilidad pública el proyecto de ampliación de la subestación 400/200 KW "San Sebastián de los Reyes", resolviendo sobre la adecuación al orden competencial de la Resolución, de 12 de junio de 1986, de la Dirección General de Industria de la Comunidad Autónoma de Madrid.</w:t>
      </w:r>
    </w:p>
    <w:p w:rsidR="00FE0907" w:rsidRDefault="00FE0907" w:rsidP="00FE0907">
      <w:pPr>
        <w:pStyle w:val="TextoNormal"/>
      </w:pPr>
    </w:p>
    <w:p w:rsidR="00FE0907" w:rsidRDefault="00FE0907" w:rsidP="00FE0907">
      <w:pPr>
        <w:pStyle w:val="TextoNormal"/>
      </w:pPr>
      <w:r w:rsidRPr="00FE0907">
        <w:rPr>
          <w:rStyle w:val="NumeroAFNegritaCaracter"/>
        </w:rPr>
        <w:t>2</w:t>
      </w:r>
      <w:r>
        <w:t>. Como punto de partida hay que constatar que no reviste especial dificultad la determinación de los títulos atributivos de competencias y de los criterios de delimitación competencial que han de tomarse en consideración para la resolución del conflicto, como parecen reconocerlo ambas instancias territoriales en el pleito constitucional.</w:t>
      </w:r>
    </w:p>
    <w:p w:rsidR="00FE0907" w:rsidRDefault="00FE0907" w:rsidP="00FE0907">
      <w:pPr>
        <w:pStyle w:val="TextoNormal"/>
      </w:pPr>
      <w:r>
        <w:t>En efecto, ambas representaciones aparentemente coinciden en afirmar que, en virtud de los arts. 149.1.22 de la C.E. y 27.5 del Estatuto de Autonomía de la Comunidad Autónoma de Madrid, el Estado es competente para autorizar las instalaciones eléctricas cuando el aprovechamiento de la energía eléctrica afecte a otra Comunidad o su trasporte salga de su ámbito territorial, y, sensu contrario, la Comunidad Autónoma lo es cuando no se produzca al menos una de las condiciones reseñadas, criterio que es también empleado por el Real Decreto 1.860/1984, de traspaso de funciones y servicios del Estado a la Comunidad Autónoma de Madrid en materia de industria, energía y minas. Además este Tribunal ha tenido ocasión de pronunciarse sobre el alcance de esta competencia en la STC 12/1984, en virtud de la cual el Abogado del Estado considera resuelto este pleito, y en la STC 119/1986.</w:t>
      </w:r>
    </w:p>
    <w:p w:rsidR="00FE0907" w:rsidRDefault="00FE0907" w:rsidP="00FE0907">
      <w:pPr>
        <w:pStyle w:val="TextoNormal"/>
      </w:pPr>
    </w:p>
    <w:p w:rsidR="00FE0907" w:rsidRDefault="00FE0907" w:rsidP="00FE0907">
      <w:pPr>
        <w:pStyle w:val="TextoNormal"/>
      </w:pPr>
      <w:r w:rsidRPr="00FE0907">
        <w:rPr>
          <w:rStyle w:val="NumeroAFNegritaCaracter"/>
        </w:rPr>
        <w:t>3</w:t>
      </w:r>
      <w:r>
        <w:t xml:space="preserve">. La discrepancia hay que centrarla por lo tanto no en la distribución de las competencias en la materia, sino más bien en su aplicación práctica a la concreta autorización de </w:t>
      </w:r>
      <w:r>
        <w:lastRenderedPageBreak/>
        <w:t>ampliación de la subestación hidroeléctrica, y las posiciones pueden ser definidas afirmando que, desde el punto de vista estatal, la resolución de la Comunidad Autónoma de Madrid no ha tenido en cuenta, a la hora de conceder la autorización, las características de la subestación, que tiene por objeto la interconexión del transporte de energía, como lo demuestra su inclusión en la red básica peninsular prevista en la Ley 49/1984, de 26 de diciembre, sobre explotación unificada del sistema eléctrico nacional, tanto la propia subestación en la Tabla IV, como en las Tablas I y VII los tramos de transporte a los que se refiere la autorización, lo que evidencia el aprovechamiento y transporte supracomunitario de la energía y, en consecuencia, la invasión competencial. Frente a este punto de vista, la Comunidad Autónoma defiende la corrección de su actuación, porque en la subestación coexisten líneas de conexión con la red general, sobre las que parece admitir la competencia estatal, con una subestación de transformación, cuyo aprovechamiento y transporte es comunitario, y que es en relación a esta última sobre la que se ha concedido la autorización. Afirma, por último, que una interpretación como la que refleja la interpretación del Gobierno deja sin contenido las transferencias realizadas a la Comunidad.</w:t>
      </w:r>
    </w:p>
    <w:p w:rsidR="00FE0907" w:rsidRDefault="00FE0907" w:rsidP="00FE0907">
      <w:pPr>
        <w:pStyle w:val="TextoNormal"/>
      </w:pPr>
    </w:p>
    <w:p w:rsidR="00FE0907" w:rsidRDefault="00FE0907" w:rsidP="00FE0907">
      <w:pPr>
        <w:pStyle w:val="TextoNormal"/>
      </w:pPr>
      <w:r w:rsidRPr="00FE0907">
        <w:rPr>
          <w:rStyle w:val="NumeroAFNegritaCaracter"/>
        </w:rPr>
        <w:t>4</w:t>
      </w:r>
      <w:r>
        <w:t>. Resulta evidente, en primer lugar que no hay discusión alguna entre las partes acerca de la utilización supracomunitaria de la energía eléctrica transportada por la subestación de San Sebastián de los Reyes. Este Acuerdo se ve además reforzado por el dato de que la Ley 49/1984, de 26 de diciembre, de explotación unificada del sistema eléctrico nacional, incluye en su Anexo la central objeto del conflicto.</w:t>
      </w:r>
    </w:p>
    <w:p w:rsidR="00FE0907" w:rsidRDefault="00FE0907" w:rsidP="00FE0907">
      <w:pPr>
        <w:pStyle w:val="TextoNormal"/>
      </w:pPr>
      <w:r>
        <w:t>En efecto la citada Ley contiene en su preámbulo una definición de la red española de electricidad, compuesta por "aquellos elementos del sistema eléctrico que actúan como nexo de unión del sistema generador y del sistema distribuidor", declara en su art.  1.1 que "la explotación unificada del sistema eléctrico nacional a través de las redes de alta tensión es un servicio público de titularidad estatal", y crea una sociedad estatal gestora.  La Ley concluye con un Anexo único, modificable mediante Real Decreto, en el que se incluyen las líneas, subestaciones, elementos de control y protección y demás instalaciones que constituyen la red de alta tensión del sistema eléctrico nacional. La mera lectura de dicho Anexo muestra, como señala el Abogado del Estado, la inclusión en la red básica nacional tanto de la subestación como de los tramos concretos de transporte de electricidad objeto de la resolución de la Comunidad Autónoma y el consiguiente conflicto.</w:t>
      </w:r>
    </w:p>
    <w:p w:rsidR="00FE0907" w:rsidRDefault="00FE0907" w:rsidP="00FE0907">
      <w:pPr>
        <w:pStyle w:val="TextoNormal"/>
      </w:pPr>
      <w:r>
        <w:t>Este dato no significa en modo alguno que el criterio de distribución competencial presente en el art. 149.1.22 C.E. y en el Estatuto de Autonomía de la Comunidad Autónoma de Madrid se agote en la inclusión o no en el citado anexo, pero constituye un criterio interpretativo que debe ser tomado en consideración a la hora de determinar las respectivas competencias, de forma que en principio debe prevalecer, salvo que, en el seno de un conflicto de competencias, una Comunidad Autónoma demuestre que ni el aprovechamiento de la energía procedente de una determinada central incluida en el Anexo es supracomunitario ni su transporte supera su ámbito territorial, o, en sentido contrario, el Estado pruebe que alguna instalación no incluida debe ser de su titularidad.</w:t>
      </w:r>
    </w:p>
    <w:p w:rsidR="00FE0907" w:rsidRDefault="00FE0907" w:rsidP="00FE0907">
      <w:pPr>
        <w:pStyle w:val="TextoNormal"/>
      </w:pPr>
      <w:r>
        <w:t>Además, tal discusión ni siquiera es planteada por la Comunidad Autónoma, que no pone en duda que la subestación realiza funciones que superan el ámbito de la Comunidad Autónoma en lo que se refiere al transporte de energía, pero afirma que junto a ellas, la instalación cumple también funciones de transformación y distribución de energía que se consume íntegramente en la Comunidad, que la autorización es sobre esta última función de la subestación, y que en consecuencia la competencia es autonómica.</w:t>
      </w:r>
    </w:p>
    <w:p w:rsidR="00FE0907" w:rsidRDefault="00FE0907" w:rsidP="00FE0907">
      <w:pPr>
        <w:pStyle w:val="TextoNormal"/>
      </w:pPr>
      <w:r>
        <w:lastRenderedPageBreak/>
        <w:t>Tiene razón el Abogado del Estado cuando afirma la carencia de fundamento de la pretensión autonómica, y ello sin necesidad de entrar a dilucidar, ni la supuesta divisibilidad técnica de la subestación -lo que no es ni puede ser competencia de este Tribunal-, ni, admitida ésta, si resultaría competencia autonómica la autorización que es objeto del conflicto, a lo que parece oponerse al dato de que la instalación esté incluida en el Anexo de la Ley citada.  Ambos son pronunciamientos improcedentes e innecesarios porque el problema jurídico planteado es una cuestión ya resuelta por las SSTC 12/1984 y 119/1986 que establecen de forma categórica que con arreglo al bloque de la constitucionalidad en la materia es competencia exclusiva del Estado la autorización de instalaciones eléctricas cuando su aprovechamiento afecte a otra Comunidad o el transporte salga de su ámbito territorial, de forma que "basta que en relación a cualquier instalación o línea de transporte se dé una de las dos condiciones enunciadas para que la competencia de autorización sea estatal".</w:t>
      </w:r>
    </w:p>
    <w:p w:rsidR="00FE0907" w:rsidRDefault="00FE0907" w:rsidP="00FE0907">
      <w:pPr>
        <w:pStyle w:val="TextoNormal"/>
      </w:pPr>
      <w:r>
        <w:t>En el presente supuesto está fuera de discusión entre las partes que existen elementos de la Subestación de San Sebastián de los Reyes que, por sus funciones de interconexión de la energía eléctrica están integradas en el sistema eléctrico nacional y desarrolla una función supracomunitaria que supera las competencias de la Comunidad de Madrid. Es pues evidente que las autorizaciones administrativas sobre dicha subestación, a tenor de la jurisprudencia transcrita, deben corresponder al Estado, sin que se pueda oponer un supuesto e indemostrado vaciamiento de las competencias autonómicas, porque, en el sentido de lo señalado en la STC 12/1984, el determinar que la autorización de la ampliación de esta subestación sea competencia estatal no niega en forma alguna la existencia de ámbitos de actuación de la Comunidad, sino que se limita a constatar la invasión de competencias estatales en el caso concreto.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CONCEDE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1º. Declarar que la competencia para resolver sobre la autorización y declaración de utilidad pública de la ampliación de la subestación 400/200 KW "San Sebastián de los Reyes" es de titularidad estatal.</w:t>
      </w:r>
    </w:p>
    <w:p w:rsidR="00FE0907" w:rsidRDefault="00FE0907" w:rsidP="00FE0907">
      <w:pPr>
        <w:pStyle w:val="TextoNormal"/>
      </w:pPr>
      <w:r>
        <w:t>2º. Anular la Resolución de 12 de junio de 1986 de la Dirección General de Industria de la Comunidad Autónoma de Madrid de autorización y declaración de utilidad pública de la ampliación de la citada subestación, sin perjuicio de los efectos ya consumados.</w:t>
      </w:r>
    </w:p>
    <w:p w:rsidR="00FE0907" w:rsidRDefault="00FE0907" w:rsidP="00FE0907">
      <w:pPr>
        <w:pStyle w:val="TextoNormal"/>
      </w:pPr>
    </w:p>
    <w:p w:rsidR="00FE0907" w:rsidRDefault="00FE0907" w:rsidP="00FE0907">
      <w:pPr>
        <w:pStyle w:val="TextoNormal"/>
      </w:pPr>
      <w:r>
        <w:t>Comuníquese al Gobierno de la Nación, a la Comunidad Autónoma de Madrid y al Tribunal Superior de Justicia de la Comunidad Autónoma a los efectos del art.  61 LOTC.</w:t>
      </w: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abril de mil novecientos noventa y dos.</w:t>
      </w:r>
    </w:p>
    <w:p w:rsidR="00FE0907" w:rsidRDefault="00FE0907">
      <w:pPr>
        <w:rPr>
          <w:rFonts w:ascii="Times New Roman" w:eastAsia="Times New Roman" w:hAnsi="Times New Roman" w:cs="Times New Roman"/>
          <w:sz w:val="24"/>
          <w:szCs w:val="24"/>
          <w:lang w:eastAsia="es-ES"/>
        </w:rPr>
      </w:pPr>
      <w:r>
        <w:br w:type="page"/>
      </w:r>
    </w:p>
    <w:p w:rsidR="00FE0907" w:rsidRDefault="00FE0907" w:rsidP="00FE0907">
      <w:pPr>
        <w:pStyle w:val="TtuloResolucin"/>
      </w:pPr>
      <w:bookmarkStart w:id="71" w:name="SENTENCIA_1992_68"/>
      <w:r>
        <w:lastRenderedPageBreak/>
        <w:t>SENTENCIA 68/1992, de 30 de abril de 1992</w:t>
      </w:r>
    </w:p>
    <w:bookmarkEnd w:id="71"/>
    <w:p w:rsidR="00FE0907" w:rsidRDefault="00FE0907" w:rsidP="00FE0907">
      <w:pPr>
        <w:pStyle w:val="TtuloResolucin"/>
      </w:pPr>
      <w:r>
        <w:t>Pleno</w:t>
      </w:r>
    </w:p>
    <w:p w:rsidR="00FE0907" w:rsidRDefault="00FE0907" w:rsidP="00FE0907">
      <w:pPr>
        <w:pStyle w:val="TtuloResolucin"/>
      </w:pPr>
    </w:p>
    <w:p w:rsidR="00FE0907" w:rsidRDefault="00FE0907" w:rsidP="00FE0907">
      <w:pPr>
        <w:pStyle w:val="TtuloBOE"/>
      </w:pPr>
      <w:r>
        <w:t>("BOE" núm. 129, de 29 de mayo de 1992)</w:t>
      </w:r>
    </w:p>
    <w:p w:rsidR="00FE0907" w:rsidRDefault="00FE0907" w:rsidP="00FE0907">
      <w:pPr>
        <w:pStyle w:val="TtuloBOE"/>
      </w:pPr>
    </w:p>
    <w:p w:rsidR="00FE0907" w:rsidRDefault="00FE0907" w:rsidP="00FE0907">
      <w:pPr>
        <w:pStyle w:val="SntesisDescriptiva"/>
      </w:pPr>
      <w:r>
        <w:t>ECLI:ES:TC:1992:68</w:t>
      </w:r>
    </w:p>
    <w:p w:rsidR="00FE0907" w:rsidRDefault="00FE0907" w:rsidP="00FE0907">
      <w:pPr>
        <w:pStyle w:val="SntesisDescriptiva"/>
      </w:pPr>
    </w:p>
    <w:p w:rsidR="00FE0907" w:rsidRDefault="00FE0907" w:rsidP="00FE0907">
      <w:pPr>
        <w:pStyle w:val="SntesisDescriptiva"/>
      </w:pPr>
      <w:r>
        <w:t>Conflicto positivo de competencia 1.960/1991. Promovido por el Gobierno de la Nación en relación con el art. 84 del Decreto de la Junta de Galicia 262/1991, de 14 de julio, por el que se aprueba el Reglamento de la actividad pesquera y de las artes y aparejos de pesca permisibles en Galicia. Voto particular</w:t>
      </w:r>
    </w:p>
    <w:p w:rsidR="00FE0907" w:rsidRDefault="00FE0907" w:rsidP="00FE0907">
      <w:pPr>
        <w:pStyle w:val="SntesisDescriptiva"/>
      </w:pPr>
    </w:p>
    <w:p w:rsidR="00FE0907" w:rsidRDefault="00FE0907" w:rsidP="00FE0907">
      <w:pPr>
        <w:pStyle w:val="SntesisAnaltica"/>
      </w:pPr>
    </w:p>
    <w:p w:rsidR="00FE0907" w:rsidRDefault="00FE0907" w:rsidP="00FE0907">
      <w:pPr>
        <w:pStyle w:val="SntesisAnaltica"/>
      </w:pPr>
    </w:p>
    <w:p w:rsidR="00FE0907" w:rsidRDefault="00FE0907" w:rsidP="00FE0907">
      <w:pPr>
        <w:pStyle w:val="Extracto"/>
      </w:pPr>
      <w:r>
        <w:t>1.</w:t>
      </w:r>
      <w:r>
        <w:tab/>
        <w:t>La STC 147/1991 ha considerado «ordenación del sector pesquero» la fijación de la extensión y localización del descanso obligatorio establecido en el art. 14 del Real Decreto 2349/1984, de 21 de noviembre, afirmando que queda fuera de la competencia del Estado la fijación de bases de ordenación del sector pesquero, como resulta tanto de la materia que regula -mera localización del descanso obligatorio, cuya extensión ya viene determinada con carácter básico en el primer párrafo del mismo artículo-, como del reconocimiento expreso que, de la ausencia de carácter básico, supone la propia declaración de mera eficacia supletoria que se hace en la Disposición adicional segunda del mismo Real Decreto [F.J. 1].</w:t>
      </w:r>
    </w:p>
    <w:p w:rsidR="00FE0907" w:rsidRDefault="00FE0907" w:rsidP="00FE0907">
      <w:pPr>
        <w:pStyle w:val="Extracto"/>
      </w:pPr>
    </w:p>
    <w:p w:rsidR="00FE0907" w:rsidRDefault="00FE0907" w:rsidP="00FE0907">
      <w:pPr>
        <w:pStyle w:val="Extracto"/>
      </w:pPr>
    </w:p>
    <w:p w:rsidR="00FE0907" w:rsidRDefault="00FE0907" w:rsidP="00FE0907">
      <w:pPr>
        <w:pStyle w:val="TextoNormal"/>
      </w:pPr>
      <w:r>
        <w:t>El Pleno del Tribunal Constitucional, compuesto por don Francisco Tomás y Valiente, Presidente, don Fernando García-Mon y González-Reguera,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00FE0907" w:rsidRDefault="00FE0907" w:rsidP="00FE0907">
      <w:pPr>
        <w:pStyle w:val="TextoNormal"/>
      </w:pPr>
    </w:p>
    <w:p w:rsidR="00FE0907" w:rsidRDefault="00FE0907" w:rsidP="00FE0907">
      <w:pPr>
        <w:pStyle w:val="TextoNormalCentrado"/>
        <w:keepNext/>
      </w:pPr>
      <w:r>
        <w:t>EN NOMBRE DEL REY</w:t>
      </w:r>
    </w:p>
    <w:p w:rsidR="00FE0907" w:rsidRDefault="00FE0907" w:rsidP="00FE0907">
      <w:pPr>
        <w:pStyle w:val="TextoNormalCentrado"/>
        <w:keepNext/>
      </w:pPr>
    </w:p>
    <w:p w:rsidR="00FE0907" w:rsidRDefault="00FE0907" w:rsidP="00FE0907">
      <w:pPr>
        <w:pStyle w:val="TextoNormalCentrado"/>
        <w:keepNext/>
      </w:pPr>
    </w:p>
    <w:p w:rsidR="00FE0907" w:rsidRDefault="00FE0907" w:rsidP="00FE0907">
      <w:pPr>
        <w:pStyle w:val="TextoNormal"/>
      </w:pPr>
      <w:r>
        <w:t>la siguiente</w:t>
      </w:r>
    </w:p>
    <w:p w:rsidR="00FE0907" w:rsidRDefault="00FE0907" w:rsidP="00FE0907">
      <w:pPr>
        <w:pStyle w:val="TextoNormal"/>
      </w:pPr>
    </w:p>
    <w:p w:rsidR="00FE0907" w:rsidRDefault="00FE0907" w:rsidP="00FE0907">
      <w:pPr>
        <w:pStyle w:val="TextoNormalCentrado"/>
        <w:keepNext/>
      </w:pPr>
      <w:r>
        <w:t>SENTENCIA</w:t>
      </w:r>
    </w:p>
    <w:p w:rsidR="00FE0907" w:rsidRDefault="00FE0907" w:rsidP="00FE0907">
      <w:pPr>
        <w:pStyle w:val="TextoNormalCentrado"/>
        <w:keepNext/>
      </w:pPr>
    </w:p>
    <w:p w:rsidR="00FE0907" w:rsidRDefault="00FE0907" w:rsidP="00FE0907">
      <w:pPr>
        <w:pStyle w:val="TextoNormal"/>
      </w:pPr>
      <w:r>
        <w:t>En el conflicto positivo de competencia núm. 1.960/91, promovido por el Gobierno de la Nación, en relación con el art. 84 del Decreto de la Junta de Galicia 262/1991, de 12 de julio, por el que se aprueba el Reglamento de la actividad pesquera y de las artes y aparejos de pesca permisibles en Galicia. Han comparecido el Abogado del Estado y doña María Carmen Bouso Montero, en representación de la Junta de Galicia. Ha sido Ponente el Magistrado don Miguel Rodríguez-Piñero y Bravo-Ferrer, quien expresa el parecer del Tribunal.</w:t>
      </w:r>
    </w:p>
    <w:p w:rsidR="00FE0907" w:rsidRDefault="00FE0907" w:rsidP="00FE0907">
      <w:pPr>
        <w:pStyle w:val="TextoNormal"/>
      </w:pPr>
    </w:p>
    <w:p w:rsidR="00FE0907" w:rsidRDefault="00FE0907" w:rsidP="00FE0907">
      <w:pPr>
        <w:pStyle w:val="TextoNormalNegritaCentrado"/>
        <w:keepNext/>
      </w:pPr>
      <w:r>
        <w:lastRenderedPageBreak/>
        <w:t>I. Antecedentes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Por escrito que tiene entrada en este Tribunal el 30 de septiembre de 1991, el Abogado del Estado formula conflicto positivo de competencia contra el art. 84 del Decreto de la Junta de Galicia 262/91, de 12 de junio que aprueba el Reglamento de la actividad pesquera y de las artes y aparejos de pesca permisibles en Galicia (D.O.G. 150 de 7 de agosto).</w:t>
      </w:r>
    </w:p>
    <w:p w:rsidR="00FE0907" w:rsidRDefault="00FE0907" w:rsidP="00FE0907">
      <w:pPr>
        <w:pStyle w:val="TextoNormal"/>
      </w:pPr>
    </w:p>
    <w:p w:rsidR="00FE0907" w:rsidRDefault="00FE0907" w:rsidP="00FE0907">
      <w:pPr>
        <w:pStyle w:val="TextoNormal"/>
      </w:pPr>
      <w:r w:rsidRPr="00FE0907">
        <w:rPr>
          <w:rStyle w:val="NumeroAFNegritaCaracter"/>
        </w:rPr>
        <w:t>2</w:t>
      </w:r>
      <w:r>
        <w:t xml:space="preserve">. En la demanda se afirma que el conflicto reposa en una determinada interpretación del art. 84 del Decreto de la Junta de Galicia 262/91 de 12 de junio, necesaria premisa de la infracción del orden competencial, a la luz también de la práctica administrativa de aplicación del precepto. </w:t>
      </w:r>
    </w:p>
    <w:p w:rsidR="00FE0907" w:rsidRDefault="00FE0907" w:rsidP="00FE0907">
      <w:pPr>
        <w:pStyle w:val="TextoNormal"/>
      </w:pPr>
      <w:r>
        <w:t xml:space="preserve">La finalidad inmediata del art. 84 en conflicto es la ordenación de un período de pesca mediante un determinado tipo de arte, fuera de la materia ordenación del sector pesquero y dentro de la materia pesca, de modo que el precepto sólo quedaría dentro de la competencia autonómica si se ciñe a las aguas interiores. El precepto reglamentario usa el término aguas del ámbito territorial de Galicia, pero este término no puede ser interpretado, como aguas interiores, tanto por razones sistemáticas, como por el criterio finalístico, como por la forma en que la Administración autonómica viene aplicando el precepto, lo que implica que el precepto está contemplando las aguas exteriores, y ello constituye una violación de la competencia de pesca marítima reservada en exclusiva al Estado en el art. 149.1.19 C.E. </w:t>
      </w:r>
    </w:p>
    <w:p w:rsidR="00FE0907" w:rsidRDefault="00FE0907" w:rsidP="00FE0907">
      <w:pPr>
        <w:pStyle w:val="TextoNormal"/>
      </w:pPr>
      <w:r>
        <w:t xml:space="preserve">Se analiza la jurisprudencia constitucional, de la que se deduce que la materia de pesca marítima, competencia exclusiva del Estado, es distinta de la de ordenación del sector pesquero en la que Galicia sólo dispone de competencia de desarrollo legislativo y ejecución. A la competencia sobre pesca pertenece la reglamentación de los periodos de pesca y de las artes, y a la de ordenación del sector pesquero lo relativo a las condiciones profesionales de los pescadores. </w:t>
      </w:r>
    </w:p>
    <w:p w:rsidR="00FE0907" w:rsidRDefault="00FE0907" w:rsidP="00FE0907">
      <w:pPr>
        <w:pStyle w:val="TextoNormal"/>
      </w:pPr>
      <w:r>
        <w:t xml:space="preserve">La norma impugnada pertenece a la competencia sobre pesca, pero aún de estimarse que entrase en la competencia de ordenación del sector pesquero, la infracción del orden competencial quedaría corroborada al considerar la legislación estatal en la materia, el art. 12 de la O.M. de 30 de julio de 1983, que prohibe a las embarcaciones de arrastre de fondo ejercer su actividad más de veintidós días de promedio al mes dentro del cómputo anual de días trabajados, regla estatal que queda indebidamente interferida por el art. 84 del Decreto gallego 262/1991. Pero aún de no existir esta colisión o interferencia con la normativa estatal, la invasión competencial continuaría. </w:t>
      </w:r>
    </w:p>
    <w:p w:rsidR="00FE0907" w:rsidRDefault="00FE0907" w:rsidP="00FE0907">
      <w:pPr>
        <w:pStyle w:val="TextoNormal"/>
      </w:pPr>
      <w:r>
        <w:t>También desde otra perspectiva se habría producido la invasión de competencias estatales, dada la finalidad laboral de la medida siendo así que es competencia exclusiva la legislación laboral, no siendo lo mismo la regulación de condiciones profesionales con la regulación de las condiciones de trabajo, como es el descanso dominical, pudiendo hablar aquí de desviación de poder. En un proceso constitucional cabe examinar si la finalidad con que se ha ejercido una competencia entraña lesión de otra competencia ajena, y viola el orden constitucional de competencias el ejercicio de las competencias gallegas sobre pesca con el fin de ordenar el descanso semanal, por lo que el precepto en conflicto infringiría la competencia estatal sobre legislación laboral aún si se hubiera dictado dentro de las competencias gallegas sobre pesca, lo que, tampoco ocurre.</w:t>
      </w:r>
    </w:p>
    <w:p w:rsidR="00FE0907" w:rsidRDefault="00FE0907" w:rsidP="00FE0907">
      <w:pPr>
        <w:pStyle w:val="TextoNormal"/>
      </w:pPr>
    </w:p>
    <w:p w:rsidR="00FE0907" w:rsidRDefault="00FE0907" w:rsidP="00FE0907">
      <w:pPr>
        <w:pStyle w:val="TextoNormal"/>
      </w:pPr>
      <w:r w:rsidRPr="00FE0907">
        <w:rPr>
          <w:rStyle w:val="NumeroAFNegritaCaracter"/>
        </w:rPr>
        <w:lastRenderedPageBreak/>
        <w:t>3</w:t>
      </w:r>
      <w:r>
        <w:t>. Por providencia de 30 de septiembre de 1991, la Sección acordó admitir a trámite el presente conflicto, dar traslado a la Junta de Galicia, por conducto de su Presidente de la demanda, según determina el art. 82.2 LOTC concediendo un plazo de veinte días para la formulación de alegaciones.</w:t>
      </w:r>
    </w:p>
    <w:p w:rsidR="00FE0907" w:rsidRDefault="00FE0907" w:rsidP="00FE0907">
      <w:pPr>
        <w:pStyle w:val="TextoNormal"/>
      </w:pPr>
    </w:p>
    <w:p w:rsidR="00FE0907" w:rsidRDefault="00FE0907" w:rsidP="00FE0907">
      <w:pPr>
        <w:pStyle w:val="TextoNormal"/>
      </w:pPr>
      <w:r w:rsidRPr="00FE0907">
        <w:rPr>
          <w:rStyle w:val="NumeroAFNegritaCaracter"/>
        </w:rPr>
        <w:t>4</w:t>
      </w:r>
      <w:r>
        <w:t xml:space="preserve">. Por escrito recibido en este Tribunal el 28 de octubre de 1991, doña María Carmen Bouso Montero, Letrada de la Junta de Galicia formula escrito de alegaciones en el que se solicita la desestimación de la pretensión adversa. </w:t>
      </w:r>
    </w:p>
    <w:p w:rsidR="00FE0907" w:rsidRDefault="00FE0907" w:rsidP="00FE0907">
      <w:pPr>
        <w:pStyle w:val="TextoNormal"/>
      </w:pPr>
      <w:r>
        <w:t xml:space="preserve">En dicho escrito se afirma que las argumentaciones esgrimidas por la representación estatal ponen de manifiesto que se efectúa una incorrecta interpretación del alcance de los títulos competenciales que sobre la materia de pesca se atribuyen por la Constitución y los Estatutos de Autonomía al Estado y a las Comunidades Autónomas, lo que determina la necesidad de un correcto planteamiento de la distribución de competencias en materia de pesca entre el Estado y las Comunidades Autónomas, para lo que ha de darse un contenido propio diferenciado a las expresiones pesca marítima y ordenación del sector pesquero, pues las competencias del Estado son distintas en cada una de los casos. Se analiza y expone la jurisprudencia constitucional centrada en las SSTC 158/1986, 156/1989 y 17/1991, en relación a la distinción entre uno y otro concepto. </w:t>
      </w:r>
    </w:p>
    <w:p w:rsidR="00FE0907" w:rsidRDefault="00FE0907" w:rsidP="00FE0907">
      <w:pPr>
        <w:pStyle w:val="TextoNormal"/>
      </w:pPr>
      <w:r>
        <w:t xml:space="preserve">El problema a resolver es si la norma cuestionada puede considerarse como materia de pesca marítima o de ordenación del sector pesquero. Ello requiere un previo análisis de la normativa pesquera existente en la materia, el Real Decreto 2.349/1984 de 28 de noviembre por el que se regula la pesca de cerco en el caladero nacional, cuyo art. 14 establece que dicha pesca podrá ser ejercida todo el año durante cinco días a la semana, que el descanso obligado semanal no será en ningún caso inferior a cuarenta y ocho horas continuadas, y que los horarios deberán ser aprobados por el órgano competente de la Administración del Estado o de la Comunidad Autónoma, añadiendo que el descanso obligatorio al que se refiere el párrafo anterior, se verificará entre las cero horas del sábado y las doce horas del domingo. La Disposición adicional segunda de dicho Decreto afirmaba que lo establecido en el párrafo segundo del art. 14 tendría carácter supletorio en tanto no regulasen la materia en ejercicio y sus propias competencias. La STC 147/1991, ha acogido la pretensión de anulación formulada por la Junta de Galicia frente a ese art. 14.2 y a la Disposición adicional segunda por entender que el párrafo segundo del art. 14 queda fuera de la competencia del Estado de fijación de bases y de ordenación del sector pesquero, como resulta tanto de la materia que regula -mera localización de descanso obligatorio, cuya extensión ya viene determinada con carácter básico en el primer párrafo del mismo artículo- como del reconocimiento expreso de la ausencia del carácter básico por la expresa declaración de eficacia supletoria. </w:t>
      </w:r>
    </w:p>
    <w:p w:rsidR="00FE0907" w:rsidRDefault="00FE0907" w:rsidP="00FE0907">
      <w:pPr>
        <w:pStyle w:val="TextoNormal"/>
      </w:pPr>
      <w:r>
        <w:t xml:space="preserve">Del contenido de este Real Decreto y de la Sentencia constitucional deriva que la materia de horarios en que es posible faenar es ordenación del sector pesquero, y que sólo es básico aquí la fijación de la extensión de un descanso semanal obligatorio y nó su localización. </w:t>
      </w:r>
    </w:p>
    <w:p w:rsidR="00FE0907" w:rsidRDefault="00FE0907" w:rsidP="00FE0907">
      <w:pPr>
        <w:pStyle w:val="TextoNormal"/>
      </w:pPr>
      <w:r>
        <w:t xml:space="preserve">También de gran importancia resulta el Real Decreto 679/1988, de 25 de junio que regula el ejercicio de la pesca de arrastre de fondo en el Mediterraneo, cuya Disposición adicional primera dispone que tiene la consideración de legislación básica estatal de ordenación del sector pesquero su art. 8, que dispone que la pesca de arrastre de fondo en el Mediterraneo se ejercerá como máximo durante cinco días a la semana, lo que supone una concreción del art. 12 de la O.M. de 30 de julio de 1983. De todo ello se deduce que el art. 84 se fundamenta en el art. 28 del EAG de ordenación del sector pesquero en el marco de </w:t>
      </w:r>
      <w:r>
        <w:lastRenderedPageBreak/>
        <w:t xml:space="preserve">la legislación básica del Estado, siendo una medida ordenatoria para mejorar la rentabilidad de los buques de pesca, que no tiene por objeto directo la actividad extractiva en si mismo considerada, limitándose la legislación básica en la materia a la fijación de un descanso semanal obligatorio (STC 147/1991). </w:t>
      </w:r>
    </w:p>
    <w:p w:rsidR="00FE0907" w:rsidRDefault="00FE0907" w:rsidP="00FE0907">
      <w:pPr>
        <w:pStyle w:val="TextoNormal"/>
      </w:pPr>
      <w:r>
        <w:t xml:space="preserve">El art. 84 del Decreto 262/1991 es una norma de desarrollo de una normativa estatal básica, lo que lleva a analizar la concepción de la competencia estatal para disponer de la ordenación básica y la competencia autonómica de desarrollo, según que el Estado haya ejercido previa y expresamente su competencia de fijación de bases y según que no la haya ejercido, afirmándose que el Tribunal Constitucional ha de partir de la calificación de la expresa calificación estatal de la fijación del descanso semanal obligatorio como norma básica en la materia de ordenación del sector pesquero. Desde esta perspectiva, el precepto cuestionado constituye el desarrollo y no la interferencia del art. 12 de la O.M. de 30 de julio de 1983 (al margen de que dicha norma ni siquiera haya sido declarada básica por el Estado, pues por su contenido material puede considerarse como base de ordenación del sector pesquero). No puede mantenerse la tesis del Abogado del Estado de que en el Mediterraneo este tipo de regulación pertenece a la competencia estatal de ordenación del sector pesquero, mientras que en el litoral Cantábrico y Noroeste hubiera de entender como materia de pesca marítima. El art. 84 del Decreto 262/1991, se limita a concretar, a pormenorizar y a desarrollar, de acuerdo a los peculiares intereses de la Comunidad Autónoma Gallega el art. 12 de la norma estatal, que establece un límite máximo mensual, mientras que la norma autonómica establece un límite mínimo de descanso, mera localización del descanso obligatorio que queda fuera de la competencia básica del Estado (STC 147/1991), sin interferirse ni vulnerar competencia estatal alguna, sino atendiendo a las peculiaridades específicas de los caladeros del litoral en su ámbito territorial. </w:t>
      </w:r>
    </w:p>
    <w:p w:rsidR="00FE0907" w:rsidRDefault="00FE0907" w:rsidP="00FE0907">
      <w:pPr>
        <w:pStyle w:val="TextoNormal"/>
      </w:pPr>
      <w:r>
        <w:t>Se niega, por último, que pueda hablarse aquí de legislación laboral, tanto teniendo en cuenta la regla de la finalidad como la regla de la especialidad, pues la ordenación del período de descanso no se circunscribe al ámbito de lo laboral, y la normativa estatal al respecto se ha enmarcado dentro de la ordenación básica del sector pesquero, y ello al margen de que la paralización obligatoria de las embarcaciones pueda suponer indirectamente para la tripulación un descanso mínimo semanal, repercusión indirecta que nada tiene que ver con una regulación de los derechos laborales de los trabajadores del mar, siendo aquí la competencia a tener en cuenta la prevista en el art. 28.5 EAG.</w:t>
      </w:r>
    </w:p>
    <w:p w:rsidR="00FE0907" w:rsidRDefault="00FE0907" w:rsidP="00FE0907">
      <w:pPr>
        <w:pStyle w:val="TextoNormal"/>
      </w:pPr>
    </w:p>
    <w:p w:rsidR="00FE0907" w:rsidRDefault="00FE0907" w:rsidP="00FE0907">
      <w:pPr>
        <w:pStyle w:val="TextoNormal"/>
      </w:pPr>
      <w:r w:rsidRPr="00FE0907">
        <w:rPr>
          <w:rStyle w:val="NumeroAFNegritaCaracter"/>
        </w:rPr>
        <w:t>5</w:t>
      </w:r>
      <w:r>
        <w:t>. Por providencia de 28 de abril de 1992, se señaló para deliberación y votación del presente conflicto, el día 30 de abril siguiente.</w:t>
      </w:r>
    </w:p>
    <w:p w:rsidR="00FE0907" w:rsidRDefault="00FE0907" w:rsidP="00FE0907">
      <w:pPr>
        <w:pStyle w:val="TextoNormal"/>
      </w:pPr>
    </w:p>
    <w:p w:rsidR="00FE0907" w:rsidRDefault="00FE0907" w:rsidP="00FE0907">
      <w:pPr>
        <w:pStyle w:val="TextoNormalNegritaCentrado"/>
        <w:keepNext/>
      </w:pPr>
      <w:r>
        <w:t>II. Fundamentos jurídicos</w:t>
      </w:r>
    </w:p>
    <w:p w:rsidR="00FE0907" w:rsidRDefault="00FE0907" w:rsidP="00FE0907">
      <w:pPr>
        <w:pStyle w:val="TextoNormalNegritaCentrado"/>
        <w:keepNext/>
      </w:pPr>
    </w:p>
    <w:p w:rsidR="00FE0907" w:rsidRDefault="00FE0907" w:rsidP="00FE0907">
      <w:pPr>
        <w:pStyle w:val="TextoNormal"/>
      </w:pPr>
      <w:r w:rsidRPr="00FE0907">
        <w:rPr>
          <w:rStyle w:val="NumeroAFNegritaCaracter"/>
        </w:rPr>
        <w:t>1</w:t>
      </w:r>
      <w:r>
        <w:t>. El objeto del presente conflicto es el art.  84 del Decreto 262/1991, de 12 de julio de la Junta de Galicia por el que se aprueba el Reglamento de la actividad pesquera, que dispone que</w:t>
      </w:r>
    </w:p>
    <w:p w:rsidR="00FE0907" w:rsidRDefault="00FE0907" w:rsidP="00FE0907">
      <w:pPr>
        <w:pStyle w:val="TextoNormal"/>
      </w:pPr>
      <w:r>
        <w:t>"Las embarcaciones que estén incluidas en el censo gallego de buques de pesca o que tengan como puerto base algún puerto de la Comunidad Autónoma de Galicia, y que realicen el arrastre costero o litoral en las aguas del ámbito territorial de Galicia deberán cesar en su actividad y permanecer en su base como mínimo desde las 00,00 horas del sábado hasta las 24,00 horas del domingo.</w:t>
      </w:r>
    </w:p>
    <w:p w:rsidR="00FE0907" w:rsidRDefault="00FE0907" w:rsidP="00FE0907">
      <w:pPr>
        <w:pStyle w:val="TextoNormal"/>
      </w:pPr>
      <w:r>
        <w:lastRenderedPageBreak/>
        <w:t>El Abogado del Estado fundamenta su pretensión conflictual invocando tres diferentes competencias estatales, la competencia exclusiva en materia de pesca, la competencia de normación básica en materia de ordenación del sector pesquero, y la competencia en materia de legislación laboral.  Por su parte, la Junta de Galicia entiende que el precepto ha de calificarse como materia de ordenación pesquera y que por su contenido no contradice y es desarrollo de la normativa básica en la materia.</w:t>
      </w:r>
    </w:p>
    <w:p w:rsidR="00FE0907" w:rsidRDefault="00FE0907" w:rsidP="00FE0907">
      <w:pPr>
        <w:pStyle w:val="TextoNormal"/>
      </w:pPr>
      <w:r>
        <w:t>Tiene razón la Junta de Galicia, en que el precepto objeto del presente conflicto ha de ser encuadrado dentro de la materia de ordenación del sector pesquero, de acuerdo además con la reiterada doctrina de este Tribunal en torno a la separación de la materia de la pesca marítima de la ordenación del sector pesquero, y la de la delimitación de una y otra materia.</w:t>
      </w:r>
    </w:p>
    <w:p w:rsidR="00FE0907" w:rsidRDefault="00FE0907" w:rsidP="00FE0907">
      <w:pPr>
        <w:pStyle w:val="TextoNormal"/>
      </w:pPr>
      <w:r>
        <w:t>Ha de excluirse, desde luego, que el precepto pueda considerarse como materia de legislación laboral, tanto por su objeto como por su contenido, pues ni concede directamente un derecho al descanso a los trabajadores del sector, ni circunscribe su ámbito al trabajo por cuenta ajena, ni excluye o sustituye la aplicación de la legislación laboral en materia de descansos para los trabajadores de ese sector.</w:t>
      </w:r>
    </w:p>
    <w:p w:rsidR="00FE0907" w:rsidRDefault="00FE0907" w:rsidP="00FE0907">
      <w:pPr>
        <w:pStyle w:val="TextoNormal"/>
      </w:pPr>
      <w:r>
        <w:t>En cuanto a su no incardinación en la materia de "pesca marítima", competencia exclusiva del Estado, sino en la de "ordenación del sector pesquero", competencia compartida entre el Estado, al que le corresponde la normación básica, y la Comunidad Autónoma a la que le incumbe la de desarrollo legislativo y ejecución (art. 28.5 EAG), ha de recordarse que, de acuerdo entre otras, con las SSTC 56/1989 y 147/1991, ha de considerarse "ordenación del sector pesquero" la regulación del sector económico y productivo de la pesca en todo lo que no sea actividad extractiva directa, sino organización del sector, y dentro de ella, por no afectar directamente al recurso natural pesquero, sino antes bien a la organización del sector, ha de incluirse la fijación de los periodos obligatorios de descanso.</w:t>
      </w:r>
    </w:p>
    <w:p w:rsidR="00FE0907" w:rsidRDefault="00FE0907" w:rsidP="00FE0907">
      <w:pPr>
        <w:pStyle w:val="TextoNormal"/>
      </w:pPr>
      <w:r>
        <w:t>A tal respecto la STC 147/1991 que ha conocido de un conflicto planteado por la Junta de Galicia frente al Real Decreto2.349/1984, de 28 de noviembre, ha considerado "ordenación del sector pesquero" la fijación de la extensión y localización del descanso obligatorio establecido en el art. 14 del mismo, afirmando que queda fuera de la competencia del Estado la fijación de bases de ordenación del sector pesquero, como resulta tanto de la materia que regula -mera localización del descanso obligatorio, cuya extensión ya viene determinada con carácter básico en el primer párrafo del mismo artículo-, como del reconocimiento expreso que, de la ausencia de carácter básico supone la propia declaración de mera eficacia supletoria que se hace en la citada Disposición Adicional Segunda.  Llama la atención por ello el planteamiento de este conflicto, con posterioridad a la publicación de la STC 147/1991, y que trate de fundamentarse en una competencia exclusiva del Estado en materia de pesca marítima, cuando ya este Tribunal había declarado la incidencia en esta materia de la competencia controvertida sobre ordenación del sector pesquero.</w:t>
      </w:r>
    </w:p>
    <w:p w:rsidR="00FE0907" w:rsidRDefault="00FE0907" w:rsidP="00FE0907">
      <w:pPr>
        <w:pStyle w:val="TextoNormal"/>
      </w:pPr>
      <w:r>
        <w:t>El título competencial que ha de tomarse en consideración para enjuiciar si el precepto objeto del presente conflicto fue dictado dentro de la competencia autonómica es pues el relativo a la ordenación del sector pesquero, y por ello, ha de examinarse si esa normativa autonómica contiene una regulación de carácter básico, que debería ser ejercida por el Estado, y no por la Comunidad Autónoma, o si, en otro caso, contradice las bases estatales en la materia.</w:t>
      </w:r>
    </w:p>
    <w:p w:rsidR="00FE0907" w:rsidRDefault="00FE0907" w:rsidP="00FE0907">
      <w:pPr>
        <w:pStyle w:val="TextoNormal"/>
      </w:pPr>
    </w:p>
    <w:p w:rsidR="00FE0907" w:rsidRDefault="00FE0907" w:rsidP="00FE0907">
      <w:pPr>
        <w:pStyle w:val="TextoNormal"/>
      </w:pPr>
      <w:r w:rsidRPr="00FE0907">
        <w:rPr>
          <w:rStyle w:val="NumeroAFNegritaCaracter"/>
        </w:rPr>
        <w:t>2</w:t>
      </w:r>
      <w:r>
        <w:t>. Así centrada esta controversia constitucional, la cuestión se reduce a resolver si el discutido art.  84 del Decreto 262/1991 de la Junta de Galicia contradice lo establecido en el art. 12 de la O.M.  de 30 de julio de 1983, de ordenación de la pesca de arrastre de fon</w:t>
      </w:r>
      <w:r>
        <w:lastRenderedPageBreak/>
        <w:t>do en el litoral Cantábrico y Noroeste, precepto que el Abogado del Estado señala como básico en materia de ordenación del sector pesquero, o si, por el contrario, como argumenta la Administración autonómica demandada, el precepto impugnado es un legítimo desarrollo de dicha norma básica que en nada interfiere u obstaculiza lo en ella previsto. Vistas de este modo las cosas, conviene traer a colación que el mencionado art.  12 del Reglamento estatal prescribe que ninguna embarcación de arrastre de fondo podrá ejercer su actividad "más de 22 días como promedio al mes, dentro del cómputo anual de días trabajados"; y el discutido art.  84 del Decreto autonómico, ya se ha dicho, obliga a que las embarcaciones allí descritas cesen en su actividad y permanezcan en su base "como mínimo desde las 00,00 horas del sábado hasta las 24,00 horas del domingo". La Junta de Galicia acepta el carácter básico de esa disposición estatal, pero partiendo de este carácter e invocando la reseñada doctrina de la STC 147/1991 (fundamento jurídico 7º), considera que la competencia del Estado se reduce a determinar la extensión del descanso obligatorio, pero no a la mera localización de ese descanso, que es precisamente lo que realiza el citado art. 84, precepto que no desconoce sino que desarrolla la normativa estatal básica.</w:t>
      </w:r>
    </w:p>
    <w:p w:rsidR="00FE0907" w:rsidRDefault="00FE0907" w:rsidP="00FE0907">
      <w:pPr>
        <w:pStyle w:val="TextoNormal"/>
      </w:pPr>
      <w:r>
        <w:t>Ha de aceptarse en su integridad esta alegación de la Junta de Galicia, toda vez que sin duda debe reconocerse, por un lado, el carácter básico para la ordenación del sector pesquero de lo dispuesto en el citado art. 12 de la O.M.  de referencia; y por otro, ciertamente, ya se dijo en la mencionada STC 147/1991, que el alcance de las bases en este tema, con el fin de salvaguardar las exigencias constitucionales de un mínimo comun denominador normativo, no impide la localización -como aquí se hace- del descanso obligatorio una vez sentada por el Estado su extensión, puesto que esta medida está en el seno de la competencia autonómica de desarrollo normativo y ejecución. En consecuencia, y a la luz del texto de ambos artículos, es patente que el controvertido art.  84 no introduce una norma básica al localizar el descanso obligatorio, sino que desarrolla la ya prevista, ni, sobre todo, traspasa o desborda los límites de días trabajados fijados en la normativa estatal indicada, según se deduce de unas sencillas operaciones aritméticas.</w:t>
      </w:r>
    </w:p>
    <w:p w:rsidR="00FE0907" w:rsidRDefault="00FE0907" w:rsidP="00FE0907">
      <w:pPr>
        <w:pStyle w:val="TextoNormal"/>
      </w:pPr>
    </w:p>
    <w:p w:rsidR="00FE0907" w:rsidRDefault="00FE0907" w:rsidP="00FE0907">
      <w:pPr>
        <w:pStyle w:val="TextoNormal"/>
      </w:pPr>
      <w:r w:rsidRPr="00FE0907">
        <w:rPr>
          <w:rStyle w:val="NumeroAFNegritaCaracter"/>
        </w:rPr>
        <w:t>3</w:t>
      </w:r>
      <w:r>
        <w:t>. Como conclusión de cuanto precede, no puede estimarse que la Junta de Galicia al dictar el art. 84 del Decreto 262/1991 haya invadido la competencia estatal para fijar bases en la ordenación del sector pesquero.</w:t>
      </w:r>
    </w:p>
    <w:p w:rsidR="00FE0907" w:rsidRDefault="00FE0907" w:rsidP="00FE0907">
      <w:pPr>
        <w:pStyle w:val="TextoNormal"/>
      </w:pPr>
    </w:p>
    <w:p w:rsidR="00FE0907" w:rsidRDefault="00FE0907" w:rsidP="00FE0907">
      <w:pPr>
        <w:pStyle w:val="TextoNormalCentrado"/>
        <w:keepNext/>
      </w:pPr>
      <w:r>
        <w:t>FALLO</w:t>
      </w:r>
    </w:p>
    <w:p w:rsidR="00FE0907" w:rsidRDefault="00FE0907" w:rsidP="00FE0907">
      <w:pPr>
        <w:pStyle w:val="TextoNormalCentrado"/>
        <w:keepNext/>
      </w:pPr>
    </w:p>
    <w:p w:rsidR="00FE0907" w:rsidRDefault="00FE0907" w:rsidP="00FE0907">
      <w:pPr>
        <w:pStyle w:val="TextoNormal"/>
      </w:pPr>
      <w:r>
        <w:t>En atención a todo lo expuesto, el Tribunal Constitucional, POR LA AUTORIDAD QUE LE CONFIERE LA CONSTITUCION DE LA NACION ESPAÑOLA,</w:t>
      </w:r>
    </w:p>
    <w:p w:rsidR="00FE0907" w:rsidRDefault="00FE0907" w:rsidP="00FE0907">
      <w:pPr>
        <w:pStyle w:val="TextoNormal"/>
      </w:pPr>
    </w:p>
    <w:p w:rsidR="00FE0907" w:rsidRDefault="00FE0907" w:rsidP="00FE0907">
      <w:pPr>
        <w:pStyle w:val="TextoNormalCentrado"/>
        <w:keepNext/>
      </w:pPr>
      <w:r>
        <w:t>Ha decidido</w:t>
      </w:r>
    </w:p>
    <w:p w:rsidR="00FE0907" w:rsidRDefault="00FE0907" w:rsidP="00FE0907">
      <w:pPr>
        <w:pStyle w:val="TextoNormalCentrado"/>
        <w:keepNext/>
      </w:pPr>
    </w:p>
    <w:p w:rsidR="00FE0907" w:rsidRDefault="00FE0907" w:rsidP="00FE0907">
      <w:pPr>
        <w:pStyle w:val="TextoNormal"/>
      </w:pPr>
      <w:r>
        <w:t>Declarar que corresponde a la Junta de Galicia la titularidad de la competencia ejercida por medio del art.  84 del Decreto 262/1991, de 14 de julio , que aprueba el Reglamento de la actividad pesquera y de las artes y aparejos de pesca permisibles en Galicia .</w:t>
      </w:r>
    </w:p>
    <w:p w:rsidR="00FE0907" w:rsidRDefault="00FE0907" w:rsidP="00FE0907">
      <w:pPr>
        <w:pStyle w:val="TextoNormal"/>
      </w:pPr>
    </w:p>
    <w:p w:rsidR="00FE0907" w:rsidRDefault="00FE0907" w:rsidP="00FE0907">
      <w:pPr>
        <w:pStyle w:val="TextoNormal"/>
      </w:pPr>
      <w:r>
        <w:t>Publíquese esta Sentencia en el "Boletín Oficial del Estado"</w:t>
      </w:r>
    </w:p>
    <w:p w:rsidR="00FE0907" w:rsidRDefault="00FE0907" w:rsidP="00FE0907">
      <w:pPr>
        <w:pStyle w:val="TextoNormal"/>
      </w:pPr>
      <w:r>
        <w:t>Dada en Madrid, a treinta de abril de mil novecientos noventa y dos.</w:t>
      </w:r>
    </w:p>
    <w:p w:rsidR="00FE0907" w:rsidRDefault="00FE0907" w:rsidP="00FE0907">
      <w:pPr>
        <w:pStyle w:val="ParrafoNormal"/>
      </w:pPr>
    </w:p>
    <w:p w:rsidR="00FE0907" w:rsidRDefault="00FE0907" w:rsidP="00FE0907">
      <w:pPr>
        <w:pStyle w:val="TextoNormalNegritaCentrado"/>
        <w:keepNext/>
      </w:pPr>
      <w:r>
        <w:lastRenderedPageBreak/>
        <w:t>Voto Particular discrepante que formula el Magistrado don Alvaro Rodríguez Bereijo y al que se adhiere el Magistrado don Eugenio Díaz Eimil a la Sentencia dictada en el conflicto positivo de competencia núm. 1.960/91.</w:t>
      </w:r>
    </w:p>
    <w:p w:rsidR="00FE0907" w:rsidRDefault="00FE0907" w:rsidP="00FE0907">
      <w:pPr>
        <w:pStyle w:val="TextoNormalNegritaCentrado"/>
        <w:keepNext/>
      </w:pPr>
    </w:p>
    <w:p w:rsidR="00FE0907" w:rsidRDefault="00FE0907" w:rsidP="00FE0907">
      <w:pPr>
        <w:pStyle w:val="TextoNormal"/>
      </w:pPr>
      <w:r>
        <w:t>1.  Disentimos del parecer mayoritario del Pleno expresado en el fallo y los fundamentos jurídicos de esta Sentencia, que resuelve la controversia competencial planteada en relación con una concreta disposición de la Junta de Galicia, el art. 84 del Decreto 262/1991, de 12 de julio, que aprueba el Reglamento de la actividad pesquera y de las artes y aparejos de pesca permisibles en Galicia, por las razones siguientes:</w:t>
      </w:r>
    </w:p>
    <w:p w:rsidR="00FE0907" w:rsidRDefault="00FE0907" w:rsidP="00FE0907">
      <w:pPr>
        <w:pStyle w:val="TextoNormal"/>
      </w:pPr>
      <w:r>
        <w:t>A propósito del deslinde competencial en la materia de pesca, el Tribunal Constitucional ha venido insistiendo en recientes Sentencias [SSTC 56/1989, fundamento jurídico 5º; 147/1991, fundamento jurídico 4º B) y 44/1992, fundamentos jurídicos 1º y 2º] en la necesidad de distinguir en el art.  149.1.19ª C.E.  entre dos títulos competenciales de "pesca marítima" y de "ordenación del sector pesquero", reiterándose en todas ellas la siguiente doctrina: que ha de incluirse dentro del concepto de pesca marítima (de competencia exclusiva del Estado en aguas exteriores) la regulación de las características y condiciones de la actividad extractiva de este recurso natural y el régimen de explotación del mismo así como el régimen de protección, conservación y mejora de los recursos pesqueros.  De ahí que la normativa referente a los recursos y las zonas donde puede pescarse (fondos, caladeros, distancias, cupos), a los periodos en que puede pescarse (vedas, horas) y a la forma y medios de realización de la actividad extractiva en el mar (artes, medios de pesca), deba considerarse de competencia exclusiva del Estado.</w:t>
      </w:r>
    </w:p>
    <w:p w:rsidR="00FE0907" w:rsidRDefault="00FE0907" w:rsidP="00FE0907">
      <w:pPr>
        <w:pStyle w:val="TextoNormal"/>
      </w:pPr>
      <w:r>
        <w:t>Por el contrario, la "ordenación del sector pesquero", en el contexto competencial y en relación con la "pesca marítima", tiene un significado más restringido y diferente que no puede explicarse sino por referencia a un determinado sector económico o productivo de la pesca. Pudiendo definirse como organización, no de la actividad extractiva, sino de ese sector productivo, lo que equivale a decir, sobre la determinación de quienes pueden ejercer la actividad pesquera (condiciones profesionales de los pescadores y otros sujetos relacionados con el sector), las condiciones que deben reunir tales sujetos integrantes del sector y su forma de organización (construcción de buques, registros oficiales, cofradías de pescadores, lonjas de contratación y otras similares, "sin que esta enumeración sea exhaustiva").</w:t>
      </w:r>
    </w:p>
    <w:p w:rsidR="00FE0907" w:rsidRDefault="00FE0907" w:rsidP="00FE0907">
      <w:pPr>
        <w:pStyle w:val="TextoNormal"/>
      </w:pPr>
      <w:r>
        <w:t>2.  Desde esta perspectiva ha de analizarse el texto y la ratio de la disposición impugnada para dilucidar si, por el contenido y finalidad reguladora de la norma, ha de incluirse en alguno de los títulos competenciales en juego, sea el de "pesca marítima", o el de "ordenación del sector pesquero".</w:t>
      </w:r>
    </w:p>
    <w:p w:rsidR="00FE0907" w:rsidRDefault="00FE0907" w:rsidP="00FE0907">
      <w:pPr>
        <w:pStyle w:val="TextoNormal"/>
      </w:pPr>
      <w:r>
        <w:t>En la norma objeto del presente conflicto de competencia, se establece que las embarcaciones de pesca incluidas en el censo gallego o con base en algún puerto de Galicia que realicen el arrastre costero o litoral en aguas de ámbito territorial de Galicia (que no pueden ser otras que las aguas exteriores, puesto que el arrastre de fondo está prohibido en las aguas interiores, a tenor de lo que dispone el precedente art. 8.3 del mismo Decreto 262/1991 de la Junta de Galicia) deberán cesar en su actividad y permanecer en su base como mínimo desde las cero horas del sábado hasta las veinticuatro del domingo.</w:t>
      </w:r>
    </w:p>
    <w:p w:rsidR="00FE0907" w:rsidRDefault="00FE0907" w:rsidP="00FE0907">
      <w:pPr>
        <w:pStyle w:val="TextoNormal"/>
      </w:pPr>
      <w:r>
        <w:t>En la Sentencia de la que ahora discrepamos se sostiene la incardinación del precepto en la materia de "ordenación del sector pesquero" por una y decisiva razón: tratarse de una norma "de fijación de los periodos obligatorios de descanso que no afecta directamente al recurso natural pesquero, sino antes bien a la organización del sector".</w:t>
      </w:r>
    </w:p>
    <w:p w:rsidR="00FE0907" w:rsidRDefault="00FE0907" w:rsidP="00FE0907">
      <w:pPr>
        <w:pStyle w:val="TextoNormal"/>
      </w:pPr>
      <w:r>
        <w:lastRenderedPageBreak/>
        <w:t>3.  Pero en nuestra opinión no es ésta la calificación que naturalmente se desprende de la norma controvertida si atendemos a su finalidad reguladora, fácilmente deducible tanto de su colocación sistemática dentro del Reglamento como de la finalidad de éste en su conjunto, claramente enderezado a regular la actividad extractiva de pesca marítima, reglamentar las artes de pesca y el esfuerzo de pesca en los caladeros gallegos, para proteger, en definitiva, el recurso natural frente a la sobrepesca o sobreexplotación.</w:t>
      </w:r>
    </w:p>
    <w:p w:rsidR="00FE0907" w:rsidRDefault="00FE0907" w:rsidP="00FE0907">
      <w:pPr>
        <w:pStyle w:val="TextoNormal"/>
      </w:pPr>
      <w:r>
        <w:t>La norma contenida en el art. 84 del Decreto de la Junta de Galicia no establece un periodo obligatorio "de descanso" de los trabajadores del sector que pueda encuadrarse dentro del título de legislación laboral (art. 149.1.7ª C.E.), hipótesis apuntada por el Abogado del Estado que la Sentencia rotundamente rechaza (y en ello estamos de acuerdo) frente a cuanto pudiera deducirse de lo que afirma el propio preámbulo del Decreto 262/1991 al aludir a las repercusiones de la pesca en el campo laboral y a la necesidad de "adecuar esta actividad laboral a la de aquellas personas que realizan su trabajo en tierra firme, de modo que disfruten de unos horarios de trabajo y descansos semanales que les permitan llevar a cabo una vida familiar ordenada".</w:t>
      </w:r>
    </w:p>
    <w:p w:rsidR="00FE0907" w:rsidRDefault="00FE0907" w:rsidP="00FE0907">
      <w:pPr>
        <w:pStyle w:val="TextoNormal"/>
      </w:pPr>
      <w:r>
        <w:t>Pero así las cosas, si se trata de "fijación de periodos de descanso obligatorio" como eufemísticamente se dice en los fundamentos de la Sentencia (rectius, prohibición de faenar para la flota pesquera durante los fines de semana), aunque no de carácter o ámbito laboral, ello sólo tiene sentido y no puede referirse sino a la actividad extractiva misma, llevada a cabo por las embarcaciones, ésto es a la actividad pesquera, que guarda más relación con el establecimiento de vedas intermitentes durante la semana (como se hace en el precepto controvertido), que con la organización del sector productivo de la pesca, a menos que se amplíe el sentido de este concepto mucho más allá de los límites dados por la STC 56/1989.  Y su finalidad -excluída la de orden laboral para proteger el descanso semanal de los trabajadores- no puede ser otra que la de protección de los caladeros gallegos frente a las actividades de sobrepesca o sobreexplotación. Lo que nos sitúa claramente en un título competencial bien distinto al de "ordenación del sector pesquero" que se sostiene en la Sentencia de la que discrepamos.</w:t>
      </w:r>
    </w:p>
    <w:p w:rsidR="00FE0907" w:rsidRDefault="00FE0907" w:rsidP="00FE0907">
      <w:pPr>
        <w:pStyle w:val="TextoNormal"/>
      </w:pPr>
      <w:r>
        <w:t xml:space="preserve">Porque efectivamente, de acuerdo con la propia doctrina de este Tribunal, antes sucintamente resumida, "la determinación de los periodos en que puede pescarse (vedas, horas)" ha de incluirse dentro del título competencial de "pesca marítima" que corresponde exclusivamente al Estado en aguas exteriores, pues como ya se dejó dicho en la STC 147/1991, fundamento jurídico 9º) "la facultad de fijar vedas para la práctica de la pesca de cerco atañe a la extracción del recurso natural y corresponde a la competencia estatal".  Y a idéntica conclusión se llegó en la STC 44/1992, fundamento jurídico 3º a propósito del art. 10 b) de la Ley 1/1986 del Parlamento de Cataluña de Regulación de la Pesca marítima, declarado inconstitucional y, por tanto nulo, por invasión competencial. Y no cabe duda de que el mandato normativo contenido en el art. 84 controvertido no es otro que el establecimiento de un periodo de prohibición de pesca, dentro del cual las embarcaciones de arrastre de fondo del censo gallego de buques o con base en algún puerto gallego no podrán ejercer su actividad y deberán permanecer en su base.  Regulación inequívocamente de ordenación de la pesca marítima que invade la compentencia exclusiva del Estado, interfiriendo la efectivamente ejercida a través del art. 12 de la Orden del Ministerio de Agricultura, Pesca y Alimentación de 30 de julio de 1983 por la que se establece la ordenación de la pesca de arrastre de fondo en el litoral Cantábrico y Noroeste. Disposición estatal que debe encuadrarse -como bien sostiene el Abogado del Estado- dentro del concepto de "pesca marítima" sin que, por tanto, pueda tener cabida alguna aquí la dicotomía </w:t>
      </w:r>
      <w:r>
        <w:lastRenderedPageBreak/>
        <w:t>normas básicas - normas de desarrollo, propia del título "ordenación del sector pesquero", como equivocadamente, a nuestro juicio, se sostiene en la Sentencia de que discrepamos.</w:t>
      </w:r>
    </w:p>
    <w:p w:rsidR="00FE0907" w:rsidRDefault="00FE0907" w:rsidP="00FE0907">
      <w:pPr>
        <w:pStyle w:val="TextoNormal"/>
      </w:pPr>
      <w:r>
        <w:t>En definitiva, se trata de una regulación autonómica que establece un periodo o modalidad de veda encaminada a preservar el recurso natural pesquero en ciertas zonas frente a actividades industriales o estractivas, lo que -de conformidad con la doctrina de este Tribunal- se adentra en la competencia exclusiva del Estado para regular la cuestión en todo el caladero nacional, entre otras razones por la movilidad misma del recurso, pues "sólo desde una ordenación unitaria del caladero nacional pueden fijarse criterios efectivos de protección de un recurso natural necesariamente móvil y, por ello, difícilmente separable entre Comunidades Autónomas limítrofes" (SSTC 147/1991, fundamentos jurídicos 5º y 9º y 44/1992, fundamento jurídico 3º).</w:t>
      </w:r>
    </w:p>
    <w:p w:rsidR="00FE0907" w:rsidRDefault="00FE0907" w:rsidP="00FE0907">
      <w:pPr>
        <w:pStyle w:val="TextoNormal"/>
      </w:pPr>
      <w:r>
        <w:t>Por todo ello, la Sentencia debía haber declarado que corresponde al Estado la competencia controvertida y, consiguientemente, anular el art. 84 del Decreto 262/1991 de la Junta de Galicia, objeto del conflicto, por vulnerar el orden constitucional de competencias.</w:t>
      </w:r>
    </w:p>
    <w:p w:rsidR="00FE0907" w:rsidRDefault="00FE0907" w:rsidP="00FE0907">
      <w:pPr>
        <w:pStyle w:val="TextoNormal"/>
      </w:pPr>
      <w:r>
        <w:t>Madrid, a treinta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CabeceraApartado"/>
      </w:pPr>
      <w:r>
        <w:t>AUTOS</w:t>
      </w:r>
    </w:p>
    <w:p w:rsidR="00A12D44" w:rsidRDefault="00A12D44">
      <w:pPr>
        <w:rPr>
          <w:rFonts w:ascii="Times New Roman" w:eastAsia="Times New Roman" w:hAnsi="Times New Roman" w:cs="Times New Roman"/>
          <w:sz w:val="48"/>
          <w:szCs w:val="24"/>
          <w:lang w:eastAsia="es-ES"/>
        </w:rPr>
      </w:pPr>
      <w:r>
        <w:br w:type="page"/>
      </w:r>
    </w:p>
    <w:p w:rsidR="00A12D44" w:rsidRDefault="00A12D44" w:rsidP="00A12D44">
      <w:pPr>
        <w:pStyle w:val="TtuloResolucin"/>
      </w:pPr>
      <w:bookmarkStart w:id="72" w:name="AUTO_1992_1"/>
      <w:r>
        <w:lastRenderedPageBreak/>
        <w:t>AUTO 1/1992, de 13 de enero de 1992</w:t>
      </w:r>
    </w:p>
    <w:bookmarkEnd w:id="72"/>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2.780/1990</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73" w:name="AUTO_1992_2"/>
      <w:r>
        <w:lastRenderedPageBreak/>
        <w:t>AUTO 2/1992, de 13 de enero de 1992</w:t>
      </w:r>
    </w:p>
    <w:bookmarkEnd w:id="73"/>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ECLI:ES:TC:1992:2A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2.903/1990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el 15 de diciembre de 1990, don Argimiro Vázquez Guillén, Procurador de los Tribunales y de don Michael John Paul Green, interpone recurso de amparo contra la Sentencia de la Sala Tercera del Tribunal Supremo, de 24 de octubre de 1990, que en apelación confirma la dictada por la Sala de lo Contencioso-Administrativo de la Audiencia Territorial de Granada que declara ajustada a Derecho la Resolución del Gobernador Civil de Málaga, de 5 de agosto de 1988, relativa a la expulsión de un extranjero.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recurso trae origen en los siguientes antecedentes de hecho: </w:t>
      </w:r>
    </w:p>
    <w:p w:rsidR="00A12D44" w:rsidRDefault="00A12D44" w:rsidP="00A12D44">
      <w:pPr>
        <w:pStyle w:val="TextoNormal"/>
      </w:pPr>
      <w:r>
        <w:t xml:space="preserve">a) El Gobernador Civil de Málaga, por Resolución de 5 de agosto de 1988, y tras la práctica de un expediente sancionatorio, acordó expulsar al ahora recurrente en amparo del territorio nacional por hallarse incurso en el supuesto previsto en el apartado d) del art. 26.1 de la Ley 7/1985, de 1 de julio, de derechos y libertades de los extranjeros en España, y consistente en haber sido condenado fuera de España por conducta dolosa que constituya en nuestro país delito sancionado con pena privativa de libertad superior a un año sin estar sus antecedentes penales cancelados. así como imponerle una prohibición de entrada durante un plazo de cinco años. En dicha Resolución se hacía constar que el expedientado había sido condenado en el Reino Unido en cinco ocasiones y era buscado allí por la INTERPOL, y que se encontraba procesado por el Juzgado Central de Instrucción núm. 2 en un sumario por tráfico de estupefacientes. </w:t>
      </w:r>
    </w:p>
    <w:p w:rsidR="00A12D44" w:rsidRDefault="00A12D44" w:rsidP="00A12D44">
      <w:pPr>
        <w:pStyle w:val="TextoNormal"/>
      </w:pPr>
      <w:r>
        <w:t xml:space="preserve">b) Interpuesto recurso contencioso-administrativo por el procedimiento de la Ley 62/1978, la Sala de lo Contencioso-Administrativo de la entonces Audiencia Territorial de Granada, en Sentencia de 10 de febrero de 1989, desestimó el recurso y declaró ajustada a Derecho la Resolución impugnada. </w:t>
      </w:r>
    </w:p>
    <w:p w:rsidR="00A12D44" w:rsidRDefault="00A12D44" w:rsidP="00A12D44">
      <w:pPr>
        <w:pStyle w:val="TextoNormal"/>
      </w:pPr>
      <w:r>
        <w:t>c) Formulado recurso de apelación, fue desestimado por la Sala Tercera del Tribunal Supremo mediante Sentencia de 4 de octubre de 1990.</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demandante de amparo entiende que la Sentencia del Tribunal Supremo lesiona sus derechos fundamentales siguientes: </w:t>
      </w:r>
    </w:p>
    <w:p w:rsidR="00A12D44" w:rsidRDefault="00A12D44" w:rsidP="00A12D44">
      <w:pPr>
        <w:pStyle w:val="TextoNormal"/>
      </w:pPr>
      <w:r>
        <w:t>a) La presunción constitucional de inocencia (art. 24.2 de la Constitución), pues la resolución recaída en apelación acepta como prueba de los antecedentes penales del expedien</w:t>
      </w:r>
      <w:r>
        <w:lastRenderedPageBreak/>
        <w:t xml:space="preserve">tado, al igual que se hizo en la instancia, un escrito de la INTERPOL de Londres, documento que «puede ser un indicio o un mero principio de prueba», pero que en modo alguno puede acreditar en un juicio la existencia de antecedentes penales, ya que tal entidad es una simple asociación de organizaciones policiales que no tiene entre sus competencias certificar este extremo en vez del correspondiente Registro de Penados y Rebeldes. Y tampoco puede sostenerse que correspondía al recurrente la demostración de que había cancelado sus antecedentes penales, alegando que la prueba correspondía al accionante, según las regias del onus probandi -como dice la Audiencia-, porque ello transgrede la presunción de inocencia, al invertir la carga de la prueba. b) La tutela judicial efectiva (art. 24.1) y el principio de igualdad (arts. 24.1 y 14 de la Constitución, respectivamente). Las resoluciones judiciales impugnadas deniegan la aplicación al caso del Real Decreto 1099/1986, de 26 de mayo, sobre entrada, permanencia y trabajo en España de ciudadanos de los Estados miembros de las Comunidades Europeas, con fundamento en que el recurrente se encontraba en España antes de la fecha de entrada en vigor de tal Decreto y de la solicitud del permiso de residencia; y, en consecuencia, deniegan la aplicación del art. 2.2 de dicha disposición, donde se afirma que «la simple existencia de condenas penales no podrá motivar» la expulsión del extranjero. Sin embargo, esta argumentación no puede ser aceptada, pues el acto formal de concesión del permiso de residencia es posterior a la entrada en vigor del Decreto cuya aplicación se deniega y es ese acto el que debe marcar el inicio del estatuto jurídico de residente en España. Además, se transgrede por las Sentencias recurridas la igualdad en la aplicación de la Ley al imponer al recurrente la carga de probar a qué actividades se dedicaba en España. </w:t>
      </w:r>
    </w:p>
    <w:p w:rsidR="00A12D44" w:rsidRDefault="00A12D44" w:rsidP="00A12D44">
      <w:pPr>
        <w:pStyle w:val="TextoNormal"/>
      </w:pPr>
      <w:r>
        <w:t>c) La cláusula proscriptoria de indefensión (art. 24.1 de la Constitución), pues ambas resoluciones judiciales reconocen que no se respetó la legislación vigente en materia de procedimiento administrativo sancionador (arts. 133 a 137 de la Ley de Procedimiento Administrativo) y, sin embargo, vienen a declarar subsanadas las irregularidades y defectos acaecidos. Por el contrario, si se hubiera seguido ese procedimiento, el recurrente habría tenido ocasión de examinar las pruebas que podían existir contra él y de desplegar una actividad probatoria en sentido contrario. todo lo cual le fue imposible de realizar; así, por ejemplo, no pudo impugnar en vía administrativa la existencia de antecedentes penales.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11 de abril de 1991, la Sección, de acuerdo con lo establecido en el art. 50.3 de la Ley Orgánica del Tribunal Constitucional (en adelante, LOTC), acuerda conceder un plazo común de diez días al Ministerio Fiscal y al recurrente en amparo para que formulen alegaciones sobre la posible existencia del siguiente motivo de inadmisión: carecer la demanda de contenido constitucional que justifique una decisión por parte del Tribunal Constitucional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Mediante escrito registrado el día 23 de abril de 1991, el Ministerio Fiscal solicita que se inadmita la demanda de amparo en aplicación del art. 50.1 c) de la LOTC. </w:t>
      </w:r>
    </w:p>
    <w:p w:rsidR="00A12D44" w:rsidRDefault="00A12D44" w:rsidP="00A12D44">
      <w:pPr>
        <w:pStyle w:val="TextoNormal"/>
      </w:pPr>
      <w:r>
        <w:t xml:space="preserve">No puede estimarse transgredida la presunción constitucional de inocencia (art. 24.2) por el hecho de que la única prueba de las condenas sea un informe de la INTERPOL, es decir, una acreditación policial en vez de otra judicial. Este alegato no puede prosperar, porque debe recordarse que estamos en un procedimiento administrativo y no judicial, para lo cual la certificación de un organismo como el mencionado resulta prueba bastante e idónea. Ello sin contar con que existen otras causas que justifican la expulsión además de la que se discute. </w:t>
      </w:r>
    </w:p>
    <w:p w:rsidR="00A12D44" w:rsidRDefault="00A12D44" w:rsidP="00A12D44">
      <w:pPr>
        <w:pStyle w:val="TextoNormal"/>
      </w:pPr>
      <w:r>
        <w:lastRenderedPageBreak/>
        <w:t xml:space="preserve">La invocación del art. 24.1 de la Constitución, por no aplicarse a los hechos el Real Decreto 1099/1986, carece de consistencia puesto que -como declaró el Tribunal Supremo- dicha disposición presupone una actividad laboral en España que en ningún momento se acredita. </w:t>
      </w:r>
    </w:p>
    <w:p w:rsidR="00A12D44" w:rsidRDefault="00A12D44" w:rsidP="00A12D44">
      <w:pPr>
        <w:pStyle w:val="TextoNormal"/>
      </w:pPr>
      <w:r>
        <w:t xml:space="preserve">La alegación de la igualdad (art. 14 de la Norma fundamental), a causa de una pretendida discriminación entre extranjeros que trabajen en España según tengan permiso de residencia o no, carece de un verdadero término válido de comparación, en vez de uno «abstracto y genérico». </w:t>
      </w:r>
    </w:p>
    <w:p w:rsidR="00A12D44" w:rsidRDefault="00A12D44" w:rsidP="00A12D44">
      <w:pPr>
        <w:pStyle w:val="TextoNormal"/>
      </w:pPr>
      <w:r>
        <w:t>No existe indefensión alguna, lesiva del art. 24.1 de la Constitución, como consecuencia de haberse seguido el procedimiento administrativo ordinario para el expediente de expulsión y no el sancionador, puesto que este razonamiento olvida que han existido dos instancias judiciales en las que el recurrente pudo practicar prueba y realizar las alegaciones que entendiera pertinentes.</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recurrente, en escrito presentado el día 26 de abril de 1991,insta de este Tribunal que admita a trámite la demanda de amparo. Con carácter nuevo se traen al proceso las siguientes argumentaciones complementarias de las efectuadas en la demanda. </w:t>
      </w:r>
    </w:p>
    <w:p w:rsidR="00A12D44" w:rsidRDefault="00A12D44" w:rsidP="00A12D44">
      <w:pPr>
        <w:pStyle w:val="TextoNormal"/>
      </w:pPr>
      <w:r>
        <w:t xml:space="preserve">En un caso incardinable dentro del Derecho Administrativo sancionador, al que resultan aplicables las garantías constitucionales propias del Derecho Penal, debe-considerarse que juega lo dispuesto en el art. 379 de la L.E.Crim., precepto según el cual corresponde, exclusivamente, al Registro Central de Penados y Rebeldes del Ministerio de Justicia, mediante la oportuna certificación, la constancia de los antecedentes penales del encausado. No cabe otro medio de acreditación de los antecedentes penales que no vulnere la pre- sunción constitucional de inocencia (art. 24.2); ningún Juez puede tomar como base de su decisión punitiva un informe policial. En cambio, la Sentencia discutida llega a decir que era el propio señor Green quien debía haber probado que tales antecedentes no existían, lo que traslada la carga de la prueba y contradice las SSTC 70/1985 y 182/1989. Y no puede haber en esta materia «dos raseros»: uno para los españoles y otro para los extranjeros. </w:t>
      </w:r>
    </w:p>
    <w:p w:rsidR="00A12D44" w:rsidRDefault="00A12D44" w:rsidP="00A12D44">
      <w:pPr>
        <w:pStyle w:val="TextoNormal"/>
      </w:pPr>
      <w:r>
        <w:t>El segundo motivo del recurso se basa en la violación de los derechos consagrados en los arts. 24.1 y 14 de la Constitución, como consecuencia de que se denegó la aplicación a los hechos del art. 22.2 del Real Decreto 1099/1986, que expresamente prohíbe la expulsión de un ciudadano miembro de un país comunitario por «la simple existencia de condenas penales»; sin embargo, estaba probado que el señor Green es de nacionalidad británica y contaba con un permiso administrativo de residencia en España, y es una clara discriminación que en la Sentencia se afirme que debía probar la licitud de las actividades a que se dedicaba en España.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No ha habido violación de la presunción constitucional de inocencia (art.  24.2), pues es patente que el recurrente no niega la veracidad de los hechos que se le imputaron en el procedimiento administrativo de expulsión, ni aduce en su defensa la falsedad del informe evacuado por la INTERPOL, sino que se limita a alegar la falta de idoneidad de este medio probatorio. Quiere decirse, por tanto, que no se niega la existencia de hasta cinco resoluciones condenatorias por diversos delitos, y en las que se le impusieron penas privativas de libertad por períodos superiores al año, ni tampoco la efectiva presencia de unos antecedentes penales no cancelados; condenas y circunstancias que justifican sin </w:t>
      </w:r>
      <w:r>
        <w:lastRenderedPageBreak/>
        <w:t>duda, como así lo entendieron los Tribunales ordinarios, la aplicación del motivo de expulsión prevenido en el art. 26.1 d) de la Ley Orgánica 711/85, de 1 de julio, consistente en «haber sido condenado, dentro o fuera de España, por una conducta dolosa que constituye en nuestro país delito sancionado con pena privativa de libertad superior a un año, salvo que sus antecedentes penales hubieran sido cancelados». Debe tenerse en cuenta, por lo demás, que el hoy recurrente tuvo conocimiento de dicha imputación desde el momento en que se le dio traslado de la propuesta motivada de expulsión, frente a la cual presentó escrito de alegaciones de descargo en el que tuvo la oportunidad de oponerse a la misma, proponiendo cualquier otra diligencia de prueba que acreditara la falta de veracidad de los hechos; oposición que pudo reiterar en sede judicial pidiendo el recibimiento a prueba del proceso contencioso-administrativo incoado al amparo de la Ley 62/1978.</w:t>
      </w:r>
    </w:p>
    <w:p w:rsidR="00A12D44" w:rsidRDefault="00A12D44" w:rsidP="00A12D44">
      <w:pPr>
        <w:pStyle w:val="TextoNormal"/>
      </w:pPr>
      <w:r>
        <w:t>No puede olvidarse tampoco que la Organización Internacional de Policía Criminal (O.I.P.C., INTERPOL) es una organización intergubernamental reconocida en nuestro ordenamiento jurídico, por lo que no cabe negar a priori la validez como prueba documental pública, dentro de un procedimiento de expulsión de extranjeros, de un informe remitido por dicha organización en Londres, relativo a la existencia de antecedentes penales en el Reino Unido, a los efectos de lo dispuesto en el citado art. 26.1 d) de la Ley Orgánica 7/1985 y en los arts.  88.1 de la Ley de Procedimiento Administrativo y 74 de la Ley Reguladora de la Jurisdicción Contencioso-Administrativa; todo ello, claro está, sin perjuicio del derecho del expedientado a combatir y negar valor a dicho medio probatorio mediante el despliegue de actividad probatoria contraria, que en este caso, sin embargo, no tuvo lugar. A ello ha de añadirse, finalmente, que en las actuaciones consta que el recurrente se encontraba también procesado en España en un sumario por tráfico de estupefacientes ante el Juzgado Central de Instrucción núm. 2, existiendo, por tanto, otra causa que justificaba la expulsión.</w:t>
      </w:r>
    </w:p>
    <w:p w:rsidR="00A12D44" w:rsidRDefault="00A12D44" w:rsidP="00A12D44">
      <w:pPr>
        <w:pStyle w:val="TextoNormal"/>
      </w:pPr>
    </w:p>
    <w:p w:rsidR="00A12D44" w:rsidRDefault="00A12D44" w:rsidP="00A12D44">
      <w:pPr>
        <w:pStyle w:val="TextoNormal"/>
      </w:pPr>
      <w:r w:rsidRPr="00A12D44">
        <w:rPr>
          <w:rStyle w:val="NumeroAFNegritaCaracter"/>
        </w:rPr>
        <w:t>2</w:t>
      </w:r>
      <w:r>
        <w:t>. En lo que atañe a la pretendida lesión de los derechos fundamentales reconocidos en los arts. 14 y 24.1 de la Constitución, como consecuencia de la inaplicación a los hechos del Real Decreto 1099/1986, de 26 de mayo, sobre entrada, permanencia y trabajo en España de ciudadanos de Estados miembros de la C.E.E., hemos de declarar que la selección de las normas aplicables a los hechos, y en concreto a la expulsión de los extranjeros, es tarea que corresponde a la Administración, en primer lugar, y en última instancia, como regla general, con carácter exclusivo a los Tribunales ordinarios, siempre y cuando el pronunciamiento adoptado no resulte arbitrario, fundado en error patente o basado en criterios singulares de discriminación ad personam. Nada de esto ocurre en el presente caso, pues el recurrente ha recibido sendas resoluciones judiciales, suficientemente motivadas y cuya fundamentación supera un juicio de razonabilidad en esta sede constitucional, en las que se afirma sustancialmente que el expedientado, hoy recurrente en amparo, se hallaba en España antes de la entrada en vigor del tratado de adhesión a la C.E.E. y, sobre todo, que la aplicación del Decreto controvertido requiere de la prestación de algún trabajo («actividades asalariadas o no asalariadas», dice su art. 3.1), mientras el recurrente «tampoco explicó a qué tipo de actividades se dedicaba», (Sentencia de apelación, fundamento jurídico 2. ).</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No se ha producido tampoco la situación material de indefensión vedada por el art. 24.1 de la Constitución, pues, aun cuando la Sala de instancia reconoce la presencia de alguna irregularidad en el procedimiento administrativo sancionador, afirma al tiempo rotundamente y con toda razón que carecía de entidad suficiente para impedir el ejercicio </w:t>
      </w:r>
      <w:r>
        <w:lastRenderedPageBreak/>
        <w:t>del derecho de defensa, el cual, como antes se dijo, pudo ser plenamente ejercido en la vía administrativa sancionadora, primero, y más tarde en las dos instancias judiciales en las que pudo solicitar la plena revisión del expediente de expulsión.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4" w:name="AUTO_1992_3"/>
      <w:r>
        <w:lastRenderedPageBreak/>
        <w:t>AUTO 3/1992, de 13 de enero de 1992</w:t>
      </w:r>
    </w:p>
    <w:bookmarkEnd w:id="74"/>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ECLI:ES:TC:1992:3A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93/1991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registrado en este Tribunal el 14 de enero de 1991, el Procurador don Juan Carlos Estévez Fernández-Novoa, en nombre y representación de doña María Isabel Santabárbara Domeque, interpuso recurso de amparo contra la Resolución de 8 de octubre de 1990 del Servicio de Inspección de la Dirección General de Tributos de la Diputación General de Aragón, por la que se desestima recurso de reposición deducido frente al acto de liquidación correspondiente al Acta de inspección modelo A 02 y núm. 00543165, contra tal acto de liquidación y contra la Sentencia de la Sala de lo Contencioso- Administrativo del Tribunal Superior de Justicia de Aragón de 19 de diciembre de 1990, recaída en el recurso 1507/90.</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en síntesis, se basa en los siguientes hechos: </w:t>
      </w:r>
    </w:p>
    <w:p w:rsidR="00A12D44" w:rsidRDefault="00A12D44" w:rsidP="00A12D44">
      <w:pPr>
        <w:pStyle w:val="TextoNormal"/>
      </w:pPr>
      <w:r>
        <w:t xml:space="preserve">A) Con fecha de 18 de julio de 1990, se levantó Acta de inspección a la solicitante de amparo en relación con su declaración del Impuesto Extraordinario sobre el Patrimonio correspondiente al ejercicio de 1986, acta en la que se hace constar que procede incrementar la base imponible en 13.000.000 de pesetas, dada la titularidad de tres pólizas de seguro de vida de prima única, y en la que asimismo se propone una sanción por importe de 33.826 pesetas. Esta propuesta fue confirmada mediante acto de liquidación del siguiente 31 de agosto. Interpuesto recurso de reposición, fue desestimado por Resolución del Jefe del Servicio de Inspección de la Dirección General de Tributos (Departamento de Hacienda de la Diputación General de Aragón) de 8 de octubre de 1990. </w:t>
      </w:r>
    </w:p>
    <w:p w:rsidR="00A12D44" w:rsidRDefault="00A12D44" w:rsidP="00A12D44">
      <w:pPr>
        <w:pStyle w:val="TextoNormal"/>
      </w:pPr>
      <w:r>
        <w:t xml:space="preserve">B) Frente a la Resolución referida la demandante interpuso el recurso contencioso-administrativo especial de la Ley 62/1978, alegando la vulneración de su derecho fundamental a la presunción de inocencia. La Sala correspondiente del T.S.J. de Aragón, por Sentencia de 19 de diciembre de 1991, desestimó dicho recurso. </w:t>
      </w:r>
    </w:p>
    <w:p w:rsidR="00A12D44" w:rsidRDefault="00A12D44" w:rsidP="00A12D44">
      <w:pPr>
        <w:pStyle w:val="TextoNormal"/>
      </w:pPr>
      <w:r>
        <w:t>C) Contra la anterior Sentencia formuló la actora recurso de apelación. La Sala sentenciadora, sin embargo, por providencia de 31 de diciembre de 1990, resolvió no haber lugar a tener por interpuesto dicho recurso, al revestir la Sentencia que se pretendía impugnar el carácter de firme.</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de amparo, la recurrente alega cuanto a continuación y de forma resumida se expone: </w:t>
      </w:r>
    </w:p>
    <w:p w:rsidR="00A12D44" w:rsidRDefault="00A12D44" w:rsidP="00A12D44">
      <w:pPr>
        <w:pStyle w:val="TextoNormal"/>
      </w:pPr>
      <w:r>
        <w:lastRenderedPageBreak/>
        <w:t xml:space="preserve">A) La demandante suscribió en 1986 dos (sic) pólizas de seguro de vida de prima única con una determinada entidad aseguradora. Creyendo que el valor de rescate de tales pólizas era cero al 31 de diciembre de 1986, no consignó en la declaración del Impuesto Extraordinario sobre el Patrimonio correspondiente al ejercicio de 1986 el valor referido. Este constituye la base imponible del citado Impuesto a tenor de lo dispuesto en el art. 11.1 f) de la Orden de 14 de enero de 1978. Ahora bien, para conocer el valor de rescate de un seguro de vida es necesario practicar unos cálculos complejos para los que no se hallaba capacitada la recurrente, al carecer de la necesaria formación técnica en materia de seguros. Por otra parte, en el ámbito de las operaciones de seguros de vida es habitual que el valor de rescate durante los dos primeros años desde su contratación resulte cero, por lo que no resulta extraño, y es incluso razonable, que la solicitante de amparo estuviese en la creencia de que era cero, al 31 de diciembre de 1986, el valor de rescate de las pólizas de seguro que había suscrito pocos meses antes. </w:t>
      </w:r>
    </w:p>
    <w:p w:rsidR="00A12D44" w:rsidRDefault="00A12D44" w:rsidP="00A12D44">
      <w:pPr>
        <w:pStyle w:val="TextoNormal"/>
      </w:pPr>
      <w:r>
        <w:t xml:space="preserve">B) Debido al error sufrido por la recurrente, la Administración Tributaria le aplicó criterios de responsabilidad objetiva, sancionándola sin demostrar su culpabilidad y sin ninguna prueba del elemento intencional del sujeto pasivo del Impuesto. En efecto, ni el acta de inspección ni el acto de liquidación referente a la misma, ni tampoco la Resolución desestimatoria del recurso de reposición hacen mención alguna de las circunstancias subjetivas concurrentes, las cuales son de singular importancia para poder enjuiciar la procedencia o improcedencia de una sanción sino que se limitan a recoger circunstancias objetivas que no son suficientes para desvirtuar el derecho a la presunción de inocencia proclamado en el art. 24 C.E. La motivación ha de referirse no sólo a los elementos objetivos, sino también a los elementos subjetivos, que igualmente han de ser tenidos en cuenta para decidir si la omisión del contribuyente es o no acreedora a la sanción; y más en el presente caso, en el que lo que se ha omitido es declarar el valor de rescate mencionado, siendo tal valor difícil de calcular para cualquier contribuyente no es especializado en materia de seguros. </w:t>
      </w:r>
    </w:p>
    <w:p w:rsidR="00A12D44" w:rsidRDefault="00A12D44" w:rsidP="00A12D44">
      <w:pPr>
        <w:pStyle w:val="TextoNormal"/>
      </w:pPr>
      <w:r>
        <w:t xml:space="preserve">C) La Administración se ha limitado a probar la existencia del hecho imponible (las pólizas de seguro de vida en el patrimonio del contribuyente) y la omisión de la declaración de la base imponible correspondiente a tales pólizas. Pero el derecho a la presunción de inocencia implica el desplazamiento de la carga de la prueba a la Inspección, a la que le incumbe la función de hacer llegar al procedimiento sancionador una mínima actividad probatoria de cargo, siendo su obligación no sólo llegar a una verdad formal, sino material, aportando pruebas de los elementos subjetivos de la infracción. Tras citar la STC 76/1990, concluye la recurrente afirmando que en el caso enjuiciado existe certeza de los hechos o elementos objetivos, pero, ante la ausencia de pruebas del elemento subjetivo, no existe certeza en el juicio de culpabilidad que ha dado lugar a la imposición de la sanción. Y el derecho a la presunción de inocencia afecta a todos los elementos de la infracción (acción, antijuridicidad, tipicidad y culpabilidad) y no a parte de ellos. </w:t>
      </w:r>
    </w:p>
    <w:p w:rsidR="00A12D44" w:rsidRDefault="00A12D44" w:rsidP="00A12D44">
      <w:pPr>
        <w:pStyle w:val="TextoNormal"/>
      </w:pPr>
      <w:r>
        <w:t>Suplica, por ello, la demandante que se te otorgue el amparo que solicita mediante Sentencia en la que se declare la nulidad del acto de liquidación correspondiente al acta de inspección referida y de la Resolución de 8 de octubre de 1990 citada, así como de la Sentencia confirmatoria de los mismos, y se reconozca su derecho a la presunción de inocencia, restableciéndole en tal derecho.</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16 de septiembre de 1991, acordó la Sección tener por interpuesto el presente recurso, e igualmente, a tenor de lo dispuesto en el art. 50.5 de la LOTC, conceder un plazo de diez días a la demandante para que presentara copia o certificación </w:t>
      </w:r>
      <w:r>
        <w:lastRenderedPageBreak/>
        <w:t>del acto de liquidación tributaria impugnada y del Acta de inspección del que dicha liquidación trae causa. Y asimismo, dentro del expresado plazo de diez días, de conformidad con el art. 50.3 de la LOTC, que tanto el Ministerio Fiscal como la recurrente alegaran lo que estimasen pertinente sobre la concurrencia de la causa de inadmisión del apartado c) del art. 50.1 de la citada Ley.</w:t>
      </w:r>
    </w:p>
    <w:p w:rsidR="00A12D44" w:rsidRDefault="00A12D44" w:rsidP="00A12D44">
      <w:pPr>
        <w:pStyle w:val="TextoNormal"/>
      </w:pPr>
    </w:p>
    <w:p w:rsidR="00A12D44" w:rsidRDefault="00A12D44" w:rsidP="00A12D44">
      <w:pPr>
        <w:pStyle w:val="TextoNormal"/>
      </w:pPr>
      <w:r w:rsidRPr="00A12D44">
        <w:rPr>
          <w:rStyle w:val="NumeroAFNegritaCaracter"/>
        </w:rPr>
        <w:t>5</w:t>
      </w:r>
      <w:r>
        <w:t>. La demandante, con fecha 2 de octubre presentó escrito aportando copia del acto de liquidación así como del Acta de inspección, alegando que no existía motivo alguno de inadmisión.</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Ministerio Fiscal evacuó el trámite conferido mediante escrito presentado el 8 de octubre de 1991, en el que formuló estas alegaciones: </w:t>
      </w:r>
    </w:p>
    <w:p w:rsidR="00A12D44" w:rsidRDefault="00A12D44" w:rsidP="00A12D44">
      <w:pPr>
        <w:pStyle w:val="TextoNormal"/>
      </w:pPr>
      <w:r>
        <w:t xml:space="preserve">A) El problema planteado es el referente a la acreditación probatoria de los elementos que configuran la culpa o negligencia del contribuyente a la hora de imponerle una sanción tributaria. Es patente que no cabe la responsabilidad objetiva en materia de infracciones tributarias (STC 76/1990). Ahora bien, también resulta claro que basta la mera culpa o negligencia (art. 77 de la Ley General Tributaria). El resultado de la falta de declaración del valor de rescate de las primas únicas es un hecho, pero lo que hay que determinar es si se trataba de un hecho evitable. Se aduce el error de la recurrente al respecto y la extrema complejidad de la materia. Mas hay que distinguir el error vencible del invencible. Sólo éste supone una ausencia de culpabilidad, mientras que aquél excluye el dolo, pero no la culpa. Así se deduce no sólo de los conceptos de teoría general del Derecho, sino del propio tenor literal del art. 6 bis a) del Código Penal. El Tribunal Supremo ha declarado que «el error invencible ha de ser probado, por quien lo alegare, para que se produzca exculpación» (Sentencia de la Sala Segunda de 1 de marzo de 1985) y que «para que el error produzca la exención de responsabilidad que alcance la condición de invencible, habrán de tenerse en cuenta las condiciones psicológicas y de cultura del infractor, y las posibilidades que se ofrecieran de instrucción y asesoramiento o de acudir a medios que le permitieran conocer la trascendencia jurídica de su obra» (Sentencia de 29 de febrero de 1988). </w:t>
      </w:r>
    </w:p>
    <w:p w:rsidR="00A12D44" w:rsidRDefault="00A12D44" w:rsidP="00A12D44">
      <w:pPr>
        <w:pStyle w:val="TextoNormal"/>
      </w:pPr>
      <w:r>
        <w:t xml:space="preserve">B) La Sentencia del T.S.J. de Aragón afirma que del examen de las actuaciones se e «desprende que existen datos que sirven de apoyo a dicho juicio de culpabilidad llevado a cabo por la Administración -como son el reconocimiento de la falta de liquidación por una cuantía de la importancia de la omitida, o la facilidad que tuvo la sancionada de salvar el error, de haber existido, con una conducta diligente que excluiría la culpa, como puede ser mediante la simple consulta con la entidad aseguradora-, por lo que no puede estimarse vulnerado el principio de presunción de inocencia». Pues bien: tales aseveraciones son acertadas y acreditan la existencia de datos de hecho en los que ha podido basarse la sanción, tanto en vía administrativa como jurisdiccional. </w:t>
      </w:r>
    </w:p>
    <w:p w:rsidR="00A12D44" w:rsidRDefault="00A12D44" w:rsidP="00A12D44">
      <w:pPr>
        <w:pStyle w:val="TextoNormal"/>
      </w:pPr>
      <w:r>
        <w:t>Hay que recordar también las peculiaridades que ofrece la presunción de inocencia en materia de infracciones culposas. El órqano judicial ha valorado la prueba -que sin duda existe- en el sentido de reputar imprudente y no causada por un error invencible la conducta de la demandante. El amparo, pues, no puede prosperar, procediendo la inadmisión del recurso por darse el supuesto del art. 50.1 c) de la LOTC.</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Examinadas las alegaciones del Ministerio Fiscal y de la recurrente en amparo evacuadas en el trámite conferido al efecto. debe confirmarse la concurrencia de la causa de inadmisión prevista en el art. 50.1 c) de la LOTC que fue puesta de manifiesto en nuestra providencia de 16 de septiembre de 1991.</w:t>
      </w:r>
    </w:p>
    <w:p w:rsidR="00A12D44" w:rsidRDefault="00A12D44" w:rsidP="00A12D44">
      <w:pPr>
        <w:pStyle w:val="TextoNormal"/>
      </w:pPr>
      <w:r>
        <w:t>El motivo de amparo aducido por la demandante consiste en la vulneración de su derecho fundamental a la presunción de inocencia (art. 24.2. C.E.), vulneración originada por una sanción tributaria impuesta sin que la Administración probase la culpabilidad, limitándose, por el contrario, a probar la existencia del hecho imponible -las pólizas de seguro- y la omisión de la declaración de la base imponible correspondiente a tales pólizas. Con ello, la Administración habría sancionado a la recurrente atendiendo sólo a criterios de responsabilidad objetiva, sin tener en cuenta el elemento intencional del sujeto pasivo del impuesto.</w:t>
      </w:r>
    </w:p>
    <w:p w:rsidR="00A12D44" w:rsidRDefault="00A12D44" w:rsidP="00A12D44">
      <w:pPr>
        <w:pStyle w:val="TextoNormal"/>
      </w:pPr>
      <w:r>
        <w:t>Ciertamente, en nuestro ordenamiento punitivo fiscal, constitutivo de una de las manifestaciones del ius puniendi del Estado, rige el principio de culpabilidad, que excluye la imposición de sanciones por el mero resultado y sin atender a la conducta diligente del contribuyente. El art. 77.1 de la Ley General Tributaria dispone que las infracciones de esta índole, aun las cometidas por omisión, «son sancionables incluso a título de simple negligencia», lo que con toda evidencia significa, de un lado, que el precepto está dando por supuesta la exigencia de culpabilidad en los grados de dolo y culpa o negligencia grave, y de otro, que, más allá de la simple negligencia, los hechos no pueden ser sancionados (STC 76/1990, fundamento jurídico 4. ).  Por consiguiente, toda resolución sancionadora tributaria -lo mismo que las sanciones penales o las demás sanciones administrativas- requiere a la par certeza de los hechos imputados, obtenida mediante pruebas de careo, y certeza del juicio de culpabilidad sobre esos mismos hechos, de manera que el art.  24.2 de la Constitución rechaza tanto la responsabilidad presunta y objetiva como la inversión de la carga de la prueba en relación con el presupuesto fáctico de la sanción (ibídem, fundamento jurídico 8. ).</w:t>
      </w:r>
    </w:p>
    <w:p w:rsidR="00A12D44" w:rsidRDefault="00A12D44" w:rsidP="00A12D44">
      <w:pPr>
        <w:pStyle w:val="TextoNormal"/>
      </w:pPr>
    </w:p>
    <w:p w:rsidR="00A12D44" w:rsidRDefault="00A12D44" w:rsidP="00A12D44">
      <w:pPr>
        <w:pStyle w:val="TextoNormal"/>
      </w:pPr>
      <w:r w:rsidRPr="00A12D44">
        <w:rPr>
          <w:rStyle w:val="NumeroAFNegritaCaracter"/>
        </w:rPr>
        <w:t>2</w:t>
      </w:r>
      <w:r>
        <w:t>. En el supuesto que examinamos, la actora no discute la existencia de pruebas relativas al elemento objetivo de la infracción, reconociendo que omitió consignar en la declaración del Impuesto Extraordinario sobre el Patrimonio correspondiente al ejercicio de 1986 el valor de rescate de las pólizas de seguro de vida de prima única que había suscrito en tal período impositivo.  Reconoce asimismo que ese valor de rescate «constituye la base imponible del Impuesto...a tenor de lo dispuesto en el art. 11.1 f) de la Orden de 14 de enero de 1978». Justifica, no obstante, aquella omisión en la,,creencia» (que también califica de «error») de que el valor de rescate era cero al 31 de diciembre de 1986, ya que es habitual que así resulte en el ámbito de las operaciones de seguros de vida durante los dos primeros años siguientes a su contratación. De forma cintradictoria con lo anterior, aduce también la demandante su falta de capacitación técnica para practicar los complejos cálculos actuariales necesarios en orden a determinar el repetido valor de rescate.</w:t>
      </w:r>
    </w:p>
    <w:p w:rsidR="00A12D44" w:rsidRDefault="00A12D44" w:rsidP="00A12D44">
      <w:pPr>
        <w:pStyle w:val="TextoNormal"/>
      </w:pPr>
      <w:r>
        <w:t xml:space="preserve">La Resolución de 8 de octubre de 1990 de la Administración Tributaria considera que la recurrente realizó, en la omisión señalada, una conducta voluntaria y que la ocultación de una parte del hecho imponible por el sujeto pasivo es más que una conducta negligente. A su vez, el órgano judicial entiende que apoyan el juicio de culpabilidad llevado a cabo por la Administración tanto la importancia de la cuantía de la liquidación omitida cuanto </w:t>
      </w:r>
      <w:r>
        <w:lastRenderedPageBreak/>
        <w:t>«la facilidad que tuvo la sancionada de salvar el error, de haber existido, con una conducta diligente que excluiría la culpa, como puede ser mediante la simple consulta con la entidad aseguradora».</w:t>
      </w:r>
    </w:p>
    <w:p w:rsidR="00A12D44" w:rsidRDefault="00A12D44" w:rsidP="00A12D44">
      <w:pPr>
        <w:pStyle w:val="TextoNormal"/>
      </w:pPr>
      <w:r>
        <w:t>Este razonamiento judicial permite concluir, a la luz de las circunstancias concurrentes en el caso, que el derecho fundamental de la recurrente a la presunción de inocencia no ha sido vulnerado. La demandante, en efecto, no ignoraba su obcecación de declarar la existencia de las pólizas suscritas. La Ley 50/1977, de 14 de noviembre, sobre Medidas Urgentes de Reforma Fiscal, a la sazón vigente, no sólo consideraba como hecho imponible, de modo genérico, «la titularidad de derechos de contenido económico atribuibles al sujeto pasivo» (art. 2), sino que, más específicamente, al referirse a la valoración de los distintos componentes de la base imponible, determinaba que los seguros de vida habían de computarse por su valor de rescate en el momento de devengo del Impuesto [art. 6 c), transcrito en el art. 11.10 de la Orden de 14 de enero de 1978, por la que se regula el impuesto Extraordinario sobre el Patrimonio de las Personas Físicas, al que el actor alude expresamente. Se halla pues, claramente establecido legalmente el deber de consignar en la declaración el elemento patrimonial referido, cuyo importe ascendía a 13.000.000 de pesetas.</w:t>
      </w:r>
    </w:p>
    <w:p w:rsidR="00A12D44" w:rsidRDefault="00A12D44" w:rsidP="00A12D44">
      <w:pPr>
        <w:pStyle w:val="TextoNormal"/>
      </w:pPr>
      <w:r>
        <w:t>Conocido tal deber, la «creencia» de la solicitante de amparo de que el valor de rescate de las pólizas era cero durante los dos primeros años de vigencia de las mismas, además de no aducirse su fundamento contractual o normativo, pudo disiparse si, obrando con la diligencia propia de quien es consciente de su obligación de contribuir, la recurrente hubiera acudido en demanda de asesoramiento ala entidad aseguradora o a la misma Administración tributaría, bien ante ésta, informalmente, bien a través del cauce de las consultas establecido en el art. 107 de la L.G.T. Ello al objeto de verificar tanto su pretendida convicción inicial sobre el valor de rescate cuanto su creencia relativa a la no consignación de aquél en la declaración. Por lo mismo, la alegada impericia de la demandante para calcular el monto exacto del valor de rescate resultaba igualmente superable mediante el auxilio de la compañía de seguros, tratándose éste de un argumento que, por su contradicción con el anterior, revela su absoluta inconsistencia.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consecuencia, la demandante actuó, al menos, con una negligencia que, acreditada la omisión de declarar el valor de las pólizas concertadas durante el ejercicio fiscal de 1986, pudo justificar el juicio de culpabilidad en que se asienta la sanción</w:t>
      </w:r>
    </w:p>
    <w:p w:rsidR="00A12D44" w:rsidRDefault="00A12D44" w:rsidP="00A12D44">
      <w:pPr>
        <w:pStyle w:val="TextoNormal"/>
      </w:pPr>
      <w:r>
        <w:t>tributaria que le fue impuesta.</w:t>
      </w: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5" w:name="AUTO_1992_4"/>
      <w:r>
        <w:lastRenderedPageBreak/>
        <w:t>AUTO 4/1992, de 13 de enero de 1992</w:t>
      </w:r>
    </w:p>
    <w:bookmarkEnd w:id="75"/>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ECLI:ES:TC:1992:4A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320/1991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el Juzgado de Guardia el 12 de febrero de 1991 y registrado en este Tribunal al día siguiente, don Argimiro Vázquez Guillén, Procurador de los Tribunales y de don Manuel Carlos Castiñeiras Guerra, interpone recurso de amparo contra Auto de la Sección Primera de la Sala de lo Contencioso-Administrativo del Tribunal Superior de Justicia de Galicia, de 15 de enero de 1991, dictado en ejecución de la Sentencia de la misma Sección y Sala, de 29 de septiembre de 1990, que decretaba la nulidad del Acuerdo del Ayuntamiento de Vilaboa (Pontevedra) de 24 de febrero de 1990, por el que se mantenía la suspensión provisional del recurrente en su condición de Secretario del citado Ayuntamiento.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fundamenta en los antecedentes que siguen: </w:t>
      </w:r>
    </w:p>
    <w:p w:rsidR="00A12D44" w:rsidRDefault="00A12D44" w:rsidP="00A12D44">
      <w:pPr>
        <w:pStyle w:val="TextoNormal"/>
      </w:pPr>
      <w:r>
        <w:t xml:space="preserve">a) La Sección Primera de la Audiencia Provincial de Pontevedra condenó al recurrente en Sentencia de 27 de abril de 1990, dictada en el procedimiento 1392/89, como autor criminalmente responsable de un delito de falsedad de documento público cometido por funcionario con abuso de oficio, a la pena de un año de prisión menor con la accesoria de suspensión de cargo Público del oficio de Secretario de Ayuntamiento durante el tiempo de cumplimiento de la pena privativa de libertad. </w:t>
      </w:r>
    </w:p>
    <w:p w:rsidR="00A12D44" w:rsidRDefault="00A12D44" w:rsidP="00A12D44">
      <w:pPr>
        <w:pStyle w:val="TextoNormal"/>
      </w:pPr>
      <w:r>
        <w:t xml:space="preserve">b) Por Sentencia de 29 de septiembre de 1990, la Sala de lo Contencioso- Administrativo del Tribunal Superior de Justicia de Galicia estimé el recurso contencioso presentado por el hoy recurrente contra la desestimación presunta por silencio administrativo del recurso de reposición formulado contra la Resolución de la Alcaldía del Ayuntamiento de Vilaboa, de 24 de febrero de 1990, por la que se acordaba mantener la suspensión provisional del recurrente «por todo el tiempo que dure su procesamiento o la existencia de apertura del juicio oral acordado por el Juzgado de Instrucción núm. 3 de Pontevedra en las diligencias previas 1392/1989-1, y, en todo caso, por el tiempo de doce días naturales en que estuvo paralizado el expediente por causas imputables al funcionario expedientado». En dicha Sentencia se declara la nulidad del acto impugnado y se dispone que el recurrente tiene derecho a ser repuesto de inmediato en la Secretaría del Ayuntamiento, dado que se ha superado ya el tiempo de duración de la pena impuesta en la Sentencia de la Audiencia Provincial de Pontevedra. </w:t>
      </w:r>
    </w:p>
    <w:p w:rsidR="00A12D44" w:rsidRDefault="00A12D44" w:rsidP="00A12D44">
      <w:pPr>
        <w:pStyle w:val="TextoNormal"/>
      </w:pPr>
      <w:r>
        <w:lastRenderedPageBreak/>
        <w:t xml:space="preserve">c) Por escrito de 5 de diciembre de 1990, el recurrente solicitó de la Sala de lo Contencioso-Administrativo del Tribunal Superior de Justicia de Galicia que, ante la negativa del Ayuntamiento de Vilaboa a reintegrarlo en su puesto, se acordara ejecutar sin más la Sentencia de 29 de septiembre de 1990. </w:t>
      </w:r>
    </w:p>
    <w:p w:rsidR="00A12D44" w:rsidRDefault="00A12D44" w:rsidP="00A12D44">
      <w:pPr>
        <w:pStyle w:val="TextoNormal"/>
      </w:pPr>
      <w:r>
        <w:t>d) Por Auto de 15 de enero de 1991, la Sala considera que, a la luz de los nuevos hechos concurrentes en el caso, resulta imposible la ejecución pretendida. Y ello porque, una vez instada la ejecución, resulta acreditada la existencia de Resoluciones del Ministerio para las Administraciones Públicas, de 30 de julio y 4 de octubre de 1990, en las que se impone al recurrente la sanción de separación del servicio. Se señala en dicho Auto que al aparecer una «nueva circunstancia fáctica y jurídica respecto a la que fue contemplada y resuelta en la Sentencia indicada», resulta legalmente imposible su ejecución, «sin perjuicio de que los (...) Acuerdos del Ministerio para las Administraciones Públicas puedan ser objeto de recurso contencioso-administrativo». Concluye el referido Auto señalando que «pueden ser oportunamente reclamadas las retribuciones dejadas de percibir durante el período que permaneció en la situación de suspensión provisional como consecuencia del Acuerdo» anulado por la Sentencia de 29 de septiembre de 1990.</w:t>
      </w:r>
    </w:p>
    <w:p w:rsidR="00A12D44" w:rsidRDefault="00A12D44" w:rsidP="00A12D44">
      <w:pPr>
        <w:pStyle w:val="TextoNormal"/>
      </w:pPr>
    </w:p>
    <w:p w:rsidR="00A12D44" w:rsidRDefault="00A12D44" w:rsidP="00A12D44">
      <w:pPr>
        <w:pStyle w:val="TextoNormal"/>
      </w:pPr>
      <w:r w:rsidRPr="00A12D44">
        <w:rPr>
          <w:rStyle w:val="NumeroAFNegritaCaracter"/>
        </w:rPr>
        <w:t>3</w:t>
      </w:r>
      <w:r>
        <w:t>. Se interpone recurso de amparo contra el Auto de la Sala de lo Contencioso- Administrativo del Tribunal Superior de Justicia de Galicia, de 15 de enero de 1991, por presunta vulneración de los arts. 23.2 y 24.1 de la Constitución, con la súplica de que se declare su nulidad y se restablezca al recurrente en la integridad de su derecho, ordenando que se le reponga en el cargo de Secretario del Ayuntamiento de Vilaboa. La demanda aduce, en síntesis, que se le ha conculcado el derecho a la ejecución de Sentencia y se le ha removido de cargo público por un procedimiento no legal, sino reglamentario.</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28 de octubre de 1991, la Sección Primera de este Tribunal, de conformidad con lo previsto en el art. 50.3 de la LOTC, acordó conocer un plazo común de diez días al Ministerio Fiscal y al recurrente para que dentro del mismo alegaran lo que estimasen pertinente en relación con la posible existencia del siguiente motivo de inadmisión: carecer la demanda manifiestamente de contenido que justifique una decisión sobre el fondo del asunto por parte de este Tribunal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El Ministerio Fiscal presentó su escrito de alegaciones el 7 de noviembre de 1991. En él, tras mencionar los antecedentes del caso y la cuestión controvertida, afirma, por un lado, que no puede considerarse vulnerado el derecho a la ejecución de sentencia, ya que han sobrevenido circunstancias que hacen jurídicamente imposible la ejecución. El proceso en el que se declaró la reposición se contraía a la suspensión provisional de que había sido objeto el reclamante e, inexistentes las causas legales que motivaban tal medida, la Sala acordó que tenía que cesar la situación de suspensión. Ocurrió que, mientras se tramitaba este proceso, se dictó resolución por quien procedía acordando la separación del servicio del interesado. Siendo así que en el momento de ejecutar la sentencia ya no existía relación funcionarial puesto que se había decretado la separación del servicio, es incuestionable que no puede ejecutarse la sentencia para reponer a alguien en un puesto que ya no tiene. Por lo que se refiere a la segunda de las vulneraciones denunciadas (infracción del art. 23.2 C.E.), sostiene el Ministerio Fiscal que debe ser rechazada, va que si no hay relación de servicio, porque así se ha decretado, es paradójico reclamar la permanencia en un cargo que ya no se tiene. Por todo ello interesa la inadmisión del presente recurso.</w:t>
      </w:r>
    </w:p>
    <w:p w:rsidR="00A12D44" w:rsidRDefault="00A12D44" w:rsidP="00A12D44">
      <w:pPr>
        <w:pStyle w:val="TextoNormal"/>
      </w:pPr>
    </w:p>
    <w:p w:rsidR="00A12D44" w:rsidRDefault="00A12D44" w:rsidP="00A12D44">
      <w:pPr>
        <w:pStyle w:val="TextoNormal"/>
      </w:pPr>
      <w:r w:rsidRPr="00A12D44">
        <w:rPr>
          <w:rStyle w:val="NumeroAFNegritaCaracter"/>
        </w:rPr>
        <w:t>6</w:t>
      </w:r>
      <w:r>
        <w:t>. El recurrente presentó su escrito de alegaciones el 12 de noviembre de 1991. Comienza señalando que la Sentencia penal condenatoria se encuentra pendiente de Sentencia en casación del Tribunal Supremo y que ha interpuesto recurso ante la Audiencia Nacional contra las resoluciones administrativas que sirvieron de fundamento al Auto objeto del presente recurso de amparo. Sostiene que el Auto impugnado es contrario al art. 24.1 de la Constitución, pues, dándose todos los requisitos para que la ejecución se produzca, la Sala declara la imposibilidad de realizarla, amparándose en una resolución administrativa impugnada y sobre la que los Tribunales aún no han realizado el control que la Constitución les encomienda. Dando por reproducidos los argumentos esgrimidos en la demanda res- pecto de la vulneración del derecho establecido en el art. 23.2 de la Constitución, suplica la admisión del recurso y la concesión del amparo solicitado.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la concurrencia de la causa de inadmisión prevista en el art. 50.1 c) de la LOTC e indiciariamente advertida en nuestra providencia de 28 de octubre de 1991.</w:t>
      </w:r>
    </w:p>
    <w:p w:rsidR="00A12D44" w:rsidRDefault="00A12D44" w:rsidP="00A12D44">
      <w:pPr>
        <w:pStyle w:val="TextoNormal"/>
      </w:pPr>
    </w:p>
    <w:p w:rsidR="00A12D44" w:rsidRDefault="00A12D44" w:rsidP="00A12D44">
      <w:pPr>
        <w:pStyle w:val="TextoNormal"/>
      </w:pPr>
      <w:r w:rsidRPr="00A12D44">
        <w:rPr>
          <w:rStyle w:val="NumeroAFNegritaCaracter"/>
        </w:rPr>
        <w:t>2</w:t>
      </w:r>
      <w:r>
        <w:t>. La primera tacha de inconstitucionalidad que denuncia el recurrente consiste en la lesión de su derecho a la ejecución de sentencia. Es cierto, según viene afirmando reiteradamente este Tribunal (SSTC 32/1982, 65/1985, 15/1986, 148/1989, entre otras), que el derecho a la ejecución de las resoluciones judiciales se integra en el derecho a la tutela judicial efectiva reconocido en el art. 24.1 de la Constitución. Pero no es menos cierto, sin embargo, que la inejecución no menoscaba aquel derecho cuando resulta de una imposibilidad física o jurídica y así se acuerda en resolución motivada (STC 155/1985).</w:t>
      </w:r>
    </w:p>
    <w:p w:rsidR="00A12D44" w:rsidRDefault="00A12D44" w:rsidP="00A12D44">
      <w:pPr>
        <w:pStyle w:val="TextoNormal"/>
      </w:pPr>
      <w:r>
        <w:t>En el presente caso, la Sala de lo Contencioso-Administrativo declara de imposible cumplimiento la ejecución de una Sentencia al concurrir una circunstancia sobrevenida que así lo determina, cual es la existencia de una resolución administrativa, posterior a la que fue anulada por la Sentencia cuya ejecución se pretende, que dispone la separación del servicio del recurrente.  Es evidente que el Auto ahora recurrido hubo de declarar la inejecutabilidad de la Sentencia, toda vez que, reconociendo el derecho del funcionario a reincorporarse a su puesto, no podía desconocer su posterior separación del servicio, sustanciada en un procedimiento ajeno y distinto al que dio lugar a la Sentencia cuya ejecución se pretende. En rigor, la resolución judicial que aquí se recurre no deniega la ejecución de la Sentencia, sino que, reiterando el derecho del recurrente a ser reincorporado a su puesto de trabajo, declara que tal derecho sólo puede ejercitarse durante el período en que permaneció en la situación de suspensión provisional como consecuencia del Acuerdo anulado en la Sentencia de 29 de septiembre de 1990 y hasta que se dictó la resolución administrativa de separación del servicio.  Ello implica la imposibilidad de restituirlo efectivamente en su puesto y la consiguiente declaración de que el recurrente tiene derecho a que se practique la oportuna liquidación respecto de las retribuciones dejadas de percibir en el período de tiempo antes mencionado.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Tampoco puede prosperar la segunda tacha de inconstitucionalidad, consistente en la pretendida vulneración del art. 23.2 de la Constitución, que reconoce el derecho a no ser </w:t>
      </w:r>
      <w:r>
        <w:lastRenderedPageBreak/>
        <w:t>removido de cargo público sino mediante causa legal y a través del procedimiento legalmente establecido. La no reincorporación del funcionario ha obedecido en este caso a la existencia de una resolución ministerial frente a la cual no se han agotado, en las vías administrativa y judicial, todos los remedios jurídicos existentes. El Auto aquí recurrido no podía entrar a examinar la legalidad de dicha resolución, sobre cuya corrección habrá de pronunciarse en su día, si llega el caso y a través del procedimiento correspondiente, la jurisdicción ordinaria.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6" w:name="AUTO_1992_5"/>
      <w:r>
        <w:lastRenderedPageBreak/>
        <w:t>AUTO 5/1992, de 13 de enero de 1992</w:t>
      </w:r>
    </w:p>
    <w:bookmarkEnd w:id="76"/>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ECLI:ES:TC:1992:5A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908/1991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Por escrito registrado en este Tribunal el día 6 de mayo de 1991, la Procuradora doña Teresa Uceda Blasco, obrando en nombre y representación de don Pedro J. Ramírez Codina y de «Información y Prensa, S. A.», interpone recurso de amparo contra la Sentencia de la Sala Primera del Tribunal Supremo, de 10 de marzo de 1991, dictada en el recurso de casación núm. 554/89, formulado contra la Sentencia de la Sala Primera de lo Civil de la Audiencia Territorial de Madrid de 5 de julio de 1989. </w:t>
      </w:r>
    </w:p>
    <w:p w:rsidR="00A12D44" w:rsidRDefault="00A12D44" w:rsidP="00A12D44">
      <w:pPr>
        <w:pStyle w:val="TextoNormal"/>
      </w:pPr>
      <w:r>
        <w:t xml:space="preserve">De la demanda y de la resolución judicial que la acompaña resultan los siguientes hechos: </w:t>
      </w:r>
    </w:p>
    <w:p w:rsidR="00A12D44" w:rsidRDefault="00A12D44" w:rsidP="00A12D44">
      <w:pPr>
        <w:pStyle w:val="TextoNormal"/>
      </w:pPr>
      <w:r>
        <w:t xml:space="preserve">A) En las páginas 20 a 23 del suplemento dominical de «Diario 16» correspondiente al 18 de julio de 1982 se publicó un reportaje titulado «Cuando los efebos hacen la carrera ... » y «Desde la miseria hasta la búsqueda del otoñal perdido», relativo a la prostitución masculina en Madrid. En dicho reportaje, y entre otras fotografías que lo ilustraban, aparecía la de un hombre maduro que, al pie de la acera de una calle, se hallaba en posición fronto-lateral respecto de un joven que se encontraba apoyado en la pared sobre dicha acera. Ambos, perfectamente visibles y reconocibles, estaban hablando junto a un cartel de toros. El pie de la foto decía: «El joven, que no tiene reparos en hacer la esquina, ofrece sus servicios previo pago de equis talegos.» </w:t>
      </w:r>
    </w:p>
    <w:p w:rsidR="00A12D44" w:rsidRDefault="00A12D44" w:rsidP="00A12D44">
      <w:pPr>
        <w:pStyle w:val="TextoNormal"/>
      </w:pPr>
      <w:r>
        <w:t xml:space="preserve">B) Por parte de don José Marcos Fuentes se dedujo demanda de protección del derecho al honor, a la intimidad y a la propia imagen, que fue estimada por el Juzgado de Primera Instancia núm. 19 de Madrid en Sentencia de 5 de julio de 1986, que condenó al señor Ramírez Codina, como Director del periódico, y a la empresa «Información y Prensa, S. A.», propietaria del mismo, a abonar al actor la cantidad de 3.500.000 pesetas, más las costas causadas en el procedimiento, y se absolvió a don Juan Tomás de Salas Castellano y a doña María Angeles Mínguez Gutiérrez, ésta autora del reportaje. </w:t>
      </w:r>
    </w:p>
    <w:p w:rsidR="00A12D44" w:rsidRDefault="00A12D44" w:rsidP="00A12D44">
      <w:pPr>
        <w:pStyle w:val="TextoNormal"/>
      </w:pPr>
      <w:r>
        <w:t xml:space="preserve">C) Apelada la anterior resolución, la Audiencia Territorial de Madrid la revocó parcialmente y condenó también a la señora Mínguez a abonar, solidariamente con el Director y la empresa citados, la cantidad antedicha, «sin hacer expresa declaración en las costas de ninguna de las dos instancias ... » (Sentencia de 5 de julio de 1988). Constata la Audiencia que la fotografía publicada, tomada sin su consentimiento, era del actor y su hijo, entonces menor de edad, que, accidental y totalmente ajenos al contenido del reportaje, se encontraban en ese lugar. «En pocas ocasiones se ha encontrado unos hechos el Tribunal que juzga -decía la Sentencia de la Audiencia Territorial- tan claros en la intromisión ilegítima en el </w:t>
      </w:r>
      <w:r>
        <w:lastRenderedPageBreak/>
        <w:t xml:space="preserve">ámbito de protección del derecho fundamental al honor, a la intimidad personal y a la propia imagen del actor, encajado en los supuestos 5 y 7 del art. 7 de la Ley citada «(la L.O. 1/1982, de 5 de mayo) en base a las siguientes circunstancias: 1.ª) que se ha captado, reproducido y publicado la fotografía en la que aparece la imagen del actor y su hijo, entonces menor de edad, no sólo sin su consentimiento, sino incluso su conocimiento, y al parecer cuando iban a buscar unas entradas de toros a la calle de la Victoria; 2.ª) que esa fotografía se encaja y publica para ilustrar un texto sobre prostitución masculina, formando en un todo el aludido reportaje que en él aparece, y que las personas que en él aparecen están inmersas en ese mundo y conductas de prostitución masculina; 3.ª) que en el caso de autos no hay colisión alguna con el también derecho fundamental a la información desde el momento en que, en primer lugar, esta información no es veraz, porque el actor y su hijo nada -tienen que ver con lo que se relata en el reportaje; en segundo lugar, porque la foto que aparece es totalmente innecesaria a efectos de la información que contiene dicho reportaje, o, en su caso, se debió y pudo con los medios técnicos a la fácil disposición de los responsables demandados que no fueran reconocidos o identificables las personas que nítidamente aparecen en la imagen, como incluso ocurre con el resto de las fotografías del reportaje.» </w:t>
      </w:r>
    </w:p>
    <w:p w:rsidR="00A12D44" w:rsidRDefault="00A12D44" w:rsidP="00A12D44">
      <w:pPr>
        <w:pStyle w:val="TextoNormal"/>
      </w:pPr>
      <w:r>
        <w:t xml:space="preserve">Añadía la Audiencia que había de considerarse ajustada la cantidad fijada en la Sentencia de instancia, teniendo en cuenta la naturaleza concreta de intromisión ilegítima cometida, ya que la sociedad, pese a la apertura de costumbres, sigue estimado esas conductas altamente difamantes y desmerecedoras y porque la publicación aparece en un periódico de ámbito nacional y además en el suplemento dominical que es de mayor tirada. </w:t>
      </w:r>
    </w:p>
    <w:p w:rsidR="00A12D44" w:rsidRDefault="00A12D44" w:rsidP="00A12D44">
      <w:pPr>
        <w:pStyle w:val="TextoNormal"/>
      </w:pPr>
      <w:r>
        <w:t>D) Frente a la Sentencia de la Audiencia Territorial de Madrid se interpuso por los solicitantes de amparo recurso de casación. La Sala Primera del Tribunal Supremo, por Sentencia de 10 de marzo de 1991, declaró no haber lugar al mismo, confirmando íntegramente la resolución impugnada. Entre otras consideraciones, el Alto Tribunal fundamentó su decisión en las siguientes: 1.ª con el reportaje se produjo la intromisión ilegítima condenada en los núms. 5 y 7 del art. 7 de la Ley Orgánica 1/1982, consistente en una reproducción fotográfica de la imagen de una persona en lugares propios de su vida privada. siendo asimismo tal divulgación difamatoria para el honor de los interesados, «por cuanto no puede existir una calificación más nítida... que se ajuste a la publicación de ese reportaje en donde en relación con un asunto tan reprobable como es el referido al reportaje en cuestión, se inserta la fotografía del actor con su hijo con un pie en donde se especifica y lee un texto clarísimamente alusivo a la dedicación a ese agiotaje socialmente condenado». 2.ª no cabe entender que nos encontremos ante la habilitación contenida en el art. 8.2. c) de la L.O. 1/1982, ya que la imagen de las personas afectadas no sólo no era necesaria para el enriquecimiento del reportaje, sino que no aparece como meramente accesoria al mismo, «ya que, por las circunstancias de dicha fotografía, que ocupa prácticamente la mitad de una página, destaca, pues, esa situación predominante que viene como a informar el sentido de todo el reportaje»; 3. resulta sintomático que la fotografía -aun careciendo de la individualización denominativa de ambos interesados- sea de tal pureza a efectos de su reconocibilidad que cualquier persona allegada al mundo de relaciones de los afectados puede identificarla perfectamente, «esto es, se trata de un reportaje fotográfico que, pese a omitir el nombre de los interesados, por la nitidez de su técnica de impresión. conduce a esa plena identificabilidad, circunstancia ésta que destaca, sobre todo, porque... en la página de al lado, en concreto en la 23, también se inserta otra fotografía de presuntos implicados en ese tráfico, con una especie de impresión más o menos borrosa que enmascara la identificación facial de los mismos»; 4.ª no es posible aceptar que con el reportaje se pre</w:t>
      </w:r>
      <w:r>
        <w:lastRenderedPageBreak/>
        <w:t>tendiera coadyuvar a la formación de la opinión social de los lectores reconocida constitucionalmente y propia de cualquier Estado democrático, porque «el reportaje podía perfectamente cumplir esa misión sin necesidad de insertar tal fotografía controvertida con los perfiles de identificación totalmente delatores»; 5.ª por último, «con la más mínima diligencia profesional periodística se debía, antes de insertar la imagen de los interesados, o bien comprobar si los mismos realmente se dedicaban a dicho tráfico (lo cual, en algún sentido, es disculpable de que no se hiciese por el gran anonimato propio de una macrourbe como es la de la capital de España) o que con una elemental prudencia se pudiera haber atenuado la identidad facial de los afectados, con lo cual se hubiera asimismo evitado la clarísima intromisión ilegítima que por esa inserción ha producido en el honor de los actores ... ».</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En su demanda de amparo, los recurrentes alegan cuanto a continuación y de forma resumida se expone: </w:t>
      </w:r>
    </w:p>
    <w:p w:rsidR="00A12D44" w:rsidRDefault="00A12D44" w:rsidP="00A12D44">
      <w:pPr>
        <w:pStyle w:val="TextoNormal"/>
      </w:pPr>
      <w:r>
        <w:t xml:space="preserve">A) El recurso tiene por objeto la protección frente a la violación de los derechos a expresar y difundir libremente pensamientos, ideas y opiniones mediante la palabra, el escrito o cualquier otro medio de reproducción y a comunicar o recibir libremente información veraz por cualquier medio de comunicación (art. 20.1 de la C.E.). Se entiende asimismo vulnerado el art. 24.1 de la C.E. </w:t>
      </w:r>
    </w:p>
    <w:p w:rsidR="00A12D44" w:rsidRDefault="00A12D44" w:rsidP="00A12D44">
      <w:pPr>
        <w:pStyle w:val="TextoNormal"/>
      </w:pPr>
      <w:r>
        <w:t xml:space="preserve">El reportaje versaba sobre unos hechos de gran trascendencia e interés informativo, excediendo de lo que se denomina noticia o comunicado. Por consiguiente, había de ir redactado y con el soporte gráfico propio de un dominical, de tal forma que pudiera situar al lector frente a los acontecimientos de los que se trataba de informar y no cabe duda de que es absolutamente necesario, desde la construcción periodística, el concretar informaciones relativas a la personalidad de los principales protagonistas de tan desgraciada profesión. </w:t>
      </w:r>
    </w:p>
    <w:p w:rsidR="00A12D44" w:rsidRDefault="00A12D44" w:rsidP="00A12D44">
      <w:pPr>
        <w:pStyle w:val="TextoNormal"/>
      </w:pPr>
      <w:r>
        <w:t xml:space="preserve">Ya en el escrito de contestación a la demanda se negaba que las personas que aparecen en la fotografía se correspondiesen con el actor y su hijo. Además, ni en el texto ni en la fotografía se aludía al demandante. La declaración que aparece dentro del recuadro de la fotografía se concreta a uno de los entrevistados por la autora del reportaje, que aparece bajo las iniciales E.C.G., las cuales no tenían correspondencia con las del actor. Ninguna prueba de las llevadas a efecto ante el Juzgado de Primera Instancia acreditaba que el actor era precisamente el hombre maduro que aparecía en la fotografía. En la Sentencia pronunciada por dicho Juzgado no se indica cómo había llegado el juzgador a la conclusión de tal identidad, siendo de advertir que ninguna fotografía autenticada del actor había sido llevaba a los autos y que el actor ni siquiera había hecho acto de presencia ante el Juez. </w:t>
      </w:r>
    </w:p>
    <w:p w:rsidR="00A12D44" w:rsidRDefault="00A12D44" w:rsidP="00A12D44">
      <w:pPr>
        <w:pStyle w:val="TextoNormal"/>
      </w:pPr>
      <w:r>
        <w:t xml:space="preserve">B) El periodista, como depositario de un derecho ajeno protegido por la Constitución como uno de los valores fundamentales de toda sociedad democrática, tiene el deber de informar de cualquier hecho de trascendencia social e interés informativo, y solamente desde la perspectiva del ejercicio de este derecho se puede considerar la información publicada en «Diario 16» en relación con el ejercicio de la prostitución masculina. </w:t>
      </w:r>
    </w:p>
    <w:p w:rsidR="00A12D44" w:rsidRDefault="00A12D44" w:rsidP="00A12D44">
      <w:pPr>
        <w:pStyle w:val="TextoNormal"/>
      </w:pPr>
      <w:r>
        <w:t xml:space="preserve">El derecho constitucional de difundir libremente información veraz cumple este requisito cuando la imputación, en principio constitutiva de intromisión ilegítima, se fundamenta en indicios de veracidad, y en ningún momento ha sido probado que fuera el actor el fotografiado, debiendo añadirse que la crítica que a través del ejercicio del derecho de difusión e información se ejerce no debe confundirse con la difamación, sobre todo si se dirige a cumplimentar el derecho de los ciudadanos a un mejor conocimiento de la realidad social, puesto que la finalidad perseguida por el medio de difusión era la que la Constitución le atribuye como derecho fundamental. </w:t>
      </w:r>
    </w:p>
    <w:p w:rsidR="00A12D44" w:rsidRDefault="00A12D44" w:rsidP="00A12D44">
      <w:pPr>
        <w:pStyle w:val="TextoNormal"/>
      </w:pPr>
      <w:r>
        <w:lastRenderedPageBreak/>
        <w:t xml:space="preserve">Solamente le es exigible al periodista la veracidad de su información y que la misma se refiera a hechos de trascendencia social e interés informativo, supuestos que se dan cumplidamente en el reportaje. De todos modos, un cierto margen de error -que, en todo caso, y en la información publicada, no se ha producido- es admisible, y así lo reconoce expresamente la STC 6/1988. </w:t>
      </w:r>
    </w:p>
    <w:p w:rsidR="00A12D44" w:rsidRDefault="00A12D44" w:rsidP="00A12D44">
      <w:pPr>
        <w:pStyle w:val="TextoNormal"/>
      </w:pPr>
      <w:r>
        <w:t xml:space="preserve">Por ello, la calificación de intromisión ilegítima que se ha hecho del reportaje vulnera el derecho a informar y a recibir información veraz. </w:t>
      </w:r>
    </w:p>
    <w:p w:rsidR="00A12D44" w:rsidRDefault="00A12D44" w:rsidP="00A12D44">
      <w:pPr>
        <w:pStyle w:val="TextoNormal"/>
      </w:pPr>
      <w:r>
        <w:t xml:space="preserve">Concluye la demanda con la súplica de que se dicte Sentencia otorgando el amparo con el siguiente pronunciamiento: declarar que la Sentencia del Tribunal Supremo, que confirma a su vez la de la Audiencia Territorial y la del Juzgado, ha violado los derechos fundamentales a la libertad de expresión del art. 20.1 a) y d) C.E. y a la tutela efectiva de los Tribunales del art. 24.1 C.E., «declarando la nulidad de las Sentencias anteriores». </w:t>
      </w:r>
    </w:p>
    <w:p w:rsidR="00A12D44" w:rsidRDefault="00A12D44" w:rsidP="00A12D44">
      <w:pPr>
        <w:pStyle w:val="TextoNormal"/>
      </w:pPr>
      <w:r>
        <w:t>Por medio de otrosí, se interesa la suspensión de la Sentencia de 5 de julio de 1988 por el perjuicio irreparable que su ejecución puede ocasionar a los demandantes.</w:t>
      </w:r>
    </w:p>
    <w:p w:rsidR="00A12D44" w:rsidRDefault="00A12D44" w:rsidP="00A12D44">
      <w:pPr>
        <w:pStyle w:val="TextoNormal"/>
      </w:pPr>
    </w:p>
    <w:p w:rsidR="00A12D44" w:rsidRDefault="00A12D44" w:rsidP="00A12D44">
      <w:pPr>
        <w:pStyle w:val="TextoNormal"/>
      </w:pPr>
      <w:r w:rsidRPr="00A12D44">
        <w:rPr>
          <w:rStyle w:val="NumeroAFNegritaCaracter"/>
        </w:rPr>
        <w:t>3</w:t>
      </w:r>
      <w:r>
        <w:t>. Mediante providencia de 20 de mayo de 1991, acordó la Sección tener por interpuesto el presente recurso, así como, a tenor de lo dispuesto en el art. 50.5 de la Ley Orgánica del Tribunal Constitucional (LOTC), conceder un plazo de diez días a la Procuradora doña Teresa Uceda Blasco para que dentro de dicho término presentara el poder acreditativo de su representación. Con fecha de registro del siguiente 5 de junio, compareció la citada Procuradora aportando poder otorgado por «Información y Prensa, S. A.». Por providencia de 4 de, julio, se tuvo a la señora Uceda por personada y parte en nombre y representación de los actores, a quienes, a tenor de lo dispuesto en el art. 50.5 de la LOTC, se otorgó un plazo de diez días para que aportasen copia o testimonio de las Sentencias dictadas por el Juzgado de Primera Instancia y por la Audiencia Territorial, así como que acreditasen haber efectuado la invocación que prescribe el art. 44.1 c) de la LOTC. Igualmente, y de conformidad con el art. 50.3 LOTC, se concedió a los actores y al Ministerio Fiscal el mismo plazo para alegar lo que estimasen procedente sobre el motivo de inadmisión contemplado en el art. 50.1 c) de dicha Ley.</w:t>
      </w:r>
    </w:p>
    <w:p w:rsidR="00A12D44" w:rsidRDefault="00A12D44" w:rsidP="00A12D44">
      <w:pPr>
        <w:pStyle w:val="TextoNormal"/>
      </w:pPr>
    </w:p>
    <w:p w:rsidR="00A12D44" w:rsidRDefault="00A12D44" w:rsidP="00A12D44">
      <w:pPr>
        <w:pStyle w:val="TextoNormal"/>
      </w:pPr>
      <w:r w:rsidRPr="00A12D44">
        <w:rPr>
          <w:rStyle w:val="NumeroAFNegritaCaracter"/>
        </w:rPr>
        <w:t>4</w:t>
      </w:r>
      <w:r>
        <w:t>. Los recurrentes formularon sus alegaciones mediante escrito presentado el 19 de julio, en el cual, luego de resaltar que la información publicada, referente al tema de la prostitución masculina, era de indudable interés y de trascendencia pública y tras citar jurisprudencia de este Tribunal, terminan suplicando que se declare que la demanda tiene contenido constitucional y, por tanto, que en su día se dicte Sentencia por la que se les otorgue el amparo solicitado.</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Ministerio Fiscal evacuó el trámite conferido por escrito registrado el día 26 de julio de 1991, en el que entiende procedente que se acuerde la inadmisión del recurso. Observa el Fiscal que los fotografiados en ningún momento prestaron su consentimiento para la publicación de su imagen, y menos para verse involucrados en un tema como el del reportaje. En cuanto a la alegada quiebra del art. 24.1 C.E., no procede entrar en su consideración, dado que no fue objeto de invocación en la vía judicial. A mayor abundamiento, tal supuesta quiebra vendría ocasionada por la falta de correspondencia de la imagen de los actores civiles con la publicada y la ausencia de prueba al respecto, cuando en realidad las Sentencias la declaran como hecho probado, con expresión de los diversos elementos probatorios de que se han servido para llegar a esa conclusión. </w:t>
      </w:r>
    </w:p>
    <w:p w:rsidR="00A12D44" w:rsidRDefault="00A12D44" w:rsidP="00A12D44">
      <w:pPr>
        <w:pStyle w:val="TextoNormal"/>
      </w:pPr>
      <w:r>
        <w:lastRenderedPageBreak/>
        <w:t xml:space="preserve">Tampoco se aprecia vulneración alguna de la libertad de expresión, que es el derecho alegado, ni de la libertad de información, como con más propiedad debería haberse invocado, pues efectivamente la información no es veraz en sí misma, por cuanto no coincide con la realidad, ni ha existido la actitud diligente por parte del informador a que alude la STC 6/1988. </w:t>
      </w:r>
    </w:p>
    <w:p w:rsidR="00A12D44" w:rsidRDefault="00A12D44" w:rsidP="00A12D44">
      <w:pPr>
        <w:pStyle w:val="TextoNormal"/>
      </w:pPr>
      <w:r>
        <w:t>La ponderación entre los derechos del art. 18.1 y las libertades del art. 20.1 C.E. está perfectamente efectuada por los órganos jurisdiccionales, siendo irreprochable y totalmente conforme con los postulados constitucionales.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Los actores invocan la lesión de su derecho fundamental a la tutela judicial efectiva (art. 24.1 de la Constitución), y en el inicio de su escrito de demanda imputan dicha lesión a la Sentencia pronunciada por la Sala Primera del Tribunal Supremo. Sin embargo, en la fundamentación jurídica del recurso no se contiene argumento alguno que trate de demostrar la existencia de tal infracción. Las únicas argumentaciones que podrían guardar relación con la mencionada queja se refieren a la pretendida falta de eficacia de las pruebas practicadas en primera instancia para acreditar la identidad del actor civil como una de las personas que aparecieron en la fotografía litigiosa. Este problema fue tratado por el juzgador de la apelación (fundamento 3. de la Sentencia de la Sala Primera de lo Civil de la Audiencia Territorial de Madrid, de 5 de julio de 1988) al analizar la alegada falta de legitimación activa de don José Marcos Fuentes para promover el proceso ordinario. Ahora bien, ni el examen de esta cuestión por la Audiencia se efectuó desde la óptica del art.  24.1 de la Constitución, ya que los recurrentes eludieron tal planteamiento al formular su pretensión -lo que determina ahora, en esta vía de amparo, el incumplimiento del requisito de invocación establecido en el art. 44.1 c) de la LOTC-, ni la vulneración de ese concreto precepto constitucional figura tampoco entre los motivos del recurso de casación examinados en la Sentencia del Tribunal Supremo. De todo ello se desprende que, atendida la naturaleza subsidiaria del recurso de amparo ante este Tribunal, nada cabe declarar aquí acerca de la entidad real de la lesión denunciada, toda vez que frente a la misma no se impetró en su momento la tutela de los órganos judiciales ordinarios.</w:t>
      </w:r>
    </w:p>
    <w:p w:rsidR="00A12D44" w:rsidRDefault="00A12D44" w:rsidP="00A12D44">
      <w:pPr>
        <w:pStyle w:val="TextoNormal"/>
      </w:pPr>
    </w:p>
    <w:p w:rsidR="00A12D44" w:rsidRDefault="00A12D44" w:rsidP="00A12D44">
      <w:pPr>
        <w:pStyle w:val="TextoNormal"/>
      </w:pPr>
      <w:r w:rsidRPr="00A12D44">
        <w:rPr>
          <w:rStyle w:val="NumeroAFNegritaCaracter"/>
        </w:rPr>
        <w:t>2</w:t>
      </w:r>
      <w:r>
        <w:t>. El principal motivo de la queja de amparo, al cual la demanda dedica la mayor parte de su razonamiento, se refiere a la pretendida lesión de las libertades de expresión y de información; mas en realidad es esta última libertad la directamente concernida, pues el supuesto enjuiciado en la vía jurisdiccional consistió en la publicación por un periódico diario de una información gráfica relativa a unos hechos.</w:t>
      </w:r>
    </w:p>
    <w:p w:rsidR="00A12D44" w:rsidRDefault="00A12D44" w:rsidP="00A12D44">
      <w:pPr>
        <w:pStyle w:val="TextoNormal"/>
      </w:pPr>
      <w:r>
        <w:t xml:space="preserve">Según reiterada doctrina constitucional, que recoge y confirma, entre otras, la STC 172/1990 (fundamentos jurídicos 2. y 3. ), la libertades del art. 20 de la Constitución no sólo son derechos fundamentales de cada ciudadano, sino también condición de existencia de la opinión pública libre, indisolublemente unida al pluralismo político, que es un valor fundamental y requisito de funcionamiento de Estado democrático, lo que, en principio, hace ocupar a tales libertades una posición preferente en su eventual conflicto con los derechos de la personalidad garantizados en el art. 18.1 del Texto constitucional. Ello no obstante, por lo que atañe a la libertad de información, es evidente que la legitimidad de su ejercicio requiere necesariamente, por imponerlo así la propia Constitución, que la información comunicada sea veraz. Ciertamente, esta exigencia constitucional no implica que </w:t>
      </w:r>
      <w:r>
        <w:lastRenderedPageBreak/>
        <w:t>los hechos contenidos en la información sean rigurosamente verdaderos, sino que sólo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de lo comunicado, comportándose de manera negligente e irresponsable al transmitir como hechos verdaderos simples rumores carentes de toda constatación o meras invenciones insidiosas.</w:t>
      </w:r>
    </w:p>
    <w:p w:rsidR="00A12D44" w:rsidRDefault="00A12D44" w:rsidP="00A12D44">
      <w:pPr>
        <w:pStyle w:val="TextoNormal"/>
      </w:pPr>
      <w:r>
        <w:t>Ha de añadirse a lo anterior que «el deber de diligencia en la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o inveracidad, en cuanto que la obligación de contrastar la verosimilitud de la noticia es un deber propio y específico de cada informador, que es el que está ejerciendo el derecho a informar y, por tanto, aquel al que incumbre no exceder sus límites, evitando la propagación de noticias que... no se ha preocupado de contrastar con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 (STC 172/1990).</w:t>
      </w:r>
    </w:p>
    <w:p w:rsidR="00A12D44" w:rsidRDefault="00A12D44" w:rsidP="00A12D44">
      <w:pPr>
        <w:pStyle w:val="TextoNormal"/>
      </w:pPr>
    </w:p>
    <w:p w:rsidR="00A12D44" w:rsidRDefault="00A12D44" w:rsidP="00A12D44">
      <w:pPr>
        <w:pStyle w:val="TextoNormal"/>
      </w:pPr>
      <w:r w:rsidRPr="00A12D44">
        <w:rPr>
          <w:rStyle w:val="NumeroAFNegritaCaracter"/>
        </w:rPr>
        <w:t>3</w:t>
      </w:r>
      <w:r>
        <w:t>. En el supuesto que nos ocupa, el periódico «Diario 16» publicó un reportaje sobre la prostitución masculina en Madrid, dentro del cual se insertó una fotografía que llevaba un pie alusivo al presunto trato sexual mediante precio que entre los protagonistas de la imagen -un hombre maduro y un joven- se estaría concertando. Tal información se reveló, sin embargo, incierta al tratarse las personas fotografiadas de don José Marcos Fuentes y de su hijo, a la sazón menor de edad, que se hallaban accidentalmente en el lugar con fines completamente ajenos al contenido del reportaje. Constatada por los órganos judiciales la completa inveracidad de la noticia difundida (constatación que no cabe discutir ni revisar en esta vía de amparo), es claro que los aquí actores no se encuentran amparados por la libertad de información que proclama el art.  20.1 d) de la Constitución, precepto que, como hemos recordado, únicamente protege la libre comunicación de informaciones veraces. Una cosa es que no haya coincidencia -ni resulte exigible- entre veracidad y exactitud, y otra muy distinta que se difunda una imagen y un texto de indudable incidencia lesiva en honor de las personas concernidas sin una previa comprobación del carácter veraz de tal información. Los actores no obraron con la diligencia debida para depurar la fuente de la noticia y la acomodación de ésta a la realidad fáctica, procediendo a la publicación de la fotografía sin ni siquiera disminuir la identicabilidad de las imágenes captadas. Esta reprochable conducta justifica sin ninguna duda que en las diferentes instancias juduciales se calificase la publicación gráfica como intromisión ilegítima en el honor, y ello hace evidente también al manifiesta carencia de contenido constitucional de la presente demanda de amparo.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7" w:name="AUTO_1992_6"/>
      <w:r>
        <w:lastRenderedPageBreak/>
        <w:t>AUTO 6/1992, de 13 de enero de 1992</w:t>
      </w:r>
    </w:p>
    <w:bookmarkEnd w:id="77"/>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ECLI:ES:TC:1992:6A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1.352/1991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don José Ignacio de Noriega Arquer, en nombre y representación de don Aquilino Argüelles Aller, por escrito que tuvo entrada en este Tribunal el 21 de junio de 1991, interpone recurso de amparo contra el Auto de la Sección Cuarta de la Audiencia Provincial de Oviedo que inadmite la solicitud de nulidad de actuaciones judiciales en procedimiento del art. 131 de la Ley Hipotecaria del Juzgado de Primera Instancia núm. 2 de los de Gijón.</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que sirven de base a la demanda son, en síntesis, los siguientes: </w:t>
      </w:r>
    </w:p>
    <w:p w:rsidR="00A12D44" w:rsidRDefault="00A12D44" w:rsidP="00A12D44">
      <w:pPr>
        <w:pStyle w:val="TextoNormal"/>
      </w:pPr>
      <w:r>
        <w:t xml:space="preserve">a) El recurrente concurrió como postor a la subasta judicial celebrada en el Juzgado de Primera Instancia núm. 2 de Gijón, en los autos de juicio del art. 131 de la Ley Hipotecaria núm. 343/86, consignando la suma de 1.950.000 pesetas. en cuanto superior al 20 por 1 00 del tipo fijado. </w:t>
      </w:r>
    </w:p>
    <w:p w:rsidR="00A12D44" w:rsidRDefault="00A12D44" w:rsidP="00A12D44">
      <w:pPr>
        <w:pStyle w:val="TextoNormal"/>
      </w:pPr>
      <w:r>
        <w:t xml:space="preserve">b) Aprobado el remate a favor de otro postor, y quedando su postura en segundo lugar,pidió la devolución de aquel depósito, a lo que accedió el Juzgado. </w:t>
      </w:r>
    </w:p>
    <w:p w:rsidR="00A12D44" w:rsidRDefault="00A12D44" w:rsidP="00A12D44">
      <w:pPr>
        <w:pStyle w:val="TextoNormal"/>
      </w:pPr>
      <w:r>
        <w:t xml:space="preserve">c)Quebrada la subasta por el primer postor, la parte actora del procedimiento plantea recurso de reposición contra la referida devolución del depósito, y el Juez acuerda mediante Auto -cuya fecha no consta- el reintegro de tal depósito y la consiguiente aprobación del remate a favor del ahora recurrente. </w:t>
      </w:r>
    </w:p>
    <w:p w:rsidR="00A12D44" w:rsidRDefault="00A12D44" w:rsidP="00A12D44">
      <w:pPr>
        <w:pStyle w:val="TextoNormal"/>
      </w:pPr>
      <w:r>
        <w:t xml:space="preserve">d) Este recibe un requerimiento para que deposite en el Juzgado la cantidad devuelta, al que hace caso omiso. </w:t>
      </w:r>
    </w:p>
    <w:p w:rsidR="00A12D44" w:rsidRDefault="00A12D44" w:rsidP="00A12D44">
      <w:pPr>
        <w:pStyle w:val="TextoNormal"/>
      </w:pPr>
      <w:r>
        <w:t xml:space="preserve">e) Como dicho demandante no consignó, no pudo aprobarse el remate a su favor, por lo que celebrada una segunda subasta en quiebra, se adjudicó a un tercero la finca subastada. </w:t>
      </w:r>
    </w:p>
    <w:p w:rsidR="00A12D44" w:rsidRDefault="00A12D44" w:rsidP="00A12D44">
      <w:pPr>
        <w:pStyle w:val="TextoNormal"/>
      </w:pPr>
      <w:r>
        <w:t xml:space="preserve">f) Planteado por el deudor ejecutado incidente de reintegro de depósito, el referido Juzgado acuerda no haber lugar a dicho reintegro, y formulado contra este último recurso de apelación, la Audiencia Provincial, Sección Cuarta, mediante Auto de 17 de diciembre de 1990, acuerda que don Aquilino Argüelles reponga la cantidad que originariamente había consignado en depósito, a lo que se le requiere con apercibimiento de embargo. </w:t>
      </w:r>
    </w:p>
    <w:p w:rsidR="00A12D44" w:rsidRDefault="00A12D44" w:rsidP="00A12D44">
      <w:pPr>
        <w:pStyle w:val="TextoNormal"/>
      </w:pPr>
      <w:r>
        <w:t xml:space="preserve">g) Es entonces cuando tal demandante de amparo presenta escrito a fin de que se le tenga por comparecido y por parte en el proceso, solicitud a la que no se da lugar mediante providencia de 24 de abril de 1991 en virtud de no ser aquél parte constitutiva de la relación jurídica. </w:t>
      </w:r>
    </w:p>
    <w:p w:rsidR="00A12D44" w:rsidRDefault="00A12D44" w:rsidP="00A12D44">
      <w:pPr>
        <w:pStyle w:val="TextoNormal"/>
      </w:pPr>
      <w:r>
        <w:lastRenderedPageBreak/>
        <w:t>h) Presentada primero ante el Juzgado y posteriormente ante la Audiencia Provincial, solicitud de nulidad de actuaciones, tal solicitud se inadmite por el primero y se deniega mediante Auto de 27 de mayo de 1991 de tal Audiencia Provincial, que se fundamenta en que como en las actuaciones se había dictado resolución definitiva el 17 de diciembre de 1990, no era posible entrar a analizar ahora las supuestas infracciones procesales.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se alega la vulneración del derecho de tutela judicial efectiva sin indefensión del art. 24.1 C.E., solicitándose la declaración de nulidad de todas las actuaciones judiciales «desde el momento en que se produjo indefensión» y especialmente del Auto que puso término al incidente de reintegro de depósito, así como la suspensión de ejecución del referido Auto. </w:t>
      </w:r>
    </w:p>
    <w:p w:rsidR="00A12D44" w:rsidRDefault="00A12D44" w:rsidP="00A12D44">
      <w:pPr>
        <w:pStyle w:val="TextoNormal"/>
      </w:pPr>
      <w:r>
        <w:t>Tal lesión del art. 24.1 C. E. se considera originada porque el demandante no ha sido llamado en ningún momento al proceso, ni en primera ni en segunda instancia, a pesar de que lo discutido son sus propios intereses patrimoniales, impidiéndole su defensa y audiencia. En efecto, ni el recurso de reposición ni el Auto en el que se aprueba el remate a su favor, se le notifican, por lo que se celebra la segunda subasta sin previamente darle la oportunidad de consignar en el plazo de ocho días la totalidad del precio, y de las actuaciones referentes al incidente de reintegro de depósito tampoco ninguna le fue notificada, ni siquiera el Auto que ordenaba tal reintegro. Lo único que recibió fue un requerimiento para que entregara una cantidad, con amenaza de embargo.</w:t>
      </w:r>
    </w:p>
    <w:p w:rsidR="00A12D44" w:rsidRDefault="00A12D44" w:rsidP="00A12D44">
      <w:pPr>
        <w:pStyle w:val="TextoNormal"/>
      </w:pPr>
    </w:p>
    <w:p w:rsidR="00A12D44" w:rsidRDefault="00A12D44" w:rsidP="00A12D44">
      <w:pPr>
        <w:pStyle w:val="TextoNormal"/>
      </w:pPr>
      <w:r w:rsidRPr="00A12D44">
        <w:rPr>
          <w:rStyle w:val="NumeroAFNegritaCaracter"/>
        </w:rPr>
        <w:t>4</w:t>
      </w:r>
      <w:r>
        <w:t>. El día 25 de noviembre de 1991 se dictó providencia concediendo al demandante de amparo y al Ministerio Fiscal un plazo común de diez días para alegar sobre la posible concurrencia de la causa de inadmisibilidad prevista en el art. 50.1 c) LOTC, por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día 4 de diciembre siguiente, el Ministerio Fiscal presentó ante este Tribunal su escrito de alegaciones. Considera el Ministerio Público que como el amparo se dirige contra el Auto de la Audiencia que deniega la petición de nulidad de actuaciones, es constitucionalmente correcto el razonamiento de la Sala en el sentido de que al haberse dictado en el proceso resolución definitiva, tal petición de nulidad de actuaciones era improcedente. </w:t>
      </w:r>
    </w:p>
    <w:p w:rsidR="00A12D44" w:rsidRDefault="00A12D44" w:rsidP="00A12D44">
      <w:pPr>
        <w:pStyle w:val="TextoNormal"/>
      </w:pPr>
      <w:r>
        <w:t xml:space="preserve">De otra parte, continúa el Fiscal, en el procedimiento judicial sumario del art. 131 de la Ley Hipotecaria todas las cuestiones que se susciten deben resolverse en el juicio declarativo correspondiente -art. 132 de la Ley Hipotecaria-, y es precisamente esta última posibilidad la que hace que tal procedimiento, de naturaleza ejecutiva y en el que están limitados los derechos de defensa del deudor hipotecario, del tercer poseedor de la finca y de los demás interesados, no vulnere el derecho fundamental de defensa que garantiza la Constitución. El procedimiento sólo se suspenderá si concurre alguna de las causas del art. 132 de la Ley Hipotecaria -no pueden suscitarse ni incidentes, ni tercerías, ni nulidades de actuaciones-, y tal limitación de la contradicción tiene como consecuencia que la decisión que pone término al proceso carezca de valor de cosa juzgada. </w:t>
      </w:r>
    </w:p>
    <w:p w:rsidR="00A12D44" w:rsidRDefault="00A12D44" w:rsidP="00A12D44">
      <w:pPr>
        <w:pStyle w:val="TextoNormal"/>
      </w:pPr>
      <w:r>
        <w:t>Por lo expuesto, concluye solicitando la inadmisión a trámite de la demanda por su carencia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La representación actora, en su escrito presentado el 12 de diciembre de 1991 formuló alegaciones en las que reproduce, sustancialmente, las efectuadas en la demanda y en las que considera que no concurre la causa de inadmisión del art. 50.1 c) LOTC. Insiste </w:t>
      </w:r>
      <w:r>
        <w:lastRenderedPageBreak/>
        <w:t xml:space="preserve">en la gravísima indefensión que se le ha causado en el procedimiento, en el que no obstante discutirse sobre sus derechos patrimoniales -se le ha condenado a la entrega de la cantidad de 1.950.000 pesetas-, ni siquiera se le ha permitido la posibilidad de ser oído, pues ni se le ha efectuado notificación ninguna, ni tampoco se le ha permitido recurso alguno. </w:t>
      </w:r>
    </w:p>
    <w:p w:rsidR="00A12D44" w:rsidRDefault="00A12D44" w:rsidP="00A12D44">
      <w:pPr>
        <w:pStyle w:val="TextoNormal"/>
      </w:pPr>
      <w:r>
        <w:t>Invoca además que en el procedimiento judicial se han producido una serie de graves irregularidades procesales, que le han causado enormes perjuicios económicos, y ello es contrario a la doctrina del Tribunal Constitucional conforme a lo cual los errores de los órganos judiciales no deben producir efectos negativos en la esfera jurídica del ciudadano.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Puesta de manifiesto, al recurrente y al Ministerio Fiscal, en nuestra providencia de 25 de noviembre de 1991, la posible concurrencia de la causa de inadmisión prevista en el art. 50. 1 c) LOTC, para que formulasen las alegaciones que tuvieran por conveniente, ha de apreciarse la carencia manifiesta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2</w:t>
      </w:r>
      <w:r>
        <w:t>. El recurrente en amparo alega que se le ha causado indefensión al no dársele la posibilidad de defender sus intereses en el procedimiento judicial sumario del art. 131 de la Ley Hipotecaria. En concreto, entiende que ha sido condenado al reintegro de la suma de 1.950.000 pesetas sin ser oído, esto es, sin que se le notificara ninguna de las actuaciones judiciales: ni el Auto en el que se acuerda aquél, ni tampoco ninguno de los trámites del incidente de reintegro de depósito.</w:t>
      </w:r>
    </w:p>
    <w:p w:rsidR="00A12D44" w:rsidRDefault="00A12D44" w:rsidP="00A12D44">
      <w:pPr>
        <w:pStyle w:val="TextoNormal"/>
      </w:pPr>
      <w:r>
        <w:t>Sin embargo, basta la lectura del ordinal 15 del art. 131 de la Ley Hipotecaria, concretamente en su párrafo tercero, para concluir que el Juzgado de Primera Instancia no estaba obligado a notificar la resolución judicial en la que se acordaba el repetido reintegro -y la consiguiente aprobación del remate a su favor-, siendo suficiente con que se le requiera para ello tal y como se hizo. De otra parte, el solicitante de amparo, al retirar el depósito y no devolverlo a pesar de ser requerido para ello -lo cual tuvo como consecuencia la imposibilidad de que fuera aprobado el remate en su favor, y el tener que celebrarse una segunda subasta, en la que se adjudicó el bien a un tercero- no fue parte constitutiva de la relación jurídica, tal y como se señala por el órgano judicial, de lo que también se desprende que no era obligado notificarle ninguna de las resoluciones recaídas.</w:t>
      </w:r>
    </w:p>
    <w:p w:rsidR="00A12D44" w:rsidRDefault="00A12D44" w:rsidP="00A12D44">
      <w:pPr>
        <w:pStyle w:val="TextoNormal"/>
      </w:pPr>
    </w:p>
    <w:p w:rsidR="00A12D44" w:rsidRDefault="00A12D44" w:rsidP="00A12D44">
      <w:pPr>
        <w:pStyle w:val="TextoNormal"/>
      </w:pPr>
      <w:r w:rsidRPr="00A12D44">
        <w:rPr>
          <w:rStyle w:val="NumeroAFNegritaCaracter"/>
        </w:rPr>
        <w:t>3</w:t>
      </w:r>
      <w:r>
        <w:t>. En cualquier caso, sin necesidad de extendernos en cuestiones de mera legalidad, como es la de la interpretación y aplicación que del procedimiento hipotecario del art. 131 de la Ley Hipotecaria efectuó el órgano judicial, desde la perspectiva constitucional es imprescindible hacer referencia a las peculiaridades de dicho procedimiento sumario previsto en el art. 131 de la Ley Hipotecaria. Y ello porque al caracterizarse éste por la extraordinaria fuerza ejecutiva del titular y la paralela disminución de la posibilidad de contenerla mediante excepciones, falta la controversia entre las partes, y se procura reducir al máximo la intervención tanto del deudor como de terceros -no se permite suscitar ni incidentes, ni tercerías, ni nulidad de actuaciones-, al objeto de impedir la suspensión del procedimiento, salvo en los cuatro supuestos taxativamente fijados en el art. 132 de la Ley Hipotecaria. Todas las demás reclamaciones que puedan formular tanto el deudor como los terceros poseedores y los demás interesados se ventilarán en el juicio declarativo que corresponda. Y es precisamente esta última posibilidad, es decir, el quedar abierta a todos los interesados la vía del juicio declarativo para la defensa de sus derechos, lo que ha lle</w:t>
      </w:r>
      <w:r>
        <w:lastRenderedPageBreak/>
        <w:t>vado a este Tribunal Constitucional a afirmar que la ausencia de controversia y demás peculiaridades de este procedimiento no vulneran el derecho de defensa consagrado en el art. 24.1 C.E. (SSTC 41/1981 y 64/1985).</w:t>
      </w:r>
    </w:p>
    <w:p w:rsidR="00A12D44" w:rsidRDefault="00A12D44" w:rsidP="00A12D44">
      <w:pPr>
        <w:pStyle w:val="TextoNormal"/>
      </w:pPr>
      <w:r>
        <w:t>En consecuencia, no es la vía de amparo constitucional la procedente para la defensa de los intereses del recurrente, quien no ha sufrido lesión del derecho fundamental que alega, y quien puede acudir a las vías que se establecen ante la jurisdicción ordinaria para hacer valer sus intereses.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presente recurso y el archivo de las actuaciones, sin que sea necesario efectuar pronunciamiento alguno sobre la suspensión de la ejecución de la resolución judicial impugnada pretendida en</w:t>
      </w:r>
    </w:p>
    <w:p w:rsidR="00A12D44" w:rsidRDefault="00A12D44" w:rsidP="00A12D44">
      <w:pPr>
        <w:pStyle w:val="TextoNormal"/>
      </w:pPr>
      <w:r>
        <w:t>la demanda.</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8" w:name="AUTO_1992_7"/>
      <w:r>
        <w:lastRenderedPageBreak/>
        <w:t>AUTO 7/1992, de 13 de enero de 1992</w:t>
      </w:r>
    </w:p>
    <w:bookmarkEnd w:id="78"/>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ECLI:ES:TC:1992:7A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1.563/1991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don Francisco Javier Domínguez López, en nombre y representación de doña María Jesús Pérez Rodríguez, por escrito que tuvo entrada en este Tribunal el 12 de julio de 1991, interpone recurso de amparo contra el Auto de la Sección Decimocuarta de la Audiencia Provincial de Madrid de 14 de junio de 1991 el cual inadmite el incidente de nulidad de actuaciones planteado contra la Sentencia y demás actuaciones de dicha Sección dictadas en el rollo de apelación núm. 602/89 en autos sobre separación y medidas.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basa en los siguientes antecedentes: </w:t>
      </w:r>
    </w:p>
    <w:p w:rsidR="00A12D44" w:rsidRDefault="00A12D44" w:rsidP="00A12D44">
      <w:pPr>
        <w:pStyle w:val="TextoNormal"/>
      </w:pPr>
      <w:r>
        <w:t xml:space="preserve">a) El Juzgado de Primera Instancia núm. 24 de Madrid, mediante Sentencia de fecha de 29 de mayo de 1989, decretó la separación de la recurrente y don Herminio José Blanco y acordó la adopción de las medidas que se especifican en el fallo. </w:t>
      </w:r>
    </w:p>
    <w:p w:rsidR="00A12D44" w:rsidRDefault="00A12D44" w:rsidP="00A12D44">
      <w:pPr>
        <w:pStyle w:val="TextoNormal"/>
      </w:pPr>
      <w:r>
        <w:t xml:space="preserve">b)Formulado recurso de apelación por el marido, y admitido en ambos efectos, se emplazó a la solicitante de amparo, a través de su Procurador, para que compareciera en el término de quince días ante la Audiencia Provincial, mediante providencia de 4 de julio de 1989. </w:t>
      </w:r>
    </w:p>
    <w:p w:rsidR="00A12D44" w:rsidRDefault="00A12D44" w:rsidP="00A12D44">
      <w:pPr>
        <w:pStyle w:val="TextoNormal"/>
      </w:pPr>
      <w:r>
        <w:t xml:space="preserve">c) Remitidos los autos a la Audiencia Provincial, se personó en dicha apelación don Herminio José Blanco. No se personó la ahora recurrente, aun cuando la Sección Decimotercera de lo Civil de dicha Audiencia Provincial, mediante providencia de 20 de abril de 1990, había acordado se hiciera saber la llegada de los Autos al Procurador de la recurrente «a los efectos procedentes». </w:t>
      </w:r>
    </w:p>
    <w:p w:rsidR="00A12D44" w:rsidRDefault="00A12D44" w:rsidP="00A12D44">
      <w:pPr>
        <w:pStyle w:val="TextoNormal"/>
      </w:pPr>
      <w:r>
        <w:t xml:space="preserve">d) Emplazada la solicitante de amparo mediante edictos, se celebró la vista de apelación con la sola asistencia del Letrado de don Herminio José Blanco, y se dictó Sentencia con fecha 26 de noviembre de 1990, en la que se estimó parcialmente el recurso de apelación. Tal Sentencia fue aclarada mediante Auto de 12 de diciembre de 1990. </w:t>
      </w:r>
    </w:p>
    <w:p w:rsidR="00A12D44" w:rsidRDefault="00A12D44" w:rsidP="00A12D44">
      <w:pPr>
        <w:pStyle w:val="TextoNormal"/>
      </w:pPr>
      <w:r>
        <w:t xml:space="preserve">e) Con fecha de 21 de marzo de 1991, la recurrente presentó escrito ante la Audiencia Provincial solicitando la nulidad de todas las actuaciones a partir de la providencia de 20 de abril anterior. Incidente inadmitido por Auto de dicha Sección Decimotercera de 14 de junio de 1991. Dicho Auto se fundamentaba en que la demandante-apelada no se había personado en la apelación, a pesar de haber sido emplazada, y en que el art. 742 de la Ley </w:t>
      </w:r>
      <w:r>
        <w:lastRenderedPageBreak/>
        <w:t>de Enjuiciamiento Civil declaraba la inadmisibilidad del incidente de nulidad de actuaciones.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se invoca la vulneración del derecho de tutela judicial efectiva sin indefensión del art. 24.1 de la C.E., solicitándose la declaración de nulidad de todas las actuaciones practicadas desde el emplazamiento de la recurrente para la apelación. </w:t>
      </w:r>
    </w:p>
    <w:p w:rsidR="00A12D44" w:rsidRDefault="00A12D44" w:rsidP="00A12D44">
      <w:pPr>
        <w:pStyle w:val="TextoNormal"/>
      </w:pPr>
      <w:r>
        <w:t>La indefensión se considera originada porque la demandante no ha tenido posibilidad de ejercer el derecho de defensa en la vista de la apelación, y ello tanto porque la providencia dictada por la Sección Decimotercera el 20 de abril de 1990 -cuyo tenor literal es bastante confuso- no es tal, sino una diligencia de ordenación, por lo cual no puede considerarse un emplazamiento en forma y también porque la solicitante de amparo, en dicha apelación, fue citada en estrados a pesar de tener domicilio conocido. Se aduce que ante la incomparecencia del Procurador de la demandante en segunda instancia, el órgano judicial debería haber comunicado dicha incomparecencia a tal recurrente o, de oficio, haberle designado Procurador y Letrado para su defensa.</w:t>
      </w:r>
    </w:p>
    <w:p w:rsidR="00A12D44" w:rsidRDefault="00A12D44" w:rsidP="00A12D44">
      <w:pPr>
        <w:pStyle w:val="TextoNormal"/>
      </w:pPr>
    </w:p>
    <w:p w:rsidR="00A12D44" w:rsidRDefault="00A12D44" w:rsidP="00A12D44">
      <w:pPr>
        <w:pStyle w:val="TextoNormal"/>
      </w:pPr>
      <w:r w:rsidRPr="00A12D44">
        <w:rPr>
          <w:rStyle w:val="NumeroAFNegritaCaracter"/>
        </w:rPr>
        <w:t>4</w:t>
      </w:r>
      <w:r>
        <w:t>. El día 11 de noviembre de 1991 se dictó providencia concediendo a la demandante de amparo y al Ministerio Fiscal un plazo común de diez días para alegar sobre la posible concurrencia de la causa de inadmisibilidad prevista en el art. 50.1 a) en relación con el art. 44.2, ambos de la LOTC, por haber sido presentada la demanda fuera de plazo.</w:t>
      </w:r>
    </w:p>
    <w:p w:rsidR="00A12D44" w:rsidRDefault="00A12D44" w:rsidP="00A12D44">
      <w:pPr>
        <w:pStyle w:val="TextoNormal"/>
      </w:pPr>
    </w:p>
    <w:p w:rsidR="00A12D44" w:rsidRDefault="00A12D44" w:rsidP="00A12D44">
      <w:pPr>
        <w:pStyle w:val="TextoNormal"/>
      </w:pPr>
      <w:r w:rsidRPr="00A12D44">
        <w:rPr>
          <w:rStyle w:val="NumeroAFNegritaCaracter"/>
        </w:rPr>
        <w:t>5</w:t>
      </w:r>
      <w:r>
        <w:t>. El día 28 de noviembre siguiente, el Ministerio Fiscal presentó ante este Tribunal su escrito de alegaciones. Señala el Ministerio Público que la petición de nulidad de actuaciones de la recurrente es a todas luces improcedente, ya que si se advierte, en un procedimiento judicial, una vez que ha recaído sentencia definitiva, de la existencia de un vicio con trascendencia constitucional, el órgano judicial carece de medio jurídico alguno para subsanarlo y el recurso de amparo es el único remedio posible -en este sentido, SSTC 185/1990 y 72/1991-. Es por ello que el incidente de nulidad de actuaciones promovido por la solicitante de amparo, continúa el Fiscal, es una prolongación artificial del plazo para interponer el amparo previsto en el art. 44.2 de la LOTC, por lo que dicho plazo deberá computarse desde que la recurrente tuvo conocimiento de la Sentencia de apelación, fecha que no consta, pero que en cualquier caso es anterior a la de 21 de marzo de 1991. Como el recurso de amparo se presentó en el Registro General de este Tribunal el 12 de julio de 1991, resulta evidente, concluye el Fiscal, que concurre la causa de inadmisibilidad prevista en el art. 50.1 a) en relación con el 44.2, ambos de la LOTC, por lo que procede dictar Auto declarando la extemporaneidad de la demanda.</w:t>
      </w:r>
    </w:p>
    <w:p w:rsidR="00A12D44" w:rsidRDefault="00A12D44" w:rsidP="00A12D44">
      <w:pPr>
        <w:pStyle w:val="TextoNormal"/>
      </w:pPr>
    </w:p>
    <w:p w:rsidR="00A12D44" w:rsidRDefault="00A12D44" w:rsidP="00A12D44">
      <w:pPr>
        <w:pStyle w:val="TextoNormal"/>
      </w:pPr>
      <w:r w:rsidRPr="00A12D44">
        <w:rPr>
          <w:rStyle w:val="NumeroAFNegritaCaracter"/>
        </w:rPr>
        <w:t>6</w:t>
      </w:r>
      <w:r>
        <w:t>. Por su parte, la representación actora, en escrito presentado ante el Juzgado de Guardia el 27 de noviembre de 1991, formuló sus alegaciones. Dicha recurrente considera que no concurre la causa de inadmisión del art. 44.2 de la LOTC, puesto que la demanda de amparo fue interpuesta en el plazo de veinte días a partir de la fecha de notificación del Auto de la Audiencia Provincial que inadmite el incidente de nulidad de actuaciones -fecha que fue la de 20 de junio de 1991 -.</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Examinadas las alegaciones del Ministerio Fiscal y de la parte solicitante de amparo, presentadas en el trámite del art. 50.3 LOTC, procede tener por concurrente el motivo de inadmisión puesto de manifiesto en nuestra providencia de 11 de noviembre, consistente en haber sido interpuesta la demanda de amparo fuera del plazo preceptuado en el art. 44.2 de la LOTC.</w:t>
      </w:r>
    </w:p>
    <w:p w:rsidR="00A12D44" w:rsidRDefault="00A12D44" w:rsidP="00A12D44">
      <w:pPr>
        <w:pStyle w:val="TextoNormal"/>
      </w:pPr>
    </w:p>
    <w:p w:rsidR="00A12D44" w:rsidRDefault="00A12D44" w:rsidP="00A12D44">
      <w:pPr>
        <w:pStyle w:val="TextoNormal"/>
      </w:pPr>
      <w:r w:rsidRPr="00A12D44">
        <w:rPr>
          <w:rStyle w:val="NumeroAFNegritaCaracter"/>
        </w:rPr>
        <w:t>2</w:t>
      </w:r>
      <w:r>
        <w:t>. La recurrente ha dilatado indebidamente el término de veinte días hábiles para recurrir en amparo, toda vez que planteó un recurso o incidente, el de nulidad de actuaciones, manifiestamente improcedente, dado que contra la Sentencia dictada por la Audiencia Provincial en el procedimiento impugnado no cabía recurso alguno, y dado que conforme al principio de invariabilidad de las resoluciones judiciales -plasmado legislativamente en los arts. 267 de la L.O.P.J. y 363 de la L.E.C.- y a lo preceptuado en el art. 240.2 de la L.O.P.J.  -cuya constitucionalidad ha sido declarada por la STC 185/1990-, tal incidente de nulidad de actuaciones no es viable cuando ya ha recaído Sentencia definitiva.</w:t>
      </w:r>
    </w:p>
    <w:p w:rsidR="00A12D44" w:rsidRDefault="00A12D44" w:rsidP="00A12D44">
      <w:pPr>
        <w:pStyle w:val="TextoNormal"/>
      </w:pPr>
      <w:r>
        <w:t>Así pues, como la Sentencia firme recurrida en amparo es de fecha de 26 de noviembre de 1990 -aclarada por Auto de 12 de diciembre de 1990-, y aunque no consta fehacientemente su fecha de notificación a la demandante, ella misma reconoce que lo fue antes del día 21 de marzo de 1991 -fecha de presentación ante la Audiencia Provincial del escrito solicitando la nulidad de actuaciones- es desde dicha fecha desde la que, sin lugar a dudas, puede iniciarse el cómputo del plazo para recurrir en amparo.</w:t>
      </w:r>
    </w:p>
    <w:p w:rsidR="00A12D44" w:rsidRDefault="00A12D44" w:rsidP="00A12D44">
      <w:pPr>
        <w:pStyle w:val="TextoNormal"/>
      </w:pPr>
      <w:r>
        <w:t>Como tal recurrente, en lugar de plantear frente a dicha Sentencia la demanda de amparo, planteó, indebidamente, el incidente de nulidad de actuaciones, no presentando el recurso ahora examinado ante este Tribunal hasta el 12 de julio de 1991, resulta manifiestamente extemporánea su presentación, ya que el aludido plazo del art. 44.2 de la LOTC es un plazo de caducidad que no puede quedar al arbitrio de las partes, ni ser objeto de prórrogas artificiales, siendo inadmisible reabrirlo mediante la utilización de recursos inexistentes en la ley o manifiestamente improcedentes contra una resolución firme (por todas, STC 52/1991).</w:t>
      </w:r>
    </w:p>
    <w:p w:rsidR="00A12D44" w:rsidRDefault="00A12D44" w:rsidP="00A12D44">
      <w:pPr>
        <w:pStyle w:val="TextoNormal"/>
      </w:pPr>
    </w:p>
    <w:p w:rsidR="00A12D44" w:rsidRDefault="00A12D44" w:rsidP="00A12D44">
      <w:pPr>
        <w:pStyle w:val="TextoNormal"/>
      </w:pPr>
      <w:r w:rsidRPr="00A12D44">
        <w:rPr>
          <w:rStyle w:val="NumeroAFNegritaCaracter"/>
        </w:rPr>
        <w:t>3</w:t>
      </w:r>
      <w:r>
        <w:t>. A mayor abundamiento, no es ocioso poner de relieve que la demanda carece manifiestamente de contenido constitucional [art. 50.1 c) LOTC], al no ser posible admitir, en ningún caso, que se haya lesionado el derecho de no indefensión del art. 24.1 de la C.E. en la que la recurrente fundamenta su queja de amparo.</w:t>
      </w:r>
    </w:p>
    <w:p w:rsidR="00A12D44" w:rsidRDefault="00A12D44" w:rsidP="00A12D44">
      <w:pPr>
        <w:pStyle w:val="TextoNormal"/>
      </w:pPr>
      <w:r>
        <w:t>En efecto, el órgano judicial -Juzgado de Primera Instancia- no sólo emplazó a tal actora, a través de su Procurador, para que se personara en la apelación - tal y como se desprende de la fundamentación jurídica del Auto que inadmite la nulidad de actuaciones-, sino que además, una vez recibidas las actuaciones por la Sección Decimotercera, ésta hizo saber tal llegada de los autos al mismo Procurador de la demandante de amparo «a los efectos procedentes».</w:t>
      </w:r>
    </w:p>
    <w:p w:rsidR="00A12D44" w:rsidRDefault="00A12D44" w:rsidP="00A12D44">
      <w:pPr>
        <w:pStyle w:val="TextoNormal"/>
      </w:pPr>
      <w:r>
        <w:t>Ante ello, basta poner de manifiesto que cuando al parte actúa mediante Procurador, los actos de comunicación llevados a cabo con éste surten los mismos efectos que los realizados con la parte. Y además, que conforma a reiterada doctrina de este Tribunal, la indefensión proscrita en el art. 24.1 de la Constitución excluye de su ámbito protector la privación de los medios de defensa cuando ésta sea imputable al propio interesado, esto es, a pasividad, desinterés, negligencia, error técnico o impericia de la parte.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presente recurso y el archivo de las actuaciones.</w:t>
      </w:r>
    </w:p>
    <w:p w:rsidR="00A12D44" w:rsidRDefault="00A12D44" w:rsidP="00A12D44">
      <w:pPr>
        <w:pStyle w:val="TextoNormal"/>
      </w:pPr>
    </w:p>
    <w:p w:rsidR="00A12D44" w:rsidRDefault="00A12D44" w:rsidP="00A12D44">
      <w:pPr>
        <w:pStyle w:val="TextoNormal"/>
      </w:pPr>
      <w:r>
        <w:t>Madrid, a trece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79" w:name="AUTO_1992_8"/>
      <w:r>
        <w:lastRenderedPageBreak/>
        <w:t>AUTO 8/1992, de 13 de enero de 1992</w:t>
      </w:r>
    </w:p>
    <w:bookmarkEnd w:id="79"/>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ECLI:ES:TC:1992:8A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2.098/1991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0" w:name="AUTO_1992_9"/>
      <w:r>
        <w:lastRenderedPageBreak/>
        <w:t>AUTO 9/1992, de 14 de enero de 1992</w:t>
      </w:r>
    </w:p>
    <w:bookmarkEnd w:id="80"/>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ECLI:ES:TC:1992:9A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inadmisión a trámite de la cuestión de inconstitucionalidad 2.160/1991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Juzgado de Primera Instancia núm. 46 de Madrid, mediante escrito registrado en este Tribunal Constitucional el día 29 de octubre de 1991, promovió, por Auto dictado el 28 de octubre en el juicio de desahucio núm. 215/91, cuestión sobre la posible inconstitucionalidad del art. 11 de la Ley de Enjuiciamiento Civil por contradicción con los arts. 14 y 24 de la Constitución.</w:t>
      </w:r>
    </w:p>
    <w:p w:rsidR="00A12D44" w:rsidRDefault="00A12D44" w:rsidP="00A12D44">
      <w:pPr>
        <w:pStyle w:val="TextoNormal"/>
      </w:pPr>
    </w:p>
    <w:p w:rsidR="00A12D44" w:rsidRDefault="00A12D44" w:rsidP="00A12D44">
      <w:pPr>
        <w:pStyle w:val="TextoNormal"/>
      </w:pPr>
      <w:r w:rsidRPr="00A12D44">
        <w:rPr>
          <w:rStyle w:val="NumeroAFNegritaCaracter"/>
        </w:rPr>
        <w:t>2</w:t>
      </w:r>
      <w:r>
        <w:t>. Consta en el testimonio de las actuaciones remitidas con el Auto de planteamiento reseñado que, ante el Juzgado de Primera Instancia núm. 46 de Madrid, se sigue juicio de desahucio núm. 215/91 promovido por la representación de doña Patricia García González contra doña Concepción Calvo Jiménez por impago de las rentas correspondientes al al mes de febrero de 1991. Enervada la acción de desahucio al consignar la parte demandada devengadas en la causa las rentas debidas, prosiguió la tramitación del proceso Por las costas devengadas en la causa (art. 147.1 L.A.U.), siendo convocadas las partes para la celebración de la vista. En el acto de la vista la demandante solicitó la entrega de las rentas consignadas y que se impusieran las costas a la parte demandada, quien se opuso a la pretensión de la actora por no ser preceptiva la asistencia de Abogado y procurador en el juicio de desahucio por falta de Pago de la renta en contrato de arrendamiento de vivienda (art. 10 L.E.C.).</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Concluido el procedimiento, el titular del Juzgado de Primera Instancia, por providencia de 23 de mayo de 1991, acordó oír al Ministerio Fiscal y a las partes litigantes, por término común dediez días, a fin de que alegasen sobre la posible inconstitucionalidad del art. 11 de la Ley de Enjuiciamiento Civil en relación con el art. 24.2 de la Constitución, por excluir los honorarios de los Letrados de las tasaciones de costas practicadas en procedimientos como el juicio de desahucio por falta de pago, lo que impedía a las partes resarcirse de un gasto necesario efectuado como consecuencia de un derecho e interés legítimo. </w:t>
      </w:r>
    </w:p>
    <w:p w:rsidR="00A12D44" w:rsidRDefault="00A12D44" w:rsidP="00A12D44">
      <w:pPr>
        <w:pStyle w:val="TextoNormal"/>
      </w:pPr>
      <w:r>
        <w:lastRenderedPageBreak/>
        <w:t>La representación de doña Cristina Patricia García González, por escrito de fecha de 3 de julio de 1991, mostró su conformidad al planteamiento de la cuestión de inconstitucionalidad, y, por su parte, el Ministerio Fiscal, en escrito fechado el 4 de julio de 1991, estimó que, concluso para Sentencia el procedimiento en que surge el conflicto y dándose el enlace preciso entre el art. 11.2 de la L.E.C., salvo la excepción prevista en el citado precepto que no concurre en este supuesto, y las pretensiones de las partes que exige la LOTC, así como los demás requisitos procesales, era pertinente el planteamiento de la cuestión.</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Auto de 28 de octubre de 1991, el Juzgado de Primera Instancia núm. 46 de Madrid acordó elevar la presente cuestión de inconstitucionalidad. Se dice en el Auto de planteamiento que se cumplen los requisitos formales y procedimentales que exige la admisión a trámite de las cuestiones de inconstitucionalidad, pues versa la que se plantea sobre una norma con rango de Ley y existe una directa relación entre su validez o invalidez y el fallo del procedimiento, y que si bien en este caso el art. 11 de la L.E.C. no impide que se dicte la pretendida Sentencia que ponga término al procedimiento, se priva de contenido a la misma dada la lógica correlación existente entre la norma de cuya constitucionalidad se duda y la resolución cuyo pronunciamiento se exige en aras de las pretensiones mantenidas por las partes litigantes. </w:t>
      </w:r>
    </w:p>
    <w:p w:rsidR="00A12D44" w:rsidRDefault="00A12D44" w:rsidP="00A12D44">
      <w:pPr>
        <w:pStyle w:val="TextoNormal"/>
      </w:pPr>
      <w:r>
        <w:t xml:space="preserve">El órgano judicial centra sus alegaciones en el párrafo segundo del art. 11 de la L.E.C., el cual, se afirma en el Auto, «motivó el planteamiento de la presente cuestión». Se sostiene, en síntesis, que el precepto cuestionado, al no incluir en la tasación de costas los derechos del Procurador y los honorarios del Letrado en aquellos procesos en que no es preceptiva su intervención, vulnera el derecho a la asistencia letrada (art. 24.1 C.E.), por establecer límites o condicionamientos económicos a la intervención de Letrado en dichos procesos, debiendo abonar dichos gastos la parte que cuenta con su asistencia aunque haya vencido nte, atenta también contra el derecho en el proceso, lo que, a juicio del órgano promoviente, atenta también contra el derecho a la tutela judicial efectiva (art. 24.1 C.E.), ya que se condiciona la intervención letrada al pago de sus honorarios, no existiendo posibilidad alguna de resarcimiento de dichos gastos, siendo en la inmensa mayoría de los supuesto imprescindible la asistencia letrada y legítimo el interés que se dilucida ante los Tribunales de Justicia. </w:t>
      </w:r>
    </w:p>
    <w:p w:rsidR="00A12D44" w:rsidRDefault="00A12D44" w:rsidP="00A12D44">
      <w:pPr>
        <w:pStyle w:val="TextoNormal"/>
      </w:pPr>
      <w:r>
        <w:t>Asimismo, se dice en el Auto de planteamiento que con carácter secundario se cuestiona el párrafo primero del art. 11 de la L.E.C. por vulnerar el art. 24.2 de la Constitución al negar la intervención de Letrado en cuanto tal en los supuestos previstos en el art. 10.2 de la L.E.C., negando también el concepto que de Letrado se contiene en el art. 436 de la L.O.P.J., precepto que entiende que ha derogado el párrafo primero del art. 11 de la L.E.C. Con idéntico carácter se cuestiona el inciso final del párrafo segundo del art. 11 de la L. E.C., que prevé como excepción a la regla general de la no inclusión de los honorarios de Letrado y Procurador en la tasación de costas el supuestos de que «la residencia habitual de la parte representada y defendida sea distinta del lugar en que se tramite el juicio», por ser contrario al art. 14 de la C.E., al introducir una discriminatorio en el derecho a la asistencia letrada por razón de la residencia.</w:t>
      </w:r>
    </w:p>
    <w:p w:rsidR="00A12D44" w:rsidRDefault="00A12D44" w:rsidP="00A12D44">
      <w:pPr>
        <w:pStyle w:val="TextoNormal"/>
      </w:pPr>
    </w:p>
    <w:p w:rsidR="00A12D44" w:rsidRDefault="00A12D44" w:rsidP="00A12D44">
      <w:pPr>
        <w:pStyle w:val="TextoNormal"/>
      </w:pPr>
      <w:r w:rsidRPr="00A12D44">
        <w:rPr>
          <w:rStyle w:val="NumeroAFNegritaCaracter"/>
        </w:rPr>
        <w:t>5</w:t>
      </w:r>
      <w:r>
        <w:t>. La Sección Cuarta del Pleno de este Tribunal, mediante providencia de 25 de noviembre de 199 1, acordó tener por recibidas las actuaciones y oír al Fiscal General del Estado para que, en el plazo de diez días. a los efectos del art. 37.1 de la Ley Orgánica del Tribunal Constitucional, pudiera alegar lo que estimase procedente acerca de la inadmisi</w:t>
      </w:r>
      <w:r>
        <w:lastRenderedPageBreak/>
        <w:t>bilidad de la cuestión de inconstitucionalidad por posible falta de las condiciones procesales en cuanto al párrafo primero del art. 11 de la Ley de Enjuiciamiento Civil y por si pudiera ser notoriamente infundada en cuanto al segundo párrafo del mismo artículo.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Por escrito registrado con fecha de 1 de diciembre de 1991, evacuó el Fiscal General el trámite conferido, en el que, tras relatar los antecedentes de la presente cuestión, afirma que el art. 11 de la L.E.C. representa una excepción al requisito general exigido en el orden procesal civil de que la comparecencia en juicio se hará por medio de Procurador y con asistencia de Letrado. Sin embargo, dicho precepto no excluye la posibilidad de que la parte pueda acudir a Procurador o/y Abogado, se limita a declarar que en determinados asuntos no es obligatoria para la parte, pudiendo ésta realizar actos procesales en el proceso y postular por sí misma, y en tales casos la intervención por medio de representante y con asistencia letrada es voluntaria y depende sólo de la libre voluntad de la parte. a quien por concedérsele esta facultad de opción no se Emita su derecho de defensa ni se obstaculiza el derecho a la tutela judicial efectiva. </w:t>
      </w:r>
    </w:p>
    <w:p w:rsidR="00A12D44" w:rsidRDefault="00A12D44" w:rsidP="00A12D44">
      <w:pPr>
        <w:pStyle w:val="TextoNormal"/>
      </w:pPr>
      <w:r>
        <w:t xml:space="preserve">En relación con el párrafo primero del art. 11 de la L.E.C., sostiene el Fiscal General del Estado que faltan las condiciones procesales para la admisibilidad de la cuestión. En efecto, además de que en el Auto de planteamiento falta el llamado juicio de relevancia, -por el que corresponde al órgano judicial determinar en qué medida depende el fallo de la validez de la norma cuestionada, no justificando el órgano promoviente en qué medida la decisión de la pretensión deducida en los autos de desahucio para resolver exclusivamente la materia relativa al pago de las costas del litigio depende de la posible inconstitucionalidad del párrafo primero del art. 11 de la L.E.C.. éste es inaplicable al caso porque la decisión sobre el pago de las costas en el juicio de desahucio por falta de pago, en el que fue enervada la acción por la parte demandada, deberá adaptarse aplicando las normas reguladoras de dicha materia, sin que tenga influencia alguna en el asunto el hecho de que la asistencia letrada de las partes en el juicio fuera por decisión libre o espontánea de éstas y no por imposición de la Ley. En definitiva, el párrafo primero del art. 11 de la L.E.C. no es de aplicación para la decisión de la cuestión litigiosa, careciendo de toda fundamentación el juicio de relevancia que trata de formular el Juez, por lo que en relación con dicho párrafo en la presente cuestión de inconstitucionalidad falta el requisito de procedibilidad establecido por el art. 163 de la Constitución y el art. 35.1 de la LOTC, constitutivo de causa de inadmisibilidad de la misma. </w:t>
      </w:r>
    </w:p>
    <w:p w:rsidR="00A12D44" w:rsidRDefault="00A12D44" w:rsidP="00A12D44">
      <w:pPr>
        <w:pStyle w:val="TextoNormal"/>
      </w:pPr>
      <w:r>
        <w:t xml:space="preserve">Respecto al párrafo segundo del art. 11 de la L.E.C., considera el Fiscal General del Estado que la cuestión de inconstitucionalidad es notoriamente infundada a los efectos previstos en el art. 37.1 de la LOTC. En este sentido, afirma que el párrafo en cuestión, en concreto la excepción que establece, no es contrario al principio de igualdad consagrado en el art. 14 de la Constitución, porque la residencia o no en el lugar en que se tramita el juicio lo que hace es introducir un elemento objetivo diferenciador que justifica un tratamiento desigual, pues la situación del litigante que reside en el mismo lugar en que tiene la sede el órgano judicial que ha de resolver el asunto no es la misma que la del litigante que resida en un lugar diferente. Aquél tendrá más posibilidades para postular por sí mismo, seguir las actuaciones procesales, intervenir en los actos procesales de parte y, en suma, realizar su propia defensa. En cambio, el que reside en otro lugar diferente está más necesitado para posibilitar su defensa de designar a Abogado o Procurador que actúe en su nombre en el proceso, por lo que es razonable que los gastos que comporte la designación se incluyan en las costas, sin que sea posible calificar esta razonable decisión del legislador de discriminatoria y contraria al principio de igualdad, cuando lo que se trata es de </w:t>
      </w:r>
      <w:r>
        <w:lastRenderedPageBreak/>
        <w:t xml:space="preserve">facilitar la representación y defensa para evitar que la residencia habitual fuera del lugar del juicio de alguna de las partes pueda propiciar entre ellas una situación de desigualdad y desequilibrio dentro del proceso. </w:t>
      </w:r>
    </w:p>
    <w:p w:rsidR="00A12D44" w:rsidRDefault="00A12D44" w:rsidP="00A12D44">
      <w:pPr>
        <w:pStyle w:val="TextoNormal"/>
      </w:pPr>
      <w:r>
        <w:t>Concluye el Fiscal General su escrito solicitando que se dicte Auto por el que se declare no haber lugar a admitir la presente cuestión de inconstitucionalidad.</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Juzgado de Primera Instancia núm. 46 de los de Madrid promueve la presente cuestión de inconstitucionalidad en relación con el art. 11 de la Ley de Enjuiciamiento Civil (L.E.C.), por posible contradicción con los arts. 14 y 24 de la Constitución. El citado precepto resulta del siguiente tenor literal:</w:t>
      </w:r>
    </w:p>
    <w:p w:rsidR="00A12D44" w:rsidRDefault="00A12D44" w:rsidP="00A12D44">
      <w:pPr>
        <w:pStyle w:val="TextoNormal"/>
      </w:pPr>
      <w:r>
        <w:t>«Tanto los Procuradores como los Abogados podrán asistir, con carácter de apoderados o de hombres buenos, a los actos de conciliación, o con el de auxiliares de los interesados, a los juicios a que se refieren las excepciones del núm. 2 del artículo anterior, cuando las partes quieran valerse espontáneamente de ellos.</w:t>
      </w:r>
    </w:p>
    <w:p w:rsidR="00A12D44" w:rsidRDefault="00A12D44" w:rsidP="00A12D44">
      <w:pPr>
        <w:pStyle w:val="TextoNormal"/>
      </w:pPr>
      <w:r>
        <w:t>En estos casos, así como en todos en los que su intervención no sea preceptiva, si hubiere condena en costas a favor del que se haya valido de Procurador o de Letrado, no se comprenderán en ella los derechos de aquél ni los honorarios de éste, salvo que la residencia habitual de la parte representada y defendida sea distinta del lugar en que se tramite el juicio.»</w:t>
      </w:r>
    </w:p>
    <w:p w:rsidR="00A12D44" w:rsidRDefault="00A12D44" w:rsidP="00A12D44">
      <w:pPr>
        <w:pStyle w:val="TextoNormal"/>
      </w:pPr>
    </w:p>
    <w:p w:rsidR="00A12D44" w:rsidRDefault="00A12D44" w:rsidP="00A12D44">
      <w:pPr>
        <w:pStyle w:val="TextoNormal"/>
      </w:pPr>
      <w:r w:rsidRPr="00A12D44">
        <w:rPr>
          <w:rStyle w:val="NumeroAFNegritaCaracter"/>
        </w:rPr>
        <w:t>2</w:t>
      </w:r>
      <w:r>
        <w:t>. Respecto al párrafo primero del precepto transcrito, dice el Auto de planteamiento que se cuestiona con carácter secundario por vulnerar el art.  24.2 de la Constitución al negar la intervención del Letrado en tal condición en los juicios a los que se refiere el art. 10.2 de la L.E.C., negando también el concepto de Letrado que se recoge en el art. 436 de la L.O.P.J. Debe señalarse en relación a ello que el órgano judicial no exterioriza en el Auto de planteamiento de la cuestión el denominado «juicio de relevancia», y es además evidente, como en su escrito de alegaciones sostiene el Fiscal General del Estado, que no existe nexo causar entre lo que constituye la cuestión litigiosa del proceso a quo (o sea, la inclusión o no en la tasación de costas de los gastos del Procurador o Abogado que han intervenido en el proceso de desahucio) y el mencionado párrafo del art. 11 de la L.E.C., que prevé la intervención de Abogados y Procuradores con el carácter de apoderados o de hombres buenos en los actos de conciliación o con el de auxiliares de los interesados en los juicios verbales y de desahucio cuando las partes quieran valerse espontáneamente de ellos. Ello se demuestra al advertir que la decisión sobre la condena a costas en el juicio de desahucio en el que fue enervada la acción por la parte demandada y la inclusión o no de los honorarios y derechos correspondientes al Abogado o Procurador deberá adoptarse aplicando las normas reguladoras de dicha materia, en este caso la previsión contenida en el párrafo segundo del art. 11 de la L.E.C., y no es de aplicación para la decisión del proceso lo dispuesto en el párrafo primero del mencionado artículo. De modo que falta en la presente cuestión de inconstitucionalidad respecto del párrafo 1.  del art. 11 de la L.E.C. uno de los requisitos de procedibilidad establecidos por los arts. 163 y 35.1 de la LOTC: la existencia de relación causal entre la validez del párrafo cuestionado y el fallo a dictar en el proceso, lo que determina en relación con dicho párrafo la inadmisibilidad de la cuestión (art.  37.1 LOTC).</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Queda circunscrita, pues, la cuestión al párrafo segundo del art. 11 de la L.E.C., respecto del cual sostiene el Juez proponente que al establecer que en aquellos procesos en los que no es preceptiva la intervención del Abogado y Procurador, «si hubiere condena en costas a favor del que se haya valido de Procurador o de Letrado, no se comprenderán en ellas los derechos de aquél ni los honorarios de éste, salvo que la residencia habitual de la parte representada y defendida sea distinta del lugar en el que se tramite el juicio», vulnera el derecho a la asistencia letrada (art. 24.2 C.E.), porque prescribe límites o condicionamientos económicos a la intervención letrada en dichos procesos; también el derecho a la tutela judicial efectiva sin indefensión (art. 24.1 C.E.), ya que merced a aquel condicionamiento económico no existe posibilidad alguna de resarcimiento de los gastos aunque se venza en el proceso; y, finalmente, el principio constitucional de igualdad al establecer una discriminación por razón de la residencia.</w:t>
      </w:r>
    </w:p>
    <w:p w:rsidR="00A12D44" w:rsidRDefault="00A12D44" w:rsidP="00A12D44">
      <w:pPr>
        <w:pStyle w:val="TextoNormal"/>
      </w:pPr>
    </w:p>
    <w:p w:rsidR="00A12D44" w:rsidRDefault="00A12D44" w:rsidP="00A12D44">
      <w:pPr>
        <w:pStyle w:val="TextoNormal"/>
      </w:pPr>
      <w:r w:rsidRPr="00A12D44">
        <w:rPr>
          <w:rStyle w:val="NumeroAFNegritaCaracter"/>
        </w:rPr>
        <w:t>4</w:t>
      </w:r>
      <w:r>
        <w:t>. El art. 37.1 de la LOTC, en su segundo inciso, permite que las cuestiones sean rechazadas en trámite de admisión mediante Auto cuando fuere «notoriamente infundada la cuestión suscitada». Esta expresión es un concepto abierto que permite al Tribunal un amplio margen de apreciación para revisar la solidez de la fundamentación de la cuestión planteada, y desde sus primeras decisiones ha mantenido una línea interpretativa muy flexible que, contribuyendo a consolidar la institución procesal, atienda al fin fundamental de fomentar la colaboración entre órganos judiciales y jurisdicción constitucional cumpliendo así el mandato de asegurar la primacía de la Constitución mediante la depuración del ordenamiento jurídico con la invalidación de las normas con fuerza de Ley contrarias a ella.</w:t>
      </w:r>
    </w:p>
    <w:p w:rsidR="00A12D44" w:rsidRDefault="00A12D44" w:rsidP="00A12D44">
      <w:pPr>
        <w:pStyle w:val="TextoNormal"/>
      </w:pPr>
      <w:r>
        <w:t>Existen, pues, supuestos en los que un examen preliminar de la cuestión planteada permite apreciar su falta de viabilidad, sin que ello signifique una total carencia de fundamentación o un planteamiento arbitrario. En tales casos resulta procedente, por economía procesal, resolver la cuestión en la primera fase, máxime si su admisión pudiera promover como la paralización del proceso o procesos en los que resulte aplicable efectos no deseables la norma cuestionada. Que es precisamente lo que sucede en el presente supuesto, en el cual las razones aducidas en el Auto de planteamiento no permiten fundamentar la duda de constitucionalidad.</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Así, es de rechazar, sin excesivo esfuerzo argumental, la suscitada vulneración del derecho a la asistencia letrada consagrado en el art. 24.2 de la constitución. En diversas resoluciones tiene declarado este Tribunal que el art. 24.2 de la Constitución garantiza la posibilidad de la asistencia técnica y profesional efectiva del Abogado en el desarrollo del proceso, con proyección especial en el penal, pero también en los demás procesos, y que este derecho incluye no sólo el derecho a la asistencia de Letrado de la propia elección y a su cargo, sino también a que le sea designado en su caso un Letrado de oficio (por todas, SSTC 42/1982, 216/1988, 47/1987, 194/1987).  Pero no puede sostenerse que el párrafo segundo del art. 11 de la L.E.C.  infrinja el derecho a la asistencia letrada al no incluir en la tasación de costas los derechos del Procurador ni los honorarios del Letrado en procesos en los que resulta su intervención no preceptiva, sino meramente potestativa y voluntaria para la parte, dada la sencillez de las cuestiones que se debaten en dichos procesos, como ocurre en el juicio de desahucio del que proviene la cuestión planteada, y teniendo por tanto en cuenta que la imposibilidad de resarcimiento de los honorarios de profesionales no se incluye porque la Ley la considera en principio no necesaria en cuestiones de planteamiento simple.  Por otra parte, tal posibilidad de autodefensa no impide a los litigantes </w:t>
      </w:r>
      <w:r>
        <w:lastRenderedPageBreak/>
        <w:t>la designación de Abocado a su cargo o, si se adolece de insuficiencia de recursos para litigar, la de que se le provea de Abogado de oficio cuando, con los condicionamientos derivados de la STC 47/1987, se manifieste imprescindible para situar al carente de medios económicos al mismo nivel de defensa en que actúa la parte contraria.</w:t>
      </w:r>
    </w:p>
    <w:p w:rsidR="00A12D44" w:rsidRDefault="00A12D44" w:rsidP="00A12D44">
      <w:pPr>
        <w:pStyle w:val="TextoNormal"/>
      </w:pPr>
    </w:p>
    <w:p w:rsidR="00A12D44" w:rsidRDefault="00A12D44" w:rsidP="00A12D44">
      <w:pPr>
        <w:pStyle w:val="TextoNormal"/>
      </w:pPr>
      <w:r w:rsidRPr="00A12D44">
        <w:rPr>
          <w:rStyle w:val="NumeroAFNegritaCaracter"/>
        </w:rPr>
        <w:t>6</w:t>
      </w:r>
      <w:r>
        <w:t>. No posee mayor viabilidad el segundo motivo en que se fundamenta el cuestionamiento del párrafo segundo del art. 11 de la L.E.C. Difusos son los razonamientos que al respecto se recogen en la resolución del Juez proponente, llegando a confundirse esta alegación con la anterior. Mas el derecho a la tutela judicial del art. 24.1 de la C.E. únicamente podría verse afectado si se entendiera que la no inclusión en la tasación de costas de los honorarios del Letrado y derechos del Procurador pudiera constituir un obstáculo limitativo o disuasorio al ejercicio de acciones legales para la defensa jurisdiccional de derechos o intereses legítimos por tener que abonar los litigantes, aunque hayan vencido en juicio, los gastos correspondientes a su Procurador y Letrado.  Pero dado que el precepto cuestionado es únicamente de aplicación a la tasación de costas en procesos en los que no es preceptiva la intervención de Abogado y Procurador por causa de la simplicidad de dichos procesos, falta el presupuesto en el que se sustenta aquel razonamiento y, en consecuencia, el obstáculo efectivo que pudiera considerarse limitativo o disuasorio del acceso al proceso, o sea, el carácter preceptivo de la intervención de Abogado y Procurador.</w:t>
      </w:r>
    </w:p>
    <w:p w:rsidR="00A12D44" w:rsidRDefault="00A12D44" w:rsidP="00A12D44">
      <w:pPr>
        <w:pStyle w:val="TextoNormal"/>
      </w:pPr>
    </w:p>
    <w:p w:rsidR="00A12D44" w:rsidRDefault="00A12D44" w:rsidP="00A12D44">
      <w:pPr>
        <w:pStyle w:val="TextoNormal"/>
      </w:pPr>
      <w:r w:rsidRPr="00A12D44">
        <w:rPr>
          <w:rStyle w:val="NumeroAFNegritaCaracter"/>
        </w:rPr>
        <w:t>7</w:t>
      </w:r>
      <w:r>
        <w:t>. Finalmente, tampoco resulta discriminatoria y, por tanto, contraria al art.  14 de la C.E. la excepción que a la regla general se recoge en el inciso final del precepto cuestionado. En efecto, la diferenciación operada por el inciso final del párrafo segundo del art. 11 de la L.E.C. responde a un criterio objetivo, sin que pueda calificarse aquélla de arbitraria ni considerarse carente de una justificación razonable, ya que, como en sus alegaciones pone de manifiesto el Fiscal General del Estado, la situación del litigante que reside en el mismo lugar en el que tiene la sede el órgano judicial que conoce del proceso no es la misma que la del que reside en lugar diferente; mediante dicha excepción de lo que se trata es de facilitar la representación y defensa para evitar que la residencia habitual fuera del lugar del juicio pueda propiciar entre las partes una situación de desigualdad y desequilibrio dentro del proceso.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Constitucional, de conformidad con el art. 37.1 de la LOTC, acuerda no admitir a trámite la cuestión de inconstitucionalidad promovido por el Juzgado de Primera Instancia núm. 46 de Madrid en relación con el art. 11</w:t>
      </w:r>
    </w:p>
    <w:p w:rsidR="00A12D44" w:rsidRDefault="00A12D44" w:rsidP="00A12D44">
      <w:pPr>
        <w:pStyle w:val="TextoNormal"/>
      </w:pPr>
      <w:r>
        <w:t>de la L.E.C.</w:t>
      </w:r>
    </w:p>
    <w:p w:rsidR="00A12D44" w:rsidRDefault="00A12D44" w:rsidP="00A12D44">
      <w:pPr>
        <w:pStyle w:val="TextoNormal"/>
      </w:pPr>
    </w:p>
    <w:p w:rsidR="00A12D44" w:rsidRDefault="00A12D44" w:rsidP="00A12D44">
      <w:pPr>
        <w:pStyle w:val="TextoNormal"/>
      </w:pPr>
      <w:r>
        <w:t>Madrid, a catorce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1" w:name="AUTO_1992_10"/>
      <w:r>
        <w:lastRenderedPageBreak/>
        <w:t>AUTO 10/1992, de 20 de enero de 1992</w:t>
      </w:r>
    </w:p>
    <w:bookmarkEnd w:id="81"/>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ECLI:ES:TC:1992:10A</w:t>
      </w:r>
    </w:p>
    <w:p w:rsidR="00A12D44" w:rsidRDefault="00A12D44" w:rsidP="00A12D44">
      <w:pPr>
        <w:pStyle w:val="SntesisDescriptiva"/>
      </w:pPr>
    </w:p>
    <w:p w:rsidR="00A12D44" w:rsidRDefault="00A12D44" w:rsidP="00A12D44">
      <w:pPr>
        <w:pStyle w:val="SntesisDescriptiva"/>
      </w:pPr>
      <w:r>
        <w:t>Excms. Srs. don Fernando García-Mon y González-Regueral, don Luis López Guerra y don José Vicente Gimeno Sendra.</w:t>
      </w:r>
    </w:p>
    <w:p w:rsidR="00A12D44" w:rsidRDefault="00A12D44" w:rsidP="00A12D44">
      <w:pPr>
        <w:pStyle w:val="SntesisDescriptiva"/>
      </w:pPr>
    </w:p>
    <w:p w:rsidR="00A12D44" w:rsidRDefault="00A12D44" w:rsidP="00A12D44">
      <w:pPr>
        <w:pStyle w:val="SntesisDescriptiva"/>
      </w:pPr>
      <w:r>
        <w:t>Acordando la acumulación de los recursos de amparo 30/1991, 192/1991, 798/1991, 799/1991 y 1.594/1991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2" w:name="AUTO_1992_11"/>
      <w:r>
        <w:lastRenderedPageBreak/>
        <w:t>AUTO 11/1992, de 20 de enero de 1992</w:t>
      </w:r>
    </w:p>
    <w:bookmarkEnd w:id="82"/>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ECLI:ES:TC:1992:11A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no haber lugar al recibimiento a prueba del recurso de amparo 932/1991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3" w:name="AUTO_1992_12"/>
      <w:r>
        <w:lastRenderedPageBreak/>
        <w:t>AUTO 12/1992, de 23 de enero de 1992</w:t>
      </w:r>
    </w:p>
    <w:bookmarkEnd w:id="83"/>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ECLI:ES:TC:1992:12A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Levantando la suspensión, previamente acordada, de determinados preceptos de la Ley del Parlamento de Cataluña 7/1991, de 27 de abril, en el recurso de inconstitucionalidad 1.805/1991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Abogado del Estado, en escrito recibido el 9 de agosto de 1991, interpuso en nombre del Presidente del Gobierno recurso de inconstitucionalidad contra los arts. 1, 2.1, inciso tercero; 2.2., 3.1, 4, 5, 6, 7, 8, 9, 15, 16, 17, 18, 19, 20 y 21 de la Ley del Parlamento de Cataluña 7/1991, de 27 de abril, de Filiaciones. </w:t>
      </w:r>
    </w:p>
    <w:p w:rsidR="00A12D44" w:rsidRDefault="00A12D44" w:rsidP="00A12D44">
      <w:pPr>
        <w:pStyle w:val="TextoNormal"/>
      </w:pPr>
      <w:r>
        <w:t>En otrosí de dicho escrito de interposición, manifestaba el Abogado del Estado que, habiéndose invocado el art. 161.2 C.E., procedía se acordase la suspensión de la vigencia de los preceptos impugnados.</w:t>
      </w:r>
    </w:p>
    <w:p w:rsidR="00A12D44" w:rsidRDefault="00A12D44" w:rsidP="00A12D44">
      <w:pPr>
        <w:pStyle w:val="TextoNormal"/>
      </w:pPr>
    </w:p>
    <w:p w:rsidR="00A12D44" w:rsidRDefault="00A12D44" w:rsidP="00A12D44">
      <w:pPr>
        <w:pStyle w:val="TextoNormal"/>
      </w:pPr>
      <w:r w:rsidRPr="00A12D44">
        <w:rPr>
          <w:rStyle w:val="NumeroAFNegritaCaracter"/>
        </w:rPr>
        <w:t>2</w:t>
      </w:r>
      <w:r>
        <w:t>. Por providencia dictada por la Sección de Vacaciones, el día 12 de agosto último, se acordó admitir a trámite el recurso de inconstitucionalidad promovido por el Abogado del Estado, en representación del Presidente del Gobierno, contra los arts. 1, 2.1, inciso tercero; 2.2., 3.1, 4, 5, 6, 7, 8, 9, 15, 16, 17, 18, 19, 20 y 21 de la Ley del Parlamento de Cataluña 7/1991, de 27 de abril, de Filiaciones, del que se dio traslado al Congreso de los Diputados, al Senado y al Parlamento al Consejo Ejecutivo de Cataluña por plazo de quince días, y se acordó la suspensión de los preceptos impugnados por haberse invocado el art. 161.2 de la Constitución, ordenándose su publicación en el «Boletín Oficial del Estado» y en el «Diario Oficial de Cataluña».</w:t>
      </w:r>
    </w:p>
    <w:p w:rsidR="00A12D44" w:rsidRDefault="00A12D44" w:rsidP="00A12D44">
      <w:pPr>
        <w:pStyle w:val="TextoNormal"/>
      </w:pPr>
    </w:p>
    <w:p w:rsidR="00A12D44" w:rsidRDefault="00A12D44" w:rsidP="00A12D44">
      <w:pPr>
        <w:pStyle w:val="TextoNormal"/>
      </w:pPr>
      <w:r w:rsidRPr="00A12D44">
        <w:rPr>
          <w:rStyle w:val="NumeroAFNegritaCaracter"/>
        </w:rPr>
        <w:t>3</w:t>
      </w:r>
      <w:r>
        <w:t>. Dentro del plazo conferido en la anterior providencia de admisión y prórrogas solicitadas y concedidas, comparecieron el Consejo Ejecutivo de la Generalidad y el Parlamento de Cataluña, formulando sus respectivos escritos de alegaciones en solicitud de que en su día se dicte por el Tribunal Sentencia desestimatoria del presente recurso de inconstitucionalidad.</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la Sección Primera, de 10 de diciembre último, se acordó, próximo a finalizar el plazo de cinco meses que señala el art. 161.2 de la Constitución desde </w:t>
      </w:r>
      <w:r>
        <w:lastRenderedPageBreak/>
        <w:t>que se produjo la suspensión de la vigencia y aplicación de los preceptos impugnados en este recurso, oír a las partes personadas en el mismo para que, en el plazo común de cinco días, alegaren lo que estimaran procedente acerca del mantenimiento o levantamiento de dicha suspensión.</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Abogado del Estado, en escrito recibido el 19 de diciembre, solicita el mantenimiento de la suspensión de los preceptos impugnados, formulando al efecto las siguientes alegaciones: </w:t>
      </w:r>
    </w:p>
    <w:p w:rsidR="00A12D44" w:rsidRDefault="00A12D44" w:rsidP="00A12D44">
      <w:pPr>
        <w:pStyle w:val="TextoNormal"/>
      </w:pPr>
      <w:r>
        <w:t xml:space="preserve">El presente recurso de inconstitucionalidad se dirige contra determinados artículos de la Ley del Parlamento de Cataluña de Filiaciones (L.F.), que contienen una regulación casi completa de la filiación. El tratamiento de una materia tan fundamental y las soluciones legislativas que se adopten deben ser una y las mismas para cualquier parte del territorio nacional. Si se alzare la suspensión esa unidad de tratamiento legislativo quedaría rota en algunos aspectos relacionados con la filiación y, en cuanto ahora importa, padecería la certeza de las expectativas normativas en que el Derecho consiste y que la Constitución garantiza al proclamar el principio de seguridad jurídica como propio de nuestro Estado de Derecho (art. 9.3 C.E.). Y es que la filiación concreta mediata o inmediatamente el régimen de la capacidad y poder de la persona y es el elemento de conexión más importante para decidir la nacionalidad y vecindad civil y, por tanto, para determinar la ley que rige la capacidad (cf. arts. 9, 14, 16 y 17 del Código Civil). </w:t>
      </w:r>
    </w:p>
    <w:p w:rsidR="00A12D44" w:rsidRDefault="00A12D44" w:rsidP="00A12D44">
      <w:pPr>
        <w:pStyle w:val="TextoNormal"/>
      </w:pPr>
      <w:r>
        <w:t xml:space="preserve">Añade el Abogado de Estado que la Ley catalana guarda paralelismo con la regulación de la filiación contenida en el C.C., pero, sin embargo, presenta algunas diferencias cuya aplicación conduciría a resultados distintos de los que se desprenden de las opciones legislativas consagradas en el Código Civil: </w:t>
      </w:r>
    </w:p>
    <w:p w:rsidR="00A12D44" w:rsidRDefault="00A12D44" w:rsidP="00A12D44">
      <w:pPr>
        <w:pStyle w:val="TextoNormal"/>
      </w:pPr>
      <w:r>
        <w:t xml:space="preserve">a) Con arreglo al art. 2.2 L.F., si el hijo naciese dentro de los ciento ochenta días siguientes a la celebración del matrimonio, el marido podrá destruir dicha presunción declarando que desconoce su paternidad. Este principio es el mismo que aparece recogido en el art. 117 C.C. Pero mientras que en el régimen del C.C. la eficacia de esa declaración sólo requiere que sea «formalizada dentro de los seis meses siguientes al conocimiento del parto», la L.F. impone un requisito adicional: que esa declaración tenga acceso al Registro Civil en el plazo de los seis meses siguientes al nacimiento. En el sistema del Código Civil, la mayor parte de la doctrina sostiene que la declaración auténtica es la que consta en documento auténtico público; esto es, la formalizada ante notario o ante el encargado del Registro Civil o en documento judicial. Si se alzare la suspensión del precepto impugnado de la L.F., las declaraciones notariales o incorporadas a documentos judiciales que no hubieren tenido acceso al registro no serían suficientes para destruir la presunción de paternidad matrimonial en Cataluña. Si posteriormente fuese anulado el precepto, esas declaraciones habrán de surtir plena eficacia, con la consiguiente incidencia en el estado civil de las personas afectadas y con evidente quiebra del principio de seguridad jurídica. </w:t>
      </w:r>
    </w:p>
    <w:p w:rsidR="00A12D44" w:rsidRDefault="00A12D44" w:rsidP="00A12D44">
      <w:pPr>
        <w:pStyle w:val="TextoNormal"/>
      </w:pPr>
      <w:r>
        <w:t xml:space="preserve">b) El art. 21 L.F. dispone una serie de sanciones civiles si en el progenitor concurre cualquiera de las circunstancias que también contempla el art. 111 C.C. Pero mientras que en el sistema del C.C. esas sanciones se imponen de forma automática, la L.F. establece que sólo producirán efecto «a petición del hijo mayor de edad o de su representante legal». La aplicación del C.C. conduce a que el progenitor en quien concurra cualquiera de las circunstancias contempladas en el art. 111 C.C. quede excluido, de forma automática, «de la patria potestad y demás funciones tuitivas» y no ostente «derechos por ministerio de la Ley respecto del hijo o sus descendientes o en sus herencias». Si se alzare la suspensión del art. 21 L.F., los progenitores en quienes concurran aquellas circunstancias podrían, por </w:t>
      </w:r>
      <w:r>
        <w:lastRenderedPageBreak/>
        <w:t xml:space="preserve">ejemplo, ostentar derechos legitimarios en la sucesión de sus hijos «desde el momento de su muerte» (art. 657 C.C.), siempre que no se hubiera producido la petición del hijo o de su representante exigida por el art. 21 L.F. Si luego fuere declarado inconstitucional y nulo este precepto, se habría alterado el orden regular sucesorio, en perjuicio de los terceros que hubieran debido suceder, pues, conforme al C.C.. aquellos progenitores nunca habrían ostentado derechos sucesorios por ministerio de la Ley en la herencia del hijo premuerto. </w:t>
      </w:r>
    </w:p>
    <w:p w:rsidR="00A12D44" w:rsidRDefault="00A12D44" w:rsidP="00A12D44">
      <w:pPr>
        <w:pStyle w:val="TextoNormal"/>
      </w:pPr>
      <w:r>
        <w:t>c) En fin, los arts. 2.2c), 5,8 y 16 L.F. recogen una serie de presunciones cuya aplicación en Cataluña, en procesos de reclamación o impugnación de filiación, podría conducir a resultados diferentes de los derivados de la estricta aplicación del C.C.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Consejo Ejecutivo de la Generalidad de Cataluña solicita, en escrito recibido el 21 de diciembre, el levantamiento de la suspensión, en razón de las siguientes alegaciones: </w:t>
      </w:r>
    </w:p>
    <w:p w:rsidR="00A12D44" w:rsidRDefault="00A12D44" w:rsidP="00A12D44">
      <w:pPr>
        <w:pStyle w:val="TextoNormal"/>
      </w:pPr>
      <w:r>
        <w:t xml:space="preserve">Es doctrina consolidada que el levantamiento o mantenimiento de la suspensión derivada de la invocación del art. 161.2 de la C.E. se ha de dirimir en función de la consideración de dos criterios. Por una parte, el del interés general consistente en que las normas jurídicas produzcan normalmente su eficacia, máxime si provienen de las Asambleas Legislativas, pues están revestidas de una presunción de constitucionalidad que hace de su suspensión una medida excepcional y de la prolongación de la misma una posibilidad a utilizar sólo cuando resulte especialmente justificada. Y, por otra parte, deben ponderarse también los perjuicios que a los intereses públicos o de terceros podría ocasionar la prórroga o el cese de la suspensión inicialmente acordada, así como la dificultad de reparar las consecuencias derivadas de una u otra decisión. </w:t>
      </w:r>
    </w:p>
    <w:p w:rsidR="00A12D44" w:rsidRDefault="00A12D44" w:rsidP="00A12D44">
      <w:pPr>
        <w:pStyle w:val="TextoNormal"/>
      </w:pPr>
      <w:r>
        <w:t xml:space="preserve">La norma cuya suspensión se revisa en este caso es una Ley del Parlamento de Cataluña y, por consiguiente, en tanto que se trata de una disposición general emanada de una Asamblea Legislativa, órgano cuya voluntad guarda conexión directa con la voluntad popular, la posibilidad de que sea mantenida la suspensión de los preceptos que han sido impugnados ha de ser contemplada como algo extraordinariamente excepcional y únicamente procedente si la parte actora llegase a demostrar que su vigencia produciría graves e irreparables perjuicios. </w:t>
      </w:r>
    </w:p>
    <w:p w:rsidR="00A12D44" w:rsidRDefault="00A12D44" w:rsidP="00A12D44">
      <w:pPr>
        <w:pStyle w:val="TextoNormal"/>
      </w:pPr>
      <w:r>
        <w:t xml:space="preserve">Pues bien, es de señalar en este punto que en el recurso de inconstitucionalidad presentado por el representante del Presidente del Gobierno del Estado contra 16 de los 21 artículos de la Ley 7/1991, de Filiaciones, no se cuestiona para nada el contenido de dichos preceptos, sino la competencia de la Cámara catalana para. en ejercicio de lo previsto en el art. 9.2 del E.A.C. en relación con el art. 149.1.8 de la C.E., regular esas cuestiones. Y si el propio recurrente afirma al inicio de su escrito que, «muchos de los preceptos impugnados son simple reproducción (en ocasiones, incluso literal) de distintos artículos incluidos en el... Código Civil, en otros casos, las disposiciones estatales que se reproducen o sirven de base a la norma catalana pertenecen a la Ley 35/1988, que regula las Técnicas de Reproducción Asistida Humana, o a la Ley de Enjuiciiamiento Civil», resulta evidente que ningún especial perjuicio puede derivarse para el interés, general o de los particulares, de la aplicación de una regulación material sobre la filiación tan próxima a la establecida en el vigente Código Civil y en las restantes leyes estatales mencionadas. </w:t>
      </w:r>
    </w:p>
    <w:p w:rsidR="00A12D44" w:rsidRDefault="00A12D44" w:rsidP="00A12D44">
      <w:pPr>
        <w:pStyle w:val="TextoNormal"/>
      </w:pPr>
      <w:r>
        <w:t xml:space="preserve">Lo que realmente se plantea en el recurso. señala el Abogado de la Generalidad, es una cuestión de fueros, referida a la interpretación sobre los límites constitucionales a la competencia del Parlamento de Cataluña para legislar en la materia de «derecho civil», planteada en este caso con ocasión de la aprobación de la Ley 7/1991, sobre Filiaciones, como lo fue anteriormente con relación a la Ley 9/1987, sobre Sucesión Intestada. Sin embargo, en la impugnación de esta última ley citada, el representante del Estado no invocó el art. </w:t>
      </w:r>
      <w:r>
        <w:lastRenderedPageBreak/>
        <w:t>161.2 de la C.E., por lo que ni la misma quedó temporalmente suspendida ni hubo lugar al trámite que ahora nos ocupa. Cabe añadir que la coexistencia de varios sistemas de derecho civil tampoco puede redundar en menoscabo de la seguridad jurídica, puesto que en Cataluña existe una antigua y respetada costumbre que lleva a los operadores jurídicos a tener presente la existencia de un Derecho civil propio, aplicable con preferencia al llamado Derecho del Código Civil. Y como precisamente a la materia de filiaciones, que es la regulada en la norma recurrida, la Compilación del año 1960 ya te dedicaba unos artículos, no puede pensarse que estemos ante una materia que, por su carácter novedoso, alguien pueda considerar ajena alas cuestiones tradicionalmente reguladas en el Derecho civil catalán.</w:t>
      </w:r>
    </w:p>
    <w:p w:rsidR="00A12D44" w:rsidRDefault="00A12D44" w:rsidP="00A12D44">
      <w:pPr>
        <w:pStyle w:val="TextoNormal"/>
      </w:pPr>
    </w:p>
    <w:p w:rsidR="00A12D44" w:rsidRDefault="00A12D44" w:rsidP="00A12D44">
      <w:pPr>
        <w:pStyle w:val="TextoNormal"/>
      </w:pPr>
      <w:r w:rsidRPr="00A12D44">
        <w:rPr>
          <w:rStyle w:val="NumeroAFNegritaCaracter"/>
        </w:rPr>
        <w:t>7</w:t>
      </w:r>
      <w:r>
        <w:t>. El Parlamento de Cataluña manifiesta. en escrito recibido el 23 de diciembre, que se ratifica en su escrito de alegaciones, y como sea que en el mismo se sostenía la constitucionalidad de los preceptos impugnados, considera que no debe prorrogarse la suspensión y por tanto, de conformidad con el art. 77 de la Ley Orgánica del Tribunal Constitucional, entiende que debería levantarse.</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Acordada la suspensión de la vigencia de los preceptos impugnados de la Ley del Parlamento de Cataluña 7/1991, de 27 de abril, de Filiaciones, como consecuencia del recurso de inconstitucionalidad promovido por el Presidente del Gobierno, procede, en virtud de los dispuesto en el art. 161.2 de la Constitución, resolver ahora sobre el mantenimiento o levantamiento de la suspensión.</w:t>
      </w:r>
    </w:p>
    <w:p w:rsidR="00A12D44" w:rsidRDefault="00A12D44" w:rsidP="00A12D44">
      <w:pPr>
        <w:pStyle w:val="TextoNormal"/>
      </w:pPr>
      <w:r>
        <w:t>De acuerdo con una reiterada jurisprudencia de este Tribunal, la ratificación o el levantamiento de la suspensión de una norma de una Comunidad Autónoma impugnada por el Gobierno de la Nación, con invocación del art. 161.2 de la Constitución, transcurrido el plazo de cinco meses sin que se haya dictado Sentencia, debe decidirse teniendo en cuenta el alcance de la suspensión y las consecuencias que para los intereses públicos y, en su caso, de los particulares afectados podrían derivarse de una u otra medida, siendo criterio relevante para resolver el de la irreparabilidad o dificultad de reparación de las situaciones que pudieran generarse según cuál sea el sentido de la decisión -ratificación o alzamiento de la suspensión- que se adopte, todo ello examinado a la luz de la naturaleza estrictamente cautelar de la medida y sin prejuzgar en modo alguno la solución que reclame en su día la resolución del fondo del asunto.</w:t>
      </w:r>
    </w:p>
    <w:p w:rsidR="00A12D44" w:rsidRDefault="00A12D44" w:rsidP="00A12D44">
      <w:pPr>
        <w:pStyle w:val="TextoNormal"/>
      </w:pPr>
      <w:r>
        <w:t>Debe tenerse presente asimismo que la prolongación de la suspensión, que impide el normal despliegue de la eficacia de las Leyes y demás disposiciones de las Comunidades Autónomas, es una medida que debe tomarse con sumo cuidado y con carácter excepcional, pues sólo así se evitará en este trámite un indebido bloqueo del ejercicio de sus competencias por las Comunidades Autónomas, lo que implica también que la ratificación de la inicial suspensión automática requiere que el Gobierno, a quien se debe la iniciativa determinante de esta medida excepcional, aporte argumentos o razones que la justifiquen (AATC 139/1982, 466/1984, 356/1985, 385/1985 y 1268/1988), y que han de llevar a la conclusión de que si no se mantuviera la suspensión se producirían previsiblemente graves perjuicios al interés general y, en su caso, a los de aquellos sujetos afectados por la norma impugnada (AATC 674/1986, 1241/1986 y 1242/1988).</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Como ha quedado reflejado en los antecedentes, el Abogado del Estado esgrime como argumento en favor del mantenimiento de la suspensión de todos los preceptos impugnados (aparte de las consideraciones singulares que formula en relación con los arts. 2.2 y 21 de la Ley autonómica) que la materia de filiación requiere un tratamiento único y unas mismas soluciones legislativas en cualquier parte del territorio nacional, de modo que si se alzare la suspensión acordada de los preceptos impugnados esa unidad de tratamiento legislativo quedaría rota y padecería la certeza de las expectativas normativas en que el Derecho consiste y que la Constitución garantiza al proclamar el principio de seguridad jurídica como principio esencial de nuestro Estado de Derecho (art. 9.3 de la Constitución).</w:t>
      </w:r>
    </w:p>
    <w:p w:rsidR="00A12D44" w:rsidRDefault="00A12D44" w:rsidP="00A12D44">
      <w:pPr>
        <w:pStyle w:val="TextoNormal"/>
      </w:pPr>
      <w:r>
        <w:t>Por su parte, el Letrado de la Generalidad estima que la posibilidad de que sea mantenida la suspensión de los preceptos que han sido impugnados ha de contemplarse como algo excepcional, por coherencia con el principio de presunción de legitimidad constitucional de las normas, singularmente de aquéllas que, procediendo de las Asambleas Legislativas autonómicas, tienen rango de Ley. Sólo procedería esta medida si la parte actora llegase a demostrar que su vigencia produciría graves e irreparables perjuicios, lo que no puede sostenerse respecto a la aplicación de una regulación material sobre la filiación tan próxima a la establecida en el vigente Código Civil y demás Leyes estatales, según reconoce la representación del Gobierno de la Nación, sin que, por otra parte, la coexistencia de varios sistemas de Derecho civil, tradicional en Cataluña, redunde en un menoscabo de la seguridad jurídica.</w:t>
      </w:r>
    </w:p>
    <w:p w:rsidR="00A12D44" w:rsidRDefault="00A12D44" w:rsidP="00A12D44">
      <w:pPr>
        <w:pStyle w:val="TextoNormal"/>
      </w:pPr>
      <w:r>
        <w:t>Planteado en estos términos el incidente, hemos de decir ante todo que, si se aceptara el razonamiento que, a juicio del Abogado del Estado, justificaría el mantenimiento de la suspensión de todos los preceptos impugnados, rara vez procedería que este Tribunal acordara el levantamiento de la inicial suspensión automática, pues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seria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En este sentido, salvo en lo que atañe a los arts. 2.2 y 21, ningún daño o perjuicio alega el Ahogado del Estado que pudiera derivarse de la vigencia de los preceptos impugnados, la mayor parte de los cuales, como se admite expresamente en el escrito de interposición del recurso de inconstitucionalidad y ahora recuerda el representante de la Generalidad de Cataluña, vienen a reproducir, en algunos casos literalmente, la legislación estatal en materia de filiación recogida en el Código Civil y en la Ley 35/1988, de 22 de noviembre, de Técnicas de Reproducción Asistida Humana.  Siendo ello así, y dado el carácter preventivo de la suspensión inicialmente acordada y el criterio reiteradamente mantenido por este Tribunal de que sólo cabe mantener esta medida cautelar cuando puedan resultar irreversibles o de muy difícil reparación los efectos negativos dimanantes de su levantamiento, lo que en este supuesto ni se alega ni se acredita, procede levantar la suspensión de la vigencia de los arts. 1, 2.1, inciso tercero; 3.1, 4, 5, 6, 7, 8, 9, 15, 16, 17, 18, 19 y 20 durante la tramitación del presente recurso de inconstitucionalidad.</w:t>
      </w:r>
    </w:p>
    <w:p w:rsidR="00A12D44" w:rsidRDefault="00A12D44" w:rsidP="00A12D44">
      <w:pPr>
        <w:pStyle w:val="TextoNormal"/>
      </w:pPr>
    </w:p>
    <w:p w:rsidR="00A12D44" w:rsidRDefault="00A12D44" w:rsidP="00A12D44">
      <w:pPr>
        <w:pStyle w:val="TextoNormal"/>
      </w:pPr>
      <w:r w:rsidRPr="00A12D44">
        <w:rPr>
          <w:rStyle w:val="NumeroAFNegritaCaracter"/>
        </w:rPr>
        <w:t>3</w:t>
      </w:r>
      <w:r>
        <w:t>. En relación con los arts. 2.2 y 21 de la Ley impugnada, que se refieren, respectivamente, a la destrucción de la presunción de la paternidad matrimonial y a la limitación de los efectos de la declaración de filiación cuando concurran determinadas circunstancias en el progenitor, el Abogado del Estado defiende el mantenimiento de la suspensión de su vigencia, porque, en cuanto al primero de tales preceptos, se podrían irrogar daños a las personas afectadas si las declaraciones notariales o incorporadas a documentos judiciales no se inscribieran en el Registro Civil como exige el citado precepto; y, respecto al segundo, se podrían causar daños a terceros en el orden sucesorio del hijo premuerto al acceder a la herencia el progenitor que, conforme al art. 111 del Código Civil, quedaría excluido de forma automática.</w:t>
      </w:r>
    </w:p>
    <w:p w:rsidR="00A12D44" w:rsidRDefault="00A12D44" w:rsidP="00A12D44">
      <w:pPr>
        <w:pStyle w:val="TextoNormal"/>
      </w:pPr>
      <w:r>
        <w:t>Mas tampoco en relación a los citados preceptos puede prosperar la precedente argumentación favorable a la ratificación de su suspensión. El art. 2.2 reproduce lo dispuesto en el art. 117 del Código Civil en cuanto a la destrucción de la presunción de la paternidad matrimonial, estableciendo como requisito adicional, no previsto en dicho cuerpo legal, la necesidad de que la declaración de desconocimiento de la paternidad tenga acceso al Registro Civil.  La aplicación del precepto impugnado no genera per se perjuicios ciertos y efectivos que justifiquen el mantenimiento de su suspensión frente a la presunción de validez y constitucionalidad del precepto legal impugnado. Es evidente que ningún perjuicio grave al interés general ni a los sujetos afectados por la Ley catalana puede derivarse de que se exija la inscripción en el Registro Civil de las declaraciones a que se refieren tanto el art. 2.2 de dicha Ley como el art. 117 del Código Civil. Tal requisito, además de no causar en sí mismo perjuicio alguno, no puede considerarse como una carga excesiva para quienes estén sometidos a la aplicación de esta Ley, sin olvidar que la inscripción en el Registro Civil aumenta la seguridad de los terceros a través del público acceso al mismo.</w:t>
      </w:r>
    </w:p>
    <w:p w:rsidR="00A12D44" w:rsidRDefault="00A12D44" w:rsidP="00A12D44">
      <w:pPr>
        <w:pStyle w:val="TextoNormal"/>
      </w:pPr>
      <w:r>
        <w:t xml:space="preserve">En relación con el art. 21 de la Ley impugnada, no es posible compartir el único argumento que el Abogado del Estado utiliza para justificar la prolongación de la suspensión del precepto, pues el hipotético daño que se causaría a terceros con derechos en el orden sucesorio del hijo premuerto, si el progenitor accediese a la herencia, es un efecto que la Ley de Filiaciones catalana permite, pero que no impone o hace derivar de su aplicación automática. En realidad, lo único que hace el citado art. 21 es someter el sistema de sanción legal por conducta del progenitor, regulada en el art. 111 del Código Civil, al cumplimiento del requisito de que así lo solicite el hijo mayor de edad o su representante legal, requisito éste que, en sí mismo, no causa perjuicio alguno ni puede considerarse tampoco como una carga excesiva para las personas a las que afecte el precepto en cuestión. Con arreglo a la interpretación que el propio Abogado del Estado hace del precepto en cuestión, dicho requisito implica sólo que si el hijo mayor de edad o su representante legal quieren que opere la sanción prevista en el art. 21 de la Ley impugnada habrán de solicitarlo así; si, por el contrario, quieren evitar aquella sanción legal bastará con que se abstengan de hacer la mencionada petición. La norma impugnada marca ciertamente una diferencia respecto del citado art. 111 del Código Civil, pues mientras que en éste se prevé que las restricciones dejarán de producir efecto por determinación del hijo con plena capacidad o de su representante, en la Ley de Filiaciones catalana se establece, en cambio, que tal solicitud es justamente necesaria para que aquellas restricciones surtan efecto. Pero es evidente que en ambos casos lo decisivo es la voluntad del hijo o de su representante, ya que, en definitiva, si el progenitor que se encuentre en los supuestos descritos en ambos cuerpos legales accede a la herencia del hijo premuerto, en detrimento de terceros. ello ocurrirá en todo caso por voluntad de aquél o de su representante legal. Por último, en una </w:t>
      </w:r>
      <w:r>
        <w:lastRenderedPageBreak/>
        <w:t>ponderación completa de todas las situaciones, no cabe olvidar tampoco, en una hipótesis diferente a la contemplada por el Abogado del Estado, los derechos sucesorios del progenitor, que también podrían resultar afectados si se mantiene la suspensión de la norma legal autonómica. En consecuencia, siendo evidente que de la diferencia normativa señalada no se deriva ningún perjuicio grave o irreparable para nadie, procede que levantemos también la suspensión del art.  21 de la Ley catalana impugna da en este proceso.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acuerda levantar la suspensión de la vigencia de los preceptos impugnados de la Ley del Parlamento de Cataluña 7/1991, de 27 de abril, de Filiaciones.</w:t>
      </w:r>
    </w:p>
    <w:p w:rsidR="00A12D44" w:rsidRDefault="00A12D44" w:rsidP="00A12D44">
      <w:pPr>
        <w:pStyle w:val="TextoNormal"/>
      </w:pPr>
    </w:p>
    <w:p w:rsidR="00A12D44" w:rsidRDefault="00A12D44" w:rsidP="00A12D44">
      <w:pPr>
        <w:pStyle w:val="TextoNormal"/>
      </w:pPr>
      <w:r>
        <w:t>Madrid, a veintitrés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4" w:name="AUTO_1992_13"/>
      <w:r>
        <w:lastRenderedPageBreak/>
        <w:t>AUTO 13/1992, de 23 de enero de 1992</w:t>
      </w:r>
    </w:p>
    <w:bookmarkEnd w:id="84"/>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ECLI:ES:TC:1992:13A</w:t>
      </w:r>
    </w:p>
    <w:p w:rsidR="00A12D44" w:rsidRDefault="00A12D44" w:rsidP="00A12D44">
      <w:pPr>
        <w:pStyle w:val="SntesisDescriptiva"/>
      </w:pPr>
    </w:p>
    <w:p w:rsidR="00A12D44" w:rsidRDefault="00A12D44" w:rsidP="00A12D44">
      <w:pPr>
        <w:pStyle w:val="SntesisDescriptiva"/>
      </w:pPr>
      <w:r>
        <w:t>Excms. Srs. don Fernando García-Mon y González-Regueral,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1.839/1991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de los Tribunales don Carlos de Zulueta y Cebrián, por escrito que ha tenido entrada en este Tribunal el 23 de agosto de 1991, interpone recurso de amparo en representación de «Valtor Securities Inc.» contra el Auto de la Sección Decimotercera de la Audiencia Provincial de Madrid, de 25 de julio de 1991, que desestima el recurso de apelación contra el dictado por el Juzgado de Primera Instancia núm. 32 de Madrid, en el que se declara no haber lugar a la nulidad de actuaciones en el seno de un procedimiento judicial sumario del art. 131 de la Ley Hipotecaria, Autos a los que imputa la vulneración de los arts. 24.1 y 14 de la C.E., solicitando su nulidad.</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que dan origen a la demanda son, en síntesis, los siguientes: </w:t>
      </w:r>
    </w:p>
    <w:p w:rsidR="00A12D44" w:rsidRDefault="00A12D44" w:rsidP="00A12D44">
      <w:pPr>
        <w:pStyle w:val="TextoNormal"/>
      </w:pPr>
      <w:r>
        <w:t xml:space="preserve">a) De forma paralela a la concesión de un crédito personal por parte del National Comercial Bank of Arabia Saudí al financiero don Adnan M. Al-Khashoggi, y como garantía del mismo, se estableció un contrato de constitución de hipoteca por parte de determinadas sociedades entre las que se incluye la ahora recurrente en amparo. Ante el impago de diversas amortizaciones del préstamo personal, el prestamista instó la ejecución hipotecaria ante el Juzgado de Primera Instancia núm. 32 de Madrid. Personada la ahora recurrente, promovió incidente de nulidad de actuaciones basándose en que el deudor principal no había sido requerido de pago y tampoco se le había notificado el extracto de la cuenta de préstamo, tal como establecen los arts. 131.3.3 y, 153.5 de la Ley Hipotecaria. El Juzgado, por Auto de 22 de diciembre de 1989 deniega la solicitud por considerar que el art. 132 de la Ley Hipotecaria prohíbe la suspensión de estos procedimientos, y remite al declarativo ordinario que corresponda el tratamiento de la nulidad. </w:t>
      </w:r>
    </w:p>
    <w:p w:rsidR="00A12D44" w:rsidRDefault="00A12D44" w:rsidP="00A12D44">
      <w:pPr>
        <w:pStyle w:val="TextoNormal"/>
      </w:pPr>
      <w:r>
        <w:t xml:space="preserve">b) Interpuesto recurso de apelación ante la Audiencia Provincial de Madrid, es desestimado por Auto de 25 de julio de 1991 por las mismas razones expuestas. </w:t>
      </w:r>
    </w:p>
    <w:p w:rsidR="00A12D44" w:rsidRDefault="00A12D44" w:rsidP="00A12D44">
      <w:pPr>
        <w:pStyle w:val="TextoNormal"/>
      </w:pPr>
      <w:r>
        <w:t xml:space="preserve">La empresa recurrente considera que las resoluciones judiciales citadas producen una doble vulneración de derechos fundamentales: </w:t>
      </w:r>
    </w:p>
    <w:p w:rsidR="00A12D44" w:rsidRDefault="00A12D44" w:rsidP="00A12D44">
      <w:pPr>
        <w:pStyle w:val="TextoNormal"/>
      </w:pPr>
      <w:r>
        <w:t>- Por una parte, del derecho a la tutela judicial efectiva del art. 24 C.E. con resultado de indefensión, ya que al no haber citado al prestatario se le ha impedido ejercer su derecho a impugnar la certificación, indefensión que también se produce en relación a la ahora recurrente al no serle posible establecer si son adecuadas o no las cantidades reclamadas. Con</w:t>
      </w:r>
      <w:r>
        <w:lastRenderedPageBreak/>
        <w:t xml:space="preserve">sidera que frente a esta vulneración de la tutela judicial efectiva no cabe argumentar que los autos se limitan a remitir al recurrente al procedimiento ordinario que corresponda. </w:t>
      </w:r>
    </w:p>
    <w:p w:rsidR="00A12D44" w:rsidRDefault="00A12D44" w:rsidP="00A12D44">
      <w:pPr>
        <w:pStyle w:val="TextoNormal"/>
      </w:pPr>
      <w:r>
        <w:t>- Por otra parte, del principio de igualdad del art. 14 C.E., «pues dos meses después a la situación expuesta el propio Juzgado suspendió una ejecución hipotecaria para que se notificase al deudor el extracto de la cuenta».</w:t>
      </w:r>
    </w:p>
    <w:p w:rsidR="00A12D44" w:rsidRDefault="00A12D44" w:rsidP="00A12D44">
      <w:pPr>
        <w:pStyle w:val="TextoNormal"/>
      </w:pPr>
    </w:p>
    <w:p w:rsidR="00A12D44" w:rsidRDefault="00A12D44" w:rsidP="00A12D44">
      <w:pPr>
        <w:pStyle w:val="TextoNormal"/>
      </w:pPr>
      <w:r w:rsidRPr="00A12D44">
        <w:rPr>
          <w:rStyle w:val="NumeroAFNegritaCaracter"/>
        </w:rPr>
        <w:t>3</w:t>
      </w:r>
      <w:r>
        <w:t>. La Sección Segunda, por providencia de 15 de noviembre de 1991, tuvo por interpuesto el recurso de amparo, concediendo un plazo común de diez días al Ministerio Fiscal y al solicitante de amparo para que realizasen las alegaciones que estimasen pertinentes en relación ton la posible carencia de la demanda de contenido que justifique una decisión por parte del Tribunal Constitucional.</w:t>
      </w:r>
    </w:p>
    <w:p w:rsidR="00A12D44" w:rsidRDefault="00A12D44" w:rsidP="00A12D44">
      <w:pPr>
        <w:pStyle w:val="TextoNormal"/>
      </w:pPr>
    </w:p>
    <w:p w:rsidR="00A12D44" w:rsidRDefault="00A12D44" w:rsidP="00A12D44">
      <w:pPr>
        <w:pStyle w:val="TextoNormal"/>
      </w:pPr>
      <w:r w:rsidRPr="00A12D44">
        <w:rPr>
          <w:rStyle w:val="NumeroAFNegritaCaracter"/>
        </w:rPr>
        <w:t>4</w:t>
      </w:r>
      <w:r>
        <w:t>. El Ministerio Fiscal dentro del plazo concedido, presenta un escrito en el que se pronuncia por la existencia de la causa de inadmisibilidad prevista en el art. 50.1 c) de la LOTC, al considerar que la inadmisión por el órgano judicial de la petición de nulidad de actuaciones tiene su base legal en el art. 131 de la Ley Hipotecaria, y dicho artículo no vulnera el art. 24 C.E. precisamente porque todos los interesados tienen abierta la vía del juicio declarativo ordinario para la defensa de los intereses (STC 64/1985 y ATC 202/1989).</w:t>
      </w:r>
    </w:p>
    <w:p w:rsidR="00A12D44" w:rsidRDefault="00A12D44" w:rsidP="00A12D44">
      <w:pPr>
        <w:pStyle w:val="TextoNormal"/>
      </w:pPr>
    </w:p>
    <w:p w:rsidR="00A12D44" w:rsidRDefault="00A12D44" w:rsidP="00A12D44">
      <w:pPr>
        <w:pStyle w:val="TextoNormal"/>
      </w:pPr>
      <w:r w:rsidRPr="00A12D44">
        <w:rPr>
          <w:rStyle w:val="NumeroAFNegritaCaracter"/>
        </w:rPr>
        <w:t>5</w:t>
      </w:r>
      <w:r>
        <w:t>. El recurrente insiste en sus alegaciones y en el hecho de que este tipo de incidentes pueden ser solventados en el curso del procedimiento ejecutivo, sin necesidad de acudir al declarativo ordinario.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Denuncia el recurrente en primer lugar la existencia de una vulneración del art. 14 de la C.E. en su vertiente de igualdad en la aplicación de la Ley, que vendría producido por el hecho de que dos meses más tarde, en un supuesto similar, el mismo Juzgado suspendió una ejecución hipotecaria para que se notificase al deudor el extracto de la cuenta. Es tan reiterada jurisprudencia de este Tribunal que se hace ociosa su cita que la vulneración del principio de igualdad en la aplicación de la Ley requiere, entre otras condiciones, la aportación de términos hábiles de comparación, y es evidente que no puede tener tal carácter una resolución judicial posterior a aquélla cuyo amparo se pretende.</w:t>
      </w:r>
    </w:p>
    <w:p w:rsidR="00A12D44" w:rsidRDefault="00A12D44" w:rsidP="00A12D44">
      <w:pPr>
        <w:pStyle w:val="TextoNormal"/>
      </w:pPr>
    </w:p>
    <w:p w:rsidR="00A12D44" w:rsidRDefault="00A12D44" w:rsidP="00A12D44">
      <w:pPr>
        <w:pStyle w:val="TextoNormal"/>
      </w:pPr>
      <w:r w:rsidRPr="00A12D44">
        <w:rPr>
          <w:rStyle w:val="NumeroAFNegritaCaracter"/>
        </w:rPr>
        <w:t>2</w:t>
      </w:r>
      <w:r>
        <w:t>. La cuestión queda por tanto delimitada. como acertadamente señala el Ministerio Fiscal, a dilucidar si la decisión adoptada, primero por el Juzgado de Instancia y luego por la Audiencia Provincial de Madrid, que rechazan la posibilidad de planteamiento del incidente de nulidad en el seno de un procedimiento ejecutivo del art. 131 de la L.H. y la consiguiente remisión al declarativo que corresponda, vulnera el art. 24 de la C.E.</w:t>
      </w:r>
    </w:p>
    <w:p w:rsidR="00A12D44" w:rsidRDefault="00A12D44" w:rsidP="00A12D44">
      <w:pPr>
        <w:pStyle w:val="TextoNormal"/>
      </w:pPr>
      <w:r>
        <w:t>En este sentido hay que concluir, con el Ministerio Fiscal, que la pretensión de la demanda de amparo no trasciende al plano de la legalidad ordinaria, ya que si bien es cierto que el derecho a la tutela judicial efectiva comprende el derecho del interesado a acceder a la jurisdicción, sometiendo a su conocimiento las pretensiones que ante ella deduzca, no lo es menos que no puede hacerlo sino por los cauces y de acuerdo con las normas procesales legalmente establecidas, cauces y normas que compete interpretar y aplicar a la jurisdic</w:t>
      </w:r>
      <w:r>
        <w:lastRenderedPageBreak/>
        <w:t>ción ordinaria, y que en el supuesto de la nulidad de actuaciones del procedimiento ejecutivo del art. 131 de la Ley Hipotecaria, tanto el Juzgado de Instancia como la Audiencia Provincial han entendido que se trataba del declarativo que corresponda.</w:t>
      </w:r>
    </w:p>
    <w:p w:rsidR="00A12D44" w:rsidRDefault="00A12D44" w:rsidP="00A12D44">
      <w:pPr>
        <w:pStyle w:val="TextoNormal"/>
      </w:pPr>
      <w:r>
        <w:t>Tal interpretación no puede en modo alguno ser considerada arbitraria o contraria al art. 24.1 C.E. Por el contrario, es doctrina de este Tribunal (SSTC 41/1981, 64/1985, ATC 202/1989, y recientemente el ATC 282/1991) que no infringe el art. 24.1 de la C.E. la inadmisión de la solicitud de nulidad de actuaciones, pues ésta ha de ventilarse, ante la extraordinaria fuerza ejecutiva del titular y la paralela disminución de la posibilidad de contenerla, característica de estos procedimientos, sin suspender ni entorpecer el procedimiento judicial sumario del art. 131 de la L.H. en el juicio declarativo que corresponda. Precisamente por la existencia de esta posibilidad, es decir, por estar abierta a todos los interesados la vía del declarativo, no se puede afirmar que las decisiones judiciales impugnadas vulneren el art. 24.1 C.E.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lo cual, la Sección declara la inadmisión a trámite del recurso de amparo.  Archívense las actuaciones.</w:t>
      </w:r>
    </w:p>
    <w:p w:rsidR="00A12D44" w:rsidRDefault="00A12D44" w:rsidP="00A12D44">
      <w:pPr>
        <w:pStyle w:val="TextoNormal"/>
      </w:pPr>
    </w:p>
    <w:p w:rsidR="00A12D44" w:rsidRDefault="00A12D44" w:rsidP="00A12D44">
      <w:pPr>
        <w:pStyle w:val="TextoNormal"/>
      </w:pPr>
      <w:r>
        <w:t>Madrid, a veintitrés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5" w:name="AUTO_1992_14"/>
      <w:r>
        <w:lastRenderedPageBreak/>
        <w:t>AUTO 14/1992, de 27 de enero de 1992</w:t>
      </w:r>
    </w:p>
    <w:bookmarkEnd w:id="85"/>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ECLI:ES:TC:1992:14A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imponer al recurrente sanción pecuniaria por su temeridad y mala fe procesal en el recurso de amparo 1.974/1990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6" w:name="AUTO_1992_15"/>
      <w:r>
        <w:lastRenderedPageBreak/>
        <w:t>AUTO 15/1992, de 27 de enero de 1992</w:t>
      </w:r>
    </w:p>
    <w:bookmarkEnd w:id="86"/>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ECLI:ES:TC:1992:15A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2.417/1990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19 de octubre de 1990, don José Luis Granizo y García Cuenca, Procurador de los Tribunales y de don Ricardo Arribas Losáñez y del Ayuntamiento de Leganés, interpone recurso de amparo contra la Sentencia del Juzgado de Distrito núm. 1 de Leganés, de 10 de diciembre de 1988, condenatoria por una falta de imprudencia con resultado de lesiones y daños, confirmada en apelación por el Juzgado de Instrucción núm. 1 de dicha ciudad.</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trae origen de los siguientes antecedentes de hecho: </w:t>
      </w:r>
    </w:p>
    <w:p w:rsidR="00A12D44" w:rsidRDefault="00A12D44" w:rsidP="00A12D44">
      <w:pPr>
        <w:pStyle w:val="TextoNormal"/>
      </w:pPr>
      <w:r>
        <w:t xml:space="preserve">a) La persona física ahora solicitante de amparo, señor Arribas, y otro fueron condenados por el Juzgado de Distrito de referencia, en Sentencia de 10 de diciembre de 1988, como autores de una falta de imprudencia con resultado de lesiones y daños (art. 586.3 del Código Penal) a la pena de multa, reprensión privada y a indemnizar conjunta y solidariamente a una pluralidad de ciudadanos que habían sufrido bien lesiones bien daños en sus propiedades. De estas indemnizaciones se hacían también responsables conjuntos y solidarios al Ayuntamiento de Leganés -ahora igualmente recurrente en amparo- y a una empresa constructora. </w:t>
      </w:r>
    </w:p>
    <w:p w:rsidR="00A12D44" w:rsidRDefault="00A12D44" w:rsidP="00A12D44">
      <w:pPr>
        <w:pStyle w:val="TextoNormal"/>
      </w:pPr>
      <w:r>
        <w:t xml:space="preserve">El Juez declaré como hechos probados: que el Ayuntamiento mencionado contrató con una constructora un proyecto de obra consistente en urbanizar hacer un jardín en unos terrenos; que el director técnico de estas obras y encargado por la Corporación municipal de seguir su realización junto con el jefe de obra era el recurrente, señor Arribas. quien ostentaba la condición de ingeniero; que, en el momento de iniciarse los trabajos, la empresa constructora no tenía unos planos del subsuelo en el que constase la presencia de tuberías de gas ni tampoco los solicitaron al Ayuntamiento, aunque se advirtiera la existencia de esas tuberías después de hacer unas «calas»; que, ello no obstante, el recurrente ni paralizó las obras ni facilitó los planos del subsuelo a los trabajadores, extremo al que venía obligado por el pliego de condiciones suscrito entre la empresa y el Ayuntamiento; que un cierto día de 1982, mientras se usaba una pala excavadora se rompió una tubería de conducción de gas, a resultas de lo cual se produjo un escape y más tarde una explosión violenta, resultando diversas personas con lesiones de consideración y daños de relevancia en distintos comercios y vehículos. </w:t>
      </w:r>
    </w:p>
    <w:p w:rsidR="00A12D44" w:rsidRDefault="00A12D44" w:rsidP="00A12D44">
      <w:pPr>
        <w:pStyle w:val="TextoNormal"/>
      </w:pPr>
      <w:r>
        <w:lastRenderedPageBreak/>
        <w:t>b) Interpuestos varios recursos de apelación por las partes, el Juzgado de Instrucción citado, en Sentencia de 18 de junio de 1990, los desestimó sustancialmente, confirmando la Sentencia recurrida excepto en lo que atañe a la pena de reprensión privada y al interés de las indemnizaciones fijadas, manteniendo el resto de los pronunciamientos.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Los recurrentes consideran que se ha producido una transgresión de su derecho a un proceso sin dilaciones indebidas (art. 24.2 de la Constitución) en virtud del siguiente razonamiento. En 1985 se consideró el procedimiento como falta, correspondiendo por reparto los autos al Juzgado de Distrito núm. 1 de Leganés, sin que en ningún momento los recurrentes aparecieran como imputados; por providencia de 25 de septiembre de 1986 quedó el juicio de faltas pendiente de señalamiento; sin embargo, no se dirigió la acusación contra los recurrentes hasta mucho más tarde, en la celebración del acto del juicio oral: primero el 29 de mayo de 1987, y tras su suspensión a requerimiento del Ministerio Fiscal para poder dirigir la acusación contra ellos, el 4 de noviembre de 1988. Así se llega al día del juicio, el 30 de noviembre de 1988, en el cual es citado el señor Arribas como denunciado y la Corporación Local en concepto de responsable civil. Debe, por tanto, considerarse prescrita la acción penal que en el caso de las faltas tiene un plazo de dos meses, no tanto por la excesiva duración del procedimiento como por el hecho de que la acusación no se ha dirigido contra los recurrentes en un plazo razonable desde que hubo en los autos indicios racionales de culpabilidad (al menos desde 1986), sino mucho después y en el acto del juicio oral a finales de 1988, casi dos años más tarde. Y todo ello redunda en la presencia de unas dilaciones indebidas, que junto a la prescripción fueron alegadas por ambos recurrentes al interponer recurso de apelación. De este modo, el art. 114 del Código Penal establece que la prescripción comienza desde el momento en que se comete el delito, interrumpiéndose desde que el procedimiento se dirija contra el culpable. Y, de admitirse la tesis de que en los juicios de faltas la acusación se dirige en el juicio oral y que, por ello, no existen dilaciones ni prescripción alguna mientras existan actuaciones judiciales, se puede llegar como conclusión a que un procedimiento penal dure «decenas de años» y sorpresivamente en el juicio oral se dirija la acusación contra una persona que nunca ha sido citada en el procedimiento como denunciado. </w:t>
      </w:r>
    </w:p>
    <w:p w:rsidR="00A12D44" w:rsidRDefault="00A12D44" w:rsidP="00A12D44">
      <w:pPr>
        <w:pStyle w:val="TextoNormal"/>
      </w:pPr>
      <w:r>
        <w:t>Por otrosí se solicita la suspensión de la ejecución de las resoluciones recurridas.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14 de enero de 1991, la Sección Primera, de conformidad con lo previsto en el art. 50.3 de la Ley Orgánica del Tribunal Constitucional (en adelante LOTC), acordó conceder un plazo común de diez días al Ministerio Fiscal y a los solicitantes de amparo, para que dentro del mismo alegasen lo que estimasen procedente en relación con la posible existencia de los siguientes motivos de inadmisión: a) no haberse invocado formalmente, tan pronto como hubo ocasión para ello una vez conocida la violación, el derecho a un proceso sin dilaciones indebidas [art. 44.1 c) de la LOTC]; b) carecer la demanda de contenido constitucional que justifique una decisión por parte de este Tribunal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Ministerio Fiscal, en escrito de aleaciones presentado el 29 de enero de 1991, interesa de este Tribunal que inadmita el amparo por concurrir, a su juicio, ambos motivos de inadmisión puestos de manifiesto en la providencia por la que se abrió el trámite. </w:t>
      </w:r>
    </w:p>
    <w:p w:rsidR="00A12D44" w:rsidRDefault="00A12D44" w:rsidP="00A12D44">
      <w:pPr>
        <w:pStyle w:val="TextoNormal"/>
      </w:pPr>
      <w:r>
        <w:t xml:space="preserve">No se acredita haber denunciado las dilaciones indebidas (art. 24.2 de la Constitución), tan pronto como hubo ocasión para ello. Ambos recurrentes debieron efectuar tal denuncia </w:t>
      </w:r>
      <w:r>
        <w:lastRenderedPageBreak/>
        <w:t xml:space="preserve">en el mismo momento en que se dirigió la acusación contra ellos como responsable civil subsidiario y autor, respectivamente, porque -a su juicio- la violación de derechos fundamentales pretendida ya se había producido entonces. No lo hicieron así y se limitaron en ambas instancias procesales a alegar la prescripción de la falta «en clave de legalidad ordinaria», según se desprende de la Sentencia del Juez a quo. La demanda carece de contenido constitucional, puesto que no existen las dilaciones indebidas denunciadas. Ambos órganos judiciales explicaron las razones del retraso en el juicio de faltas, que no se encontraban en la inactividad de aquéllos, sino en la duración normal de estos asuntos en un Juzgado de Distrito de esta clase de poblaciones. Y, para apreciar la supuesta dilación, sólo puede tenerse en cuenta el tiempo transcurrido desde que se produjo la acusación y no antes. </w:t>
      </w:r>
    </w:p>
    <w:p w:rsidR="00A12D44" w:rsidRDefault="00A12D44" w:rsidP="00A12D44">
      <w:pPr>
        <w:pStyle w:val="TextoNormal"/>
      </w:pPr>
      <w:r>
        <w:t>En definitiva, los actores pretenden conseguir en sede constitucional, mediante la denuncia de las dilaciones, lo que no han obtenido del órgano judicial: la estima de la prescripción de la falta.</w:t>
      </w:r>
    </w:p>
    <w:p w:rsidR="00A12D44" w:rsidRDefault="00A12D44" w:rsidP="00A12D44">
      <w:pPr>
        <w:pStyle w:val="TextoNormal"/>
      </w:pPr>
    </w:p>
    <w:p w:rsidR="00A12D44" w:rsidRDefault="00A12D44" w:rsidP="00A12D44">
      <w:pPr>
        <w:pStyle w:val="TextoNormal"/>
      </w:pPr>
      <w:r w:rsidRPr="00A12D44">
        <w:rPr>
          <w:rStyle w:val="NumeroAFNegritaCaracter"/>
        </w:rPr>
        <w:t>6</w:t>
      </w:r>
      <w:r>
        <w:t>. Por escrito de fecha 21 de enero de 1991, don Roberto Granizo Palomeque, Procurador de los Tribunales y del Ayuntamiento de Leganés, se persona y afirma comparecer en sustitución del Procurador anterior, quien había causado baja en la profesión, pidiendo se entendieran con él las sucesivas diligencias. A la vista de este escrito, la Sección tuvo por personado y parte al citado don Roberto Granizo y, mediante providencia de 11 de febrero de 1991, le concedió un segundo plazo de alegaciones de diez días. Por providencia de 15 de marzo de 1991, al no haberse recibido escrito alguno de la parte, se concedió a la misma un nuevo plazo de diez días. Por último, en diligencia de ordenación de 18 de abril de 1991, se hizo constar que había transcurrido con creces el plazo señalado sin haberse recibido las alegaciones requeridas.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Denuncian los recurrentes la prescripción de la falta por haber transcurrido con creces el plazo de dos meses (art. 113, párrafo 6. , en relación con el art. 114 del Código Penal) desde que hubo en los autos unos indicios racionales de la culpabilidad de los demandantes hasta que se dirigió la acusación contra ellos, lo que redunda en unas dilaciones indebidas que vulneran la garantía procesal recogida en el art. 24.2 de la Constitución.</w:t>
      </w:r>
    </w:p>
    <w:p w:rsidR="00A12D44" w:rsidRDefault="00A12D44" w:rsidP="00A12D44">
      <w:pPr>
        <w:pStyle w:val="TextoNormal"/>
      </w:pPr>
      <w:r>
        <w:t>Sin embargo, esta pretendida lesión constitucional no puede ser acogida ni siquiera indiciariamente. Es doctrina reiterada de este Tribunal (por todas, SSTC 157/1990 y 194/1990) que la apreciación en cada caso de la concurrencia o no de la prescripción como causa extintiva de la responsabilidad penal configura una cuestión de mera le corresponde decidir en exclusiva a los Tribunales ordinarios y que carece de relevancia siempre y cuando las decisiones de éstos sean razonadas y fundadas en Derecho. No es competencia de este Tribunal Constitucional, por tanto, interpretar el art. 114, párrafo 1. , del Código Penal cuando dispone que la prescripción se desde que el procedimiento se dirija contra el culpable. ni resolver, con carácter general, si el mero retraso respecto del tiempo normal de realización de los juicios de faltas por el exceso de trabajo debe o no identificarse con la paralización del procedimiento a los efectos de la prescripción (STC 157/1990, fundamento jurídico 5. ). En el caso que nos ocupa, tanto el juzgado de instancia como el de apelación señalaron sobre esta cuestión que entre la providencia de 25 de septiembre de 1986 y el primer señalamiento del juicio oral para el 29 de mayo de 1987 se dictaron dis</w:t>
      </w:r>
      <w:r>
        <w:lastRenderedPageBreak/>
        <w:t>tintas resoluciones posponiendo la vista en virtud de la excesiva carga de trabajo; y que, en definitiva, el procedimiento no había quedado paralizado en el sentido prevenido en el art. 114 del Código Penal para que vuelva a correr el plazo de prescripción.</w:t>
      </w:r>
    </w:p>
    <w:p w:rsidR="00A12D44" w:rsidRDefault="00A12D44" w:rsidP="00A12D44">
      <w:pPr>
        <w:pStyle w:val="TextoNormal"/>
      </w:pPr>
      <w:r>
        <w:t>Por lo demás, ya ha declarado este Tribunal que el derecho a que el proceso se tramite y resuelva en un plazo razonable es independiente del juego de la prescripción penal sin que puedan ser confundidos (SSTC 152/1987, 255/1988 y 83/1989), confusión que es, sin embargo, patente en el planteamiento que en la demanda se hace.</w:t>
      </w:r>
    </w:p>
    <w:p w:rsidR="00A12D44" w:rsidRDefault="00A12D44" w:rsidP="00A12D44">
      <w:pPr>
        <w:pStyle w:val="TextoNormal"/>
      </w:pPr>
    </w:p>
    <w:p w:rsidR="00A12D44" w:rsidRDefault="00A12D44" w:rsidP="00A12D44">
      <w:pPr>
        <w:pStyle w:val="TextoNormal"/>
      </w:pPr>
      <w:r w:rsidRPr="00A12D44">
        <w:rPr>
          <w:rStyle w:val="NumeroAFNegritaCaracter"/>
        </w:rPr>
        <w:t>2</w:t>
      </w:r>
      <w:r>
        <w:t>. Respecto de la supuesta dilación indebida derivada del momento en que se produjo la acusación, es también reiterada nuestra jurisprudencia acerca de que en el juicio de faltas no existen etapas preclusivas, domina el principio de la concentración y la acusación puede dirigirse por el Ministerio Fiscal hasta el instante mismo de la celebración del juicio verbal contra cualquiera de los presentes en el acto del juicio, sin que este momento de la acusación permita invocar una prescripción de la falta que carece de todo apoyo legal.  Y, precisamente para poder dirigir la acusación contra los recurrentes, quienes no estaban presentes, y salvaguardar sus derechos fundamentales, se suspendió la vista en su primer señalamiento a petición del Ministerio Fiscal.</w:t>
      </w:r>
    </w:p>
    <w:p w:rsidR="00A12D44" w:rsidRDefault="00A12D44" w:rsidP="00A12D44">
      <w:pPr>
        <w:pStyle w:val="TextoNormal"/>
      </w:pPr>
      <w:r>
        <w:t>Todo ello no impide, ciertamente, que el retraso del órgano judicial competente pudiera lesionar, en su caso, el derecho a un proceso sin dilaciones indebidas (art. 24.2 de la Constitución), pero es claro que para poder enjuiciar tal lesión en vía de amparo constitucional se requiere la previa denuncia de esas dilaciones ante el órgano judicial de procedencia, argumentando convenientemente su existencia, denuncia que en modo alguno ha resultado convenientemente acreditado que se haya producido. Por el contrario, en ambas resoluciones judiciales, existen claras referencias a la prescripción de la falta pero no a las dilaciones que ahora se denuncian y que, tal y como se plantea la cuestión en la demanda, debieron ser denunciadas desde la primera fecha de señalamiento de la vista, cuando se produjo la acusación de los recurrentes. Esta omisión de la diligencia debida en la invocación formal del derecho fundamental ante el órgano judicial [art. 44.1 c) de la LOTC en relación con el art. 50.1 a) de la misma Ley] obliga a la inadmisión del recurso en este punto.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7" w:name="AUTO_1992_16"/>
      <w:r>
        <w:lastRenderedPageBreak/>
        <w:t>AUTO 16/1992, de 27 de enero de 1992</w:t>
      </w:r>
    </w:p>
    <w:bookmarkEnd w:id="87"/>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ECLI:ES:TC:1992:16A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152/1991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18 de enero de 1991, don José Pedro Vila Rodríguez, Procurador de los Tribunales y de don Juan González Górriz y don Raimundo Sanz Martín, interpone recurso de amparo contra la Sentencia del Juzgado Central de lo Penal núm. 3, de 21 de julio de 1990, condenatoria por un delito contra el régimen de control de cambios confirmada en apelación por la Sala de lo Penal de la Audiencia Nacional.</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trae origen en los siguientes antecedentes de hecho: </w:t>
      </w:r>
    </w:p>
    <w:p w:rsidR="00A12D44" w:rsidRDefault="00A12D44" w:rsidP="00A12D44">
      <w:pPr>
        <w:pStyle w:val="TextoNormal"/>
      </w:pPr>
      <w:r>
        <w:t xml:space="preserve">a) El Juzgado Central de referencia, en Sentencia de 21 de julio de 1990, condenó a los recurrentes, como autores de un delito contra el régimen de control de cambios, a la pena de multa de 2.100.000 pesetas para cada uno de ellos, con arresto sustitutorio en el caso de impago y comiso de la cantidad aprehendida. </w:t>
      </w:r>
    </w:p>
    <w:p w:rsidR="00A12D44" w:rsidRDefault="00A12D44" w:rsidP="00A12D44">
      <w:pPr>
        <w:pStyle w:val="TextoNormal"/>
      </w:pPr>
      <w:r>
        <w:t xml:space="preserve">El Juez declaré probado que ambos acusados y ahora recurrentes en amparo, quienes son, respectivamente, contable y copropietario de una empresa, se dirigían en automóvil a cruzar la frontera con Francia de La Junquera. En la Aduana, la policía les detuvo y descubrió oculta en el vehículo una bolsa con 8.000.000 de pesetas en billetes y otras cantidades de francos franceses y pesetas en diversos bolsillos y carteras. Dicho dinero había sido retirado de las cuentas bancarias de la empresa y estaba destinado a liquidar prontamente las deudas que ésta tenía con una empresa francesa exportadora de carne; todo ello con el fin de evitar verse incursos en un procedimiento concursal al que la empresa acreedora se veía abocada. </w:t>
      </w:r>
    </w:p>
    <w:p w:rsidR="00A12D44" w:rsidRDefault="00A12D44" w:rsidP="00A12D44">
      <w:pPr>
        <w:pStyle w:val="TextoNormal"/>
      </w:pPr>
      <w:r>
        <w:t>b) Interpuesto recurso de apelación por los recurrentes, la Sala de lo Penal de referencia desestimó el recurso y confirmó la resolución apelada en Sentencia de fecha 15 de diciembre de 1990.</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Los recurrentes entienden que han resultado lesionados una pluralidad de sus derechos fundamentales: </w:t>
      </w:r>
    </w:p>
    <w:p w:rsidR="00A12D44" w:rsidRDefault="00A12D44" w:rsidP="00A12D44">
      <w:pPr>
        <w:pStyle w:val="TextoNormal"/>
      </w:pPr>
      <w:r>
        <w:t>a) El derecho a la asistencia de Abogado al detenido en las diligencias policiales y judiciales (art. 17.3 de la Constitución), puesto que el Juzgado Central indicado omitió designar Abogado a los recurrentes, conforme era obligado según los arts. 780, 118 y 788 de la L.E.Crim. Y es obvio que el hecho de que en las primeras diligencias seguidas en el Juzgado núm. 2 de Figueras se le nombrara Abogado defensor no puede colmar esta exigen</w:t>
      </w:r>
      <w:r>
        <w:lastRenderedPageBreak/>
        <w:t xml:space="preserve">cia constitucional en toda la fase instructora del proceso, especialmente una vez que dicho Juzgado se inhibió ante los Juzgados Centrales de Instrucción. </w:t>
      </w:r>
    </w:p>
    <w:p w:rsidR="00A12D44" w:rsidRDefault="00A12D44" w:rsidP="00A12D44">
      <w:pPr>
        <w:pStyle w:val="TextoNormal"/>
      </w:pPr>
      <w:r>
        <w:t xml:space="preserve">b) El derecho a ser informado de la acusación (art. 24.2 de la Constitución), porque si bien los acusados tuvieron conocimiento de las actuaciones practicadas por el Juzgado de Figueras no se les notificó, en cambio, que pasaba a tener competencia sobre los hechos el Juzgado Central de Instrucción correspondiente. Esta infracción, anudada a la que precede, determinó la indefensión de los recurrentes en la fase de instrucción, pues se vieron privados de intervenir en ella. </w:t>
      </w:r>
    </w:p>
    <w:p w:rsidR="00A12D44" w:rsidRDefault="00A12D44" w:rsidP="00A12D44">
      <w:pPr>
        <w:pStyle w:val="TextoNormal"/>
      </w:pPr>
      <w:r>
        <w:t xml:space="preserve">c) El principio de tipicidad de las infracciones contenido en el art. 25.1 de la Constitución se ve vulnerado en un doble aspecto: en primer lugar, porque el propio relato de los hechos probados que consta en la Sentencia del Juez a quo, y que fue aceptado íntegramente en apelación, permitía tener por suficientemente acreditado que la operación de comercio exterior, esto es, de exportación e importación, que los acusados pensaban pagar con el dinero aprehendido, era lícita y perfectamente regular y autorizada, aunque no tuvieran autorizado el concreto pago efectuado; y esta «irregularidad, por su ínfima entidad, no es apta para configurar el ilícito penal»; falta, pues, el requisito de tipicidad y viene, por ello, infringido el art. 25.1 de la Constitución. </w:t>
      </w:r>
    </w:p>
    <w:p w:rsidR="00A12D44" w:rsidRDefault="00A12D44" w:rsidP="00A12D44">
      <w:pPr>
        <w:pStyle w:val="TextoNormal"/>
      </w:pPr>
      <w:r>
        <w:t xml:space="preserve">En segundo término, «es más que dudoso, desde una perspectiva constitucional, que puedan considerarse vigentes las normas que castigan las infracciones en materia de control de cambios en relación con operaciones realizadas con países de la Comunidad Económica Europea» desde que España ratificó el Acta Unica Europea donde se prevé la más absoluta libertad de capitales entre países comunitarios a partir del año 1992 como máximo. En definitiva, los hechos enjuiciados no pueden seguir manteniendo el carácter de delito sino, a lo sumo, resultar acreedores de una simple sanción administrativa. Por otro lado, el Juez confundió el argumento de la defensa al dar respuesta a un supuesto error de prohibición, cuando en realidad se argumentaba la inexistencia de tipicidad. </w:t>
      </w:r>
    </w:p>
    <w:p w:rsidR="00A12D44" w:rsidRDefault="00A12D44" w:rsidP="00A12D44">
      <w:pPr>
        <w:pStyle w:val="TextoNormal"/>
      </w:pPr>
      <w:r>
        <w:t xml:space="preserve">d) Viene también transgredido el derecho al empleo de los medios de prueba (art.24.2 de la Constitución), porque ni en el Juzgado de lo Penal ni ante la Audiencia Nacional se declaró pertinente la prueba propuesta por los acusados que intentaba dejar bien sentado «que la exportación del dinero podía realizarse», pero ambos órganos judiciales denegaron la práctica de esa prueba de indudable relevancia para la defensa. </w:t>
      </w:r>
    </w:p>
    <w:p w:rsidR="00A12D44" w:rsidRDefault="00A12D44" w:rsidP="00A12D44">
      <w:pPr>
        <w:pStyle w:val="TextoNormal"/>
      </w:pPr>
      <w:r>
        <w:t>e) Por último, tampoco hubo intervención de los acusados en la llamada fase intermedia del proceso, vulnerándose de este modo la igualdad de armas entre las partes en el proceso, igualdad que reconoce el art. 24.2 de la Constitución y la doctrina jurisprudencial expuesta en la STC 186/1990. Así, no se admitió la cuestión prejudicial propuesta para acreditar, en vía administrativa, la licitud de la exportación de dinero.</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11 de abril de 1991, la Sección Primera, de conformidad con lo previsto en el art. 50.3 de la LOTC, acordó conceder un plazo común de diez días al Ministerio Fiscal y al solicitante de amparo, para que dentro de dicho término alegasen lo que estimasen pertinente en relación con la posible existencia de los siguientes motivos de inadmisión: a) con carácter subsanable. no acompañar copia del Auto por el cual el Juez a quo no accedió a decretar la nulidad de actuaciones, cuya fecha no se indica [art. 49.2 b) de la LOTC]; b) no se acredita haber invocado formal y oportunamente los derechos fundamentales que se llevan a la demanda de amparo [art. 44.1 c) de la LOTC]; c) carecer la demanda de contenido constitucional que justifique una decisión por parte de este Tribunal [art. 50.1 c) de la LOTC].</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5</w:t>
      </w:r>
      <w:r>
        <w:t xml:space="preserve">. El Ministerio Fiscal, por escrito presentado en el Registro General el 26 de abril de 1991, solicita la inadmisión de la demanda en aplicación de lo dispuesto en el art. 50.1 c) de la LOTC. </w:t>
      </w:r>
    </w:p>
    <w:p w:rsidR="00A12D44" w:rsidRDefault="00A12D44" w:rsidP="00A12D44">
      <w:pPr>
        <w:pStyle w:val="TextoNormal"/>
      </w:pPr>
      <w:r>
        <w:t xml:space="preserve">Se señala, respecto de la invocación formal de derechos fundamentales en la vía judicial previa, que tanto la falta de Letrado en la fase de instrucción como el no haberse practicado la prueba interesada fueron convenientemente invocadas, según se desprende de la lectura de las Sentencias. </w:t>
      </w:r>
    </w:p>
    <w:p w:rsidR="00A12D44" w:rsidRDefault="00A12D44" w:rsidP="00A12D44">
      <w:pPr>
        <w:pStyle w:val="TextoNormal"/>
      </w:pPr>
      <w:r>
        <w:t xml:space="preserve">No obstante, la demanda carece de suficiente contenido constitucional de acuerdo con las siguientes razones: </w:t>
      </w:r>
    </w:p>
    <w:p w:rsidR="00A12D44" w:rsidRDefault="00A12D44" w:rsidP="00A12D44">
      <w:pPr>
        <w:pStyle w:val="TextoNormal"/>
      </w:pPr>
      <w:r>
        <w:t xml:space="preserve">El derecho a la asistencia letrada al detenido (art. 17.3 de la Constitución) y al imputado (art. 24.2 de la Constitución) no ha resultado infringido, puesto que la propia demanda reconoce que en el momento de la detención les fue designado Ahogado de oficio, al no hacer uso los recurrentes de su derecho a designarlo, y se reconoce también que se les informó de que el mismo Letrado que les había asistido ejercería su defensa en las subsiguientes actuaciones. Se denuncia que, al pasar las actuaciones del Juzgado de Instrucción de Figueras al Central de Madrid, quien era competente para conocer del asunto, este segundo Juzgado no proveyó a la asistencia Letrada de los imputados; y se advierte que no gozaron de tal asistencia hasta que nombraron un Abogado de libre designación, una vez formulada acta de acusación por el Ministerio Fiscal y abierto el juicio oral. Pero, a la luz dé lo expuesto, es patente que tuvieron asistencia de Abogado como detenidos y el siguiente paso en que se requiere de forma ineluctable de asistencia letrada es el previsto en el art. 791.1 de la L.E.Crim., requisito que fue debidamente observado. </w:t>
      </w:r>
    </w:p>
    <w:p w:rsidR="00A12D44" w:rsidRDefault="00A12D44" w:rsidP="00A12D44">
      <w:pPr>
        <w:pStyle w:val="TextoNormal"/>
      </w:pPr>
      <w:r>
        <w:t xml:space="preserve">El pretendido desconocimiento por los interesados del procedimiento acordado, infringiendo lo dispuesto en el art. 780, párrafo último, de la L.E.Crim. sería, a lo sumo, una mera infracción personal a la que no puede anudarse una situación de indefensión de relevancia constitucional. </w:t>
      </w:r>
    </w:p>
    <w:p w:rsidR="00A12D44" w:rsidRDefault="00A12D44" w:rsidP="00A12D44">
      <w:pPr>
        <w:pStyle w:val="TextoNormal"/>
      </w:pPr>
      <w:r>
        <w:t xml:space="preserve">Tampoco se ha vulnerado el principio de legalidad penal (art. 25.1 de la Constitución). por la supuesta falta de tipicidad de los hechos, porque tal y como se razona esta cuestión en la demanda queda residenciada en el campo de la legalidad penal. Son de igual modo irrelevantes, en vía de amparo constitucional, las consideraciones sobre la inoportunidad de la ley de control de cambios. </w:t>
      </w:r>
    </w:p>
    <w:p w:rsidR="00A12D44" w:rsidRDefault="00A12D44" w:rsidP="00A12D44">
      <w:pPr>
        <w:pStyle w:val="TextoNormal"/>
      </w:pPr>
      <w:r>
        <w:t>Respecto del derecho al empleo de los medios de prueba pertinentes (art. 24.2 de la Constitución), a causa de no practicarse el envío de una comisión rogatoria a Francia para acreditar la existencia de una deuda que se pretendía abonar con el dinero ocupado al salir de España, debe señalarse que, evidentemente, esta solicitud sólo cobra sentido de no estimarse suficientemente demostrada la presencia de la deuda o su relevancia para el enjuiciamiento de los hechos, pero ya había el Juez de lo Penal puesto de manifiesto que, a efectos del tipo sancionador, la práctica de esta prueba era impertinente, porque lo realmente importante era la salida de una cantidad de dinero fuera del territorio nacional.</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Por su parte, los recurrentes, mediante escrito de alegaciones registrado el 29 de abril de 1991, aportan copia del Auto requerido, de fecha 15 de enero de 1990, y solicitan la admisión a trámite del amparo. </w:t>
      </w:r>
    </w:p>
    <w:p w:rsidR="00A12D44" w:rsidRDefault="00A12D44" w:rsidP="00A12D44">
      <w:pPr>
        <w:pStyle w:val="TextoNormal"/>
      </w:pPr>
      <w:r>
        <w:t>En relación a lo establecido en el art. 44.1 c) de la LOTC, «entendemos que... constituye un requisito de fondo, a examinar al momento de dictarse Sentencia y que, por la propia estructura procesal del recurso de amparo, no debe acreditarse acompañando documentación al propio escrito de recurso», pues tal exigencia no se deduce del art. 49.2 de la LOTC. De todos modos, en el Auto que ahora se adjunta y que resuelve el recurso de nu</w:t>
      </w:r>
      <w:r>
        <w:lastRenderedPageBreak/>
        <w:t xml:space="preserve">lidad de actuaciones se advierte la denuncia de los derechos fundamentales. No es posible, en cambio, facilitar copia del acta del juicio oral, pues el acta es un documento que queda unido a las actuaciones «sin que se facilite copia de ella a las partes». </w:t>
      </w:r>
    </w:p>
    <w:p w:rsidR="00A12D44" w:rsidRDefault="00A12D44" w:rsidP="00A12D44">
      <w:pPr>
        <w:pStyle w:val="TextoNormal"/>
      </w:pPr>
      <w:r>
        <w:t xml:space="preserve">En lo atinente al fondo del asunto, la infracción de los arts. 118, 780 y 788.5 de la L.E.Crim. produjo la lesión del derecho a la asistencia de Abogado recogido en los arts. 17.3 y 24.2 de la Constitución. También la vulneración del art. 780 de la Ley procesal redunda en la transgresión del derecho a ser informado de la acusación (art. 24.2 de la norma suprema). </w:t>
      </w:r>
    </w:p>
    <w:p w:rsidR="00A12D44" w:rsidRDefault="00A12D44" w:rsidP="00A12D44">
      <w:pPr>
        <w:pStyle w:val="TextoNormal"/>
      </w:pPr>
      <w:r>
        <w:t xml:space="preserve">La violación del art. 25.2 de la Constitución deriva de la vulneración del principio de tipicidad a causa de la imposibilidad de incardinar la conducta de los acusados en el tipo y, además, por aparecer como dudosa la vigencia de la norma punitiva. </w:t>
      </w:r>
    </w:p>
    <w:p w:rsidR="00A12D44" w:rsidRDefault="00A12D44" w:rsidP="00A12D44">
      <w:pPr>
        <w:pStyle w:val="TextoNormal"/>
      </w:pPr>
      <w:r>
        <w:t>Por último, se infringe el derecho a la utilización de los medios de prueba pertinentes, «que establece el art. 25.2 de la Constitución», dado que no se practicó una prueba de descargo.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En el trámite abierto por nuestra providencia del 1 de abril de 1991, los recurrentes han acreditado oportunamente que invocaron sus derechos fundamentales a ser informados de la acusación y al empleo de los medios de prueba pertinentes, cuando se les dio traslado de la causa para que formularan sus calificaciones en trámite del art. 79 1.1 de la L.E.Crim.; y, en el escrito de fecha 19 de diciembre de 1989 por el que se promueve recurso de reforma se argumentó también sobre la «debida asistencia jurídica» y la designación de Abogado. Es patente también que, tal y como los demandantes argumentan en torno al art. 25.1 de la Constitución, carecía de sentido la invocación de este derecho hasta que recayó una sentencia condenatoria. De todo ello se infiere que se han satisfecho las exigencias procesales que se derivan del art. 44.1 c) de la LOTC. a la luz de la documentación aportada por la parte en trámite del art. 50.3 de la LOTC.</w:t>
      </w:r>
    </w:p>
    <w:p w:rsidR="00A12D44" w:rsidRDefault="00A12D44" w:rsidP="00A12D44">
      <w:pPr>
        <w:pStyle w:val="TextoNormal"/>
      </w:pPr>
    </w:p>
    <w:p w:rsidR="00A12D44" w:rsidRDefault="00A12D44" w:rsidP="00A12D44">
      <w:pPr>
        <w:pStyle w:val="TextoNormal"/>
      </w:pPr>
      <w:r w:rsidRPr="00A12D44">
        <w:rPr>
          <w:rStyle w:val="NumeroAFNegritaCaracter"/>
        </w:rPr>
        <w:t>2</w:t>
      </w:r>
      <w:r>
        <w:t>. No obstante, respecto del fondo del asunto, procede confirmar la falta manifiesta de contenido constitucional de la demanda que indiciariamente advertimos en la providencia arriba citada [art. 50.1 c) de la LOTC].</w:t>
      </w:r>
    </w:p>
    <w:p w:rsidR="00A12D44" w:rsidRDefault="00A12D44" w:rsidP="00A12D44">
      <w:pPr>
        <w:pStyle w:val="TextoNormal"/>
      </w:pPr>
      <w:r>
        <w:t xml:space="preserve">No ha habido violación del derecho a la asistencia letrada en las diligencias policiales (art. 17.3 de la Constitución) ni en las judiciales practicadas en fase de instrucción (art. 24.2), porque los mismos recurrentes admiten que en las respectivas diligencias de detención «se les instruyó de su derecho a designar Abogado que les defendiera», sin que hicieran uso de ese derecho, no obstante lo cual les fue designado Abogado de oficio. Por consiguiente, lo ocurrido se debe sólo a la renuncia de los detenidos al ejercicio de su derecho a la libre designación de Abogado en ese momento y, en todo caso, estuvieron asistidos de Abogado de oficio durante la detención, lo que hace que no pueda considerarse vulnerado el art. 17.3 de la Constitución (ATC 191/1984). Resulta también acreditado, como destaca el Ministerio Fiscal, que igualmente estuvieron asistidos de Letrado, en trámite del art. 791.1 de la L.E.Crim.  Además, la falta de asistencia letrada sólo determina indefensión y una violación del citado art. 17.3 o, en su caso, del art. 24.2 de la norma suprema si, como consecuencia de ella, el procesado hubiera visto perjudicada su situación procesal y generada una posterior indefensión, de tal manera que debe acreditarse la presencia de una relación de causalidad entre esta omisión s. la Sentencia condenatoria (STC 94/1983 y ATC </w:t>
      </w:r>
      <w:r>
        <w:lastRenderedPageBreak/>
        <w:t>606/1985). Pero nada de esto se hace en la demanda ni se advierten indicios de indefensión alguna. Por el contrario, cuando se esgrimió la misma tacha ante la Audiencia Nacional, la Sala hizo constar en su Sentencia que cualquier omisión en fase de instrucción no produjo indefensión de los acusados, quienes «posteriormente gozaron de las suficientes garantías y estuvieron perfectamente defendidos» (fundamento jurídico 2. ).</w:t>
      </w:r>
    </w:p>
    <w:p w:rsidR="00A12D44" w:rsidRDefault="00A12D44" w:rsidP="00A12D44">
      <w:pPr>
        <w:pStyle w:val="TextoNormal"/>
      </w:pPr>
      <w:r>
        <w:t>El derecho a ser informado de la acusación (art. 24.2 de la Constitución) y la interdicción de indefensión suponen únicamente que el acusado debe conocer la acusación contra él formulada en el curso del proceso penal, por cualquier medio, y que ha de tener oportunidad de defenderse frente a ella mediante un correspondiente debate procesal (SSTC 105/1983 y 17/1988, entre otras). Esta garantía constitucional ha sido satisfecha en este caso desde el momento en que los acusados tuvieron conocimiento de las actuaciones practicadas: primero, ante el Juzgado de Figueras y luego, ante el correspondiente Central, por el mismo delito monetario que fue objeto de acusación por el Ministerio Público y más tarde de condena, circunstancia que en la propia demanda se reconoce. Por otra parte, sobre este alegato los recurrentes ya han recibido una adecuada motivación de rechazo en el Auto del Juzgado Central de Instrucción núm. 5, de fecha 15 de enero 1990, fundamento jurídico 1.</w:t>
      </w:r>
    </w:p>
    <w:p w:rsidR="00A12D44" w:rsidRDefault="00A12D44" w:rsidP="00A12D44">
      <w:pPr>
        <w:pStyle w:val="TextoNormal"/>
      </w:pPr>
      <w:r>
        <w:t>El entendimiento que la defensa de los recurrentes hace del derecho fundamental constitucionalizado en el art. 25.1 de la Norma suprema carece de todo fundamento. En efecto, este precepto constitucional, al consagrar el principio de legalidad sancionadora comprende una doble garantía: la primera de orden material y relativa a la predeterminación normativa de las conductas de manera estricta y taxativa; y la segunda, de índole formal, y atinente al rango legal de las normas tipificadoras (STC 3/1988, entre otras múltiples).  Pero la simple invocación del art. 25.1 de la Constitución no permite llevar al amparo constitucional una pretensión de revisión de la calificación de los hechos realizada por los Tribunales penales que son los únicos que tienen potestad para ello.</w:t>
      </w:r>
    </w:p>
    <w:p w:rsidR="00A12D44" w:rsidRDefault="00A12D44" w:rsidP="00A12D44">
      <w:pPr>
        <w:pStyle w:val="TextoNormal"/>
      </w:pPr>
      <w:r>
        <w:t>Tampoco ha sido lesionado el derecho al empleo de los medios de prueba pertinentes (art. 24.2 de la Constitución). Los Tribunales penales han de estimar la pertinencia de las pruebas propuestas y su relevancia para el esclarecimiento de los hechos y, en el presente caso, en ningún momento los recurrentes niegan haber intentado cruzar la frontera con un importante número de billetes sin poseer la correspondiente autorización administrativa para ello, lo que, independientemente de cuanto se argumenta sobre la actividad de comercio exterior y el pago de una deuda, configura el supuesto «típico más claro del delito monetario», según afirma la Audiencia Nacional en el fundamento jurídico 2. de su Sentencia. Cabe de ahí deducir claramente la irrelevancia de la prueba propuesta, encaminada a demostrar la existencia de una deuda, como afirma el órgano judicial de procedencia.</w:t>
      </w:r>
    </w:p>
    <w:p w:rsidR="00A12D44" w:rsidRDefault="00A12D44" w:rsidP="00A12D44">
      <w:pPr>
        <w:pStyle w:val="TextoNormal"/>
      </w:pPr>
      <w:r>
        <w:t>Por último, en lo que atañe a la igualdad de las partes en la fase intermedia del proceso (art. 790.1 L.E.Crim.)  y a la invocación de la doctrina jurisprudencial expuesta en la STC 186/1990, es manifiesto que los recurrentes no acreditan su ausencia de intervención en dicha fase, sino sólo que la cuestión prejudicial propuesta no se admitió por ser irrelevante para el esclarecimiento de los hechos.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8" w:name="AUTO_1992_17"/>
      <w:r>
        <w:lastRenderedPageBreak/>
        <w:t>AUTO 17/1992, de 27 de enero de 1992</w:t>
      </w:r>
    </w:p>
    <w:bookmarkEnd w:id="88"/>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ECLI:ES:TC:1992:17A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253/1991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que tuvo entrada en este Tribunal el 4 de febrero de 1991, la Procuradora de los Tribunales doña Aurora Gómez-Villaboa y Mandri interpone, en nombre y representación de don Florencio Palomino Peinado, recurso de amparo contra la Sentencia de 11 de mayo de 1990 de la Audiencia Provincial de Ciudad Real, dictada en apelación de la del procedimiento abreviado núm. 85/89 por el Juzgado de Instrucción núm. 1 de la misma ciudad.</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basa, en síntesis, en los siguientes hechos: </w:t>
      </w:r>
    </w:p>
    <w:p w:rsidR="00A12D44" w:rsidRDefault="00A12D44" w:rsidP="00A12D44">
      <w:pPr>
        <w:pStyle w:val="TextoNormal"/>
      </w:pPr>
      <w:r>
        <w:t xml:space="preserve">A) El 13 de noviembre de 1988 se celebraron elecciones para la renovación de distintos cargos del consejo rector de la Cooperativa Agrícola «El Progreso», de Villarrubia de los Ojos (Ciudad Real), en las que resultó reelegido como presidente don José Zamora Sánchez Crespo frente a la candidatura presentada por el recurrente, que resultó derrotada en dicho proceso electoral. Finalizado el mismo, el demandante realizó una serie de manifestaciones al diario provincial «Lanza», publicadas el 18 de noviembre de 1988, en las que afirmaba que el candidato electo «se salto la Ley cuando te convino y mostró un desprecio por la misma inconcebible en esta época», «el presidente de la Cooperativa actuó de manera dictatorial y antidemocrática», «fue elegido entre irregularidades y cacicadas, mediante triquiñuelas y obstáculos», afirmando en relación con las cuentas de la Cooperativa que «estaba adecuando intereses muy bajos en perjuicio de los cooperativistas» y que don José Zamora «mantiene una actitud antidemocrática y dictatorial». </w:t>
      </w:r>
    </w:p>
    <w:p w:rsidR="00A12D44" w:rsidRDefault="00A12D44" w:rsidP="00A12D44">
      <w:pPr>
        <w:pStyle w:val="TextoNormal"/>
      </w:pPr>
      <w:r>
        <w:t xml:space="preserve">Con posterioridad, en la emisora radiofónica «Cope» responsabilizó a la Junta Directiva presidida por el señor Zamora de «haber llevado a la Cooperativa a la ruina» y que el Fiscal de la Audiencia estaba estudiando la posibilidad de procesarlo. Tales declaraciones radiofónicas fueron, sin embargo, rectificadas el 2 de noviembre de 1988. </w:t>
      </w:r>
    </w:p>
    <w:p w:rsidR="00A12D44" w:rsidRDefault="00A12D44" w:rsidP="00A12D44">
      <w:pPr>
        <w:pStyle w:val="TextoNormal"/>
      </w:pPr>
      <w:r>
        <w:t xml:space="preserve">El 1 de diciembre del mismo año, nuevamente en el diario «Lanza», otro artículo refería expresiones vertidas por el recurrente contra el presidente de la Cooperativa en las que se señalaba «la existencia de un agujero en ésta de unos 100.000.000 de pesetas.» y se aludía a otro «asuntillo» relativo a una reclamación interpuesta por Bodegas Echenk, S. A., empresa que no es cliente de la Cooperativa, y que habría que investigar cómo pueden reclamarse facturas que no se han producido. </w:t>
      </w:r>
    </w:p>
    <w:p w:rsidR="00A12D44" w:rsidRDefault="00A12D44" w:rsidP="00A12D44">
      <w:pPr>
        <w:pStyle w:val="TextoNormal"/>
      </w:pPr>
      <w:r>
        <w:lastRenderedPageBreak/>
        <w:t xml:space="preserve">B) A consecuencia de tales artículos periodísticos, el señor Zamora formuló querella contra el actor por un posible delito de injurias graves, que dio lugar al procedimiento abreviado núm. 85/89 del Juzgado de Instrucción núm. 1 de Ciudad Real en el que, formulado escrito de calificación por la representación del querellante y por la defensa, se acordó la apertura del juicio oral mediante Auto, más tarde dejado sin efecto por haberse omitido la calificación del Ministerio Fiscal, y, evacuada ésta, se celebró el juicio oral, dictándose Sentencia el 2 de diciembre de 1989 que condenó al demandante como autor de un delito de injurias leves, hechas por escrito y con publicidad, a la pena de 400.000 pesetas de multa, costas e indemnización a don José Zamora Sánchez Crespo de 100.000 pesetas. </w:t>
      </w:r>
    </w:p>
    <w:p w:rsidR="00A12D44" w:rsidRDefault="00A12D44" w:rsidP="00A12D44">
      <w:pPr>
        <w:pStyle w:val="TextoNormal"/>
      </w:pPr>
      <w:r>
        <w:t>C) Contra la anterior Sentencia se interpuso recurso de apelación, en el que se ponía de manifiesto la indefensión sufrida por el apelante al no haberse practicado parte de las pruebas propuestas en el escrito de calificación y por no habérsele dado traslado para nueva calificación tras el escrito de acusación del Ministerio Fiscal. Dicho recurso fue resuelto mediante Sentencia de la Audiencia Provincial de Ciudad Real que, tras considerar que el principal objetivo de las manifestaciones del recurrente era el de la crítica, afirmaba que éste traspasó los límites de la divergencia para entrar en el terreno de la afrenta y el vituperio, pero que estas expresiones poseen una escasísima entidad, si se tiene como inmersas en la situación concreta en la que se producen. Por ello revocaba la Sentencia de instancia y condenaba al recurrente como autor de una falta de injurias livianas del art. 586 del Código Penal, a una multa de 25.000 pesetas e indemnización de 100.000 pesetas al perjudicado.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representación del recurrente considera que se han infringido los derechos fundamentales a utilizar los medios de prueba pertinentes para su defensa y se le ha causado indefensión, por tal motivo y por no habérsele dado la oportunidad de calificar los hechos con posterioridad a la acusación del Ministerio Fiscal. Igualmente, se ha conculcado su derecho a expresar y difundir libremente sus pensamientos, palabras y opiniones. De esta manera han sido vulnerados los arts. 24.1 y 2 y 20.1 a) de la Constitución. </w:t>
      </w:r>
    </w:p>
    <w:p w:rsidR="00A12D44" w:rsidRDefault="00A12D44" w:rsidP="00A12D44">
      <w:pPr>
        <w:pStyle w:val="TextoNormal"/>
      </w:pPr>
      <w:r>
        <w:t xml:space="preserve">En relación con el derecho a utilizar los medios de prueba pertinentes, afirma que la prueba articulada en su escrito de defensa tenía como objetivo acreditar alguna de sus aseveraciones: como la que se refería a que el señor Zamora se había burlado de una orden del Juzgado de Instrucción de Daimiel, la dirigida a justificar lo del agujero de más de 100.000.000 de pesetas a través de una certificación de la Delegación de Hacienda, y a aportar una serie de documentos de la Dirección General de Cooperativas que probaban las irregularidades acaecidas en la Asamblea de renovación de cargos. Tales pruebas fueron admitidas en un primer momento por el Juzgado de Instrucción y, posteriormente, en la resolución que acordó la nulidad del autor de apertura del juicio oral, se omitió cualquier referencia a la misma. Tampoco se resolvió el recurso interpuesto contra dicho Auto, ni se aceptó la prueba al iniciarse las sesiones del juicio oral. Es patente, pues, la indefensión ocasionada, ya que se le ha impedido articular prueba sobre los hechos que determinaron su posterior condena. </w:t>
      </w:r>
    </w:p>
    <w:p w:rsidR="00A12D44" w:rsidRDefault="00A12D44" w:rsidP="00A12D44">
      <w:pPr>
        <w:pStyle w:val="TextoNormal"/>
      </w:pPr>
      <w:r>
        <w:t xml:space="preserve">En segundo lugar, se alega que se han infringido los arts. 790 y 791 de la L.E.Crim. debido a que la defensa calificó con anterioridad al Ministerio Fiscal. Tal actuación procesal es causante de indefensión, pues el orden en las calificaciones es materia de derecho necesario que debe ser respetada por los Tribunales como medio de garantizar la tutela judicial efectiva. </w:t>
      </w:r>
    </w:p>
    <w:p w:rsidR="00A12D44" w:rsidRDefault="00A12D44" w:rsidP="00A12D44">
      <w:pPr>
        <w:pStyle w:val="TextoNormal"/>
      </w:pPr>
      <w:r>
        <w:t xml:space="preserve">Por último, se ha negado en la Sentencia recurrida el derecho a la libertad de expresión. El contenido sustancial de las expresiones, que es lo que valora la Sala, sólo puede ser </w:t>
      </w:r>
      <w:r>
        <w:lastRenderedPageBreak/>
        <w:t xml:space="preserve">calificado como una crítica amparada en el ejercicio de tal derecho, ya que éstas van dirigidas exclusivamente a exponer la mala gestión del presidente de la Cooperativa y las irregularidades con que se celebró la Asamblea de socios que eligió los nuevos cargos directivos. No se puede olvidar que el recurrente es cooperativista, candidato a la presidencia de la Cooperativa, y que está legitimado para llevar a cabo las declaraciones que hizo, ejercitando su derecho a informar a los demás socios de las irregularidades con que se había celebrado la Asamblea. </w:t>
      </w:r>
    </w:p>
    <w:p w:rsidR="00A12D44" w:rsidRDefault="00A12D44" w:rsidP="00A12D44">
      <w:pPr>
        <w:pStyle w:val="TextoNormal"/>
      </w:pPr>
      <w:r>
        <w:t>Por todo ello, solicita de este Tribunal que declare nula la Sentencia dictada por la Audiencia Provincial de Ciudad Real el 11 de mayo de 1990, revocándola y absolviendo al recurrente de la pena impuesta en la misma. Con carácter subsidiario pide que se declare nula dicha Sentencia y se repongan las actuaciones al momento de interposición del recurso de apelación, para que se practique la prueba solicitada y se dicte, en virtud de la misma, una nueva Sentencia.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18 de febrero de 1991, la Sección Primera de la Sala Primera de este Tribunal acordó tener por interpuesto recurso de amparo por don Florencio Palomino Peinado y, a tenor de lo dispuesto en el art. 50.5 de la LOTC, se concedió a la Procuradora señora Gómez-Villaboa y Mandri un plazo de diez días para que presentase el poder que acreditaba su representación y para que, de forma fehaciente, acreditase la fecha de notificación de la Sentencia de la Audiencia Provincial de Ciudad Real.</w:t>
      </w:r>
    </w:p>
    <w:p w:rsidR="00A12D44" w:rsidRDefault="00A12D44" w:rsidP="00A12D44">
      <w:pPr>
        <w:pStyle w:val="TextoNormal"/>
      </w:pPr>
    </w:p>
    <w:p w:rsidR="00A12D44" w:rsidRDefault="00A12D44" w:rsidP="00A12D44">
      <w:pPr>
        <w:pStyle w:val="TextoNormal"/>
      </w:pPr>
      <w:r w:rsidRPr="00A12D44">
        <w:rPr>
          <w:rStyle w:val="NumeroAFNegritaCaracter"/>
        </w:rPr>
        <w:t>5</w:t>
      </w:r>
      <w:r>
        <w:t>. Mediante nueva providencia de 16 de septiembre de 1991 se tuvo por personada y parte en nombre y representación del recurrente a la expresada procuradora y, a tenor de lo dispuesto en el art. 50.3 de la LOTC, se concedió un plazo común de diez días al Ministerio Fiscal y al solicitante de amparo para que alegaran lo que estimasen conveniente sobre la posible existencia del siguiente motivo de inadmisión: carecer la demanda manifiestamente de contenido que justifique una decisión por parte del Tribunal Constitucional, de conformidad con lo prevenido en el art. 50 1 c) de la LOTC.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En su escrito de alegaciones, presentado el 1 de octubre de 1991, el Ministerio Fiscal solicita la inadmisión del recurso por carecer la demanda de contenido constitucional y, a tal respecto, afirma que, en cuanto a la denegación de pruebas propuestas en primera instancia y apelación, el derecho a utilizar los medios de prueba pertinentes no implica merma ninguna de la potestad judicial de declarar la pertinencia de las propuestas, ya que ésta es una valoración que corresponde, libre y razonadamente, realizar al Juez, sin que la inadmisión de un medio de prueba determinado suponga lesión del precepto constitucional, al exigir el mismo texto del art. 24.2 C.E. que las pruebas sean pertinentes. </w:t>
      </w:r>
    </w:p>
    <w:p w:rsidR="00A12D44" w:rsidRDefault="00A12D44" w:rsidP="00A12D44">
      <w:pPr>
        <w:pStyle w:val="TextoNormal"/>
      </w:pPr>
      <w:r>
        <w:t xml:space="preserve">En cuanto al defecto que se imputa a la tramitación del procedimiento abreviado, consistente en dar traslado a la defensa para calificar antes que al Fiscal, tal irregularidad no incidió en el principio acusatorio ni en el derecho a la defensa pues, como manifiesta la Sentencia impugnada, el inculpado tuvo, con antelación bastante al juicio, conocimiento de la pretensión del Fiscal y de su posicionamiento acusatorio. </w:t>
      </w:r>
    </w:p>
    <w:p w:rsidR="00A12D44" w:rsidRDefault="00A12D44" w:rsidP="00A12D44">
      <w:pPr>
        <w:pStyle w:val="TextoNormal"/>
      </w:pPr>
      <w:r>
        <w:t xml:space="preserve">Con relación a la vulneración del derecho a la libertad de expresión del art. 20.1 a) de la Constitución, comienza señalando que este derecho, junto con la libertad de información, no es un derecho absoluto, sino configurado por límites intrínsecos y extrínsecos, y que corresponde a los órganos judiciales determinar cuándo el ejercicio de tales derechos ha traspasado estos límites establecidos legalmente. Esto es lo que ha hecho la Sentencia de </w:t>
      </w:r>
      <w:r>
        <w:lastRenderedPageBreak/>
        <w:t xml:space="preserve">la Audiencia que, tras ponderar y valorar los hechos probados de la de primera instancia, llega a la conclusión de que pueden subsumirse dentro del tipo de la falta de injurias livianas, las cuales presuponen también un comportamiento difamatorio aunque no en la gravedad afirmada en la Sentencia del Juzgado, atentatorio al honor del querellante. Las injurias, aunque sean livianas, suponen un ataque al honor de las personas protegido por el Derecho Penal y constituye uno de los límites señalados por la Ley a la libertad de expresión. </w:t>
      </w:r>
    </w:p>
    <w:p w:rsidR="00A12D44" w:rsidRDefault="00A12D44" w:rsidP="00A12D44">
      <w:pPr>
        <w:pStyle w:val="TextoNormal"/>
      </w:pPr>
      <w:r>
        <w:t>Por todo ello, solicita que se dicte Auto inadmitiendo el recurso de amparo.</w:t>
      </w:r>
    </w:p>
    <w:p w:rsidR="00A12D44" w:rsidRDefault="00A12D44" w:rsidP="00A12D44">
      <w:pPr>
        <w:pStyle w:val="TextoNormal"/>
      </w:pPr>
    </w:p>
    <w:p w:rsidR="00A12D44" w:rsidRDefault="00A12D44" w:rsidP="00A12D44">
      <w:pPr>
        <w:pStyle w:val="TextoNormal"/>
      </w:pPr>
      <w:r w:rsidRPr="00A12D44">
        <w:rPr>
          <w:rStyle w:val="NumeroAFNegritaCaracter"/>
        </w:rPr>
        <w:t>7</w:t>
      </w:r>
      <w:r>
        <w:t xml:space="preserve">. La representación del recurrente, en escrito presentado el 4 de octubre de 1991, alega que el derecho a la tutela judicial efectiva supone el estricto cumplimiento por los órganos judiciales de los principios rectores del proceso, y no cabe duda que tanto el Tribunal de Instancia como la Audiencia Provincial, al ignorar las pruebas propuestas por la defensa y no acceder a los recursos planteados contra su inadmisión, le ha provocado una total indefensión privándole de un juicio con todas las garantías. </w:t>
      </w:r>
    </w:p>
    <w:p w:rsidR="00A12D44" w:rsidRDefault="00A12D44" w:rsidP="00A12D44">
      <w:pPr>
        <w:pStyle w:val="TextoNormal"/>
      </w:pPr>
      <w:r>
        <w:t>En cuanto al segundo motivo de amparo, la Sala sentenciadora, al prescindir del significado de los vocablos utilizados -sobre los que se duda si fueron los empleados por el actor o añadidos por el periodista al elaborar el artículo- no ha tenido en cuenta que son unas expresiones críticas incluidas en el derecho a la libertad de expresión, que es total siempre que no se utilicen expresiones insultantes o vejatorias, y éstas no existen. También se ha infringido la libertad de información del actor porque, enlazando con el primer motivo del recurso, se trata de hechos o noticias veraces cuya comprobación ha sido impedida por el Tribunal al denegar la prueba sobre la veracidad de las afirmaciones.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Examinadas las alegaciones presentadas en el trámite del art. 50.3 LOTC, procede que confirmemos la concurrencia del motivo de inadmisión puesto de manifiesto en nuestra anterior providencia de 16 de septiembre de 1991, consistente en carecer la demanda de contenido que justifique una decisión sobre el fondo de la misma por parte del Tribunal Constitucional.</w:t>
      </w:r>
    </w:p>
    <w:p w:rsidR="00A12D44" w:rsidRDefault="00A12D44" w:rsidP="00A12D44">
      <w:pPr>
        <w:pStyle w:val="TextoNormal"/>
      </w:pPr>
      <w:r>
        <w:t>Plantea el actor su demanda con fundamento en dos motivos distintos: la indefensión que se le ha producido al no haberse practicado la prueba que propuso en el escrito de calificación provisional, y al haber formulado tal escrito con anterioridad al de acusación del Ministerio Fiscal, todo ello con lesión de los derechos que la Constitución le reconoce en el art. 24.1 y 2; y la vulneración del derecho a la libertad de expresión, consagrado en el art.  20.1 a) de la Constitución, dado que las expresiones vertidas en determinados medios de comunicación constituyen un ejercicio del derecho a la crítica reconocido constitucionalmente.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derecho a la tutela judicial efectiva, en su vertiente de derecho a utilizar los medios de prueba pertinentes para la defensa, ha sido reiteradamente matizado por este Tribunal (SSTC 2/1987, 196/1988, 33/1989, 52/1989 y AATC 82/1985 y 39/1989) en el sentido de que, precisamente, la palabra «pertinentes» que utiliza el propio Texto constitucional no implica la pérdida de la potestad judicial para declarar la impertinencia de la prueba propuesta, y que la pretensión de amparo sustentada en tal motivo, por haber padecido </w:t>
      </w:r>
      <w:r>
        <w:lastRenderedPageBreak/>
        <w:t>indefensión, sólo podrá tener acogida cuando la no realización de la prueba, por su relación con los hechos, pudiera haber alterado la Sentencia en favor del recurrente.</w:t>
      </w:r>
    </w:p>
    <w:p w:rsidR="00A12D44" w:rsidRDefault="00A12D44" w:rsidP="00A12D44">
      <w:pPr>
        <w:pStyle w:val="TextoNormal"/>
      </w:pPr>
      <w:r>
        <w:t>De la demanda se desprende que el actor propuso en su escrito de calificación una larga lista de documentos que, o bien fueron aportados por la parte con tal escrito, o debían ser requeridos por el órgano judicial a distintos organismos.  Tales documentos fueron, se dice, admitidos por el órgano judicial, pero al dejar sin efecto el Auto de apertura del juicio oral no hubo pronunciamiento sobre ello, ni fue resuelto el recurso que se interpuso por este motivo, ni tampoco se accedió a su práctica en el juicio oral.</w:t>
      </w:r>
    </w:p>
    <w:p w:rsidR="00A12D44" w:rsidRDefault="00A12D44" w:rsidP="00A12D44">
      <w:pPr>
        <w:pStyle w:val="TextoNormal"/>
      </w:pPr>
      <w:r>
        <w:t>La actuación del órgano judicial fue, sin embargo, correcta. La no admisión del recurso contra el Auto que dejaba sin efecto la apertura del juicio oral, en lo relativo únicamente a que se diera traslado de la causa para calificación al Fiscal, fue debida simple y llanamente a que en las normas reguladoras del procedimiento abreviado (art. 790.6 de la L.E.Crim. y STC 186/1990) no cabe recurso alguno contra dicho Auto, y la denegación de prueba, en la que se insistió al comenzar las sesiones del juicio, se fundó en la consideración que sobre la impertinencia de la misma realizó el órgano judicial.</w:t>
      </w:r>
    </w:p>
    <w:p w:rsidR="00A12D44" w:rsidRDefault="00A12D44" w:rsidP="00A12D44">
      <w:pPr>
        <w:pStyle w:val="TextoNormal"/>
      </w:pPr>
      <w:r>
        <w:t>Esta declaración de impertinencia no produjo indefensión para el actor. En efecto, la Sala de instancia funda su condena en la consideración de ofensa innecesaria de los términos empleados por el actor, ajenos a los hechos que, con su prueba, pretendía éste demostrar. En otras palabras, la Sentencia de apelación no basa su condena en aquellas expresiones que se referían a la materia objeto de prueba, sino en otras distintas. De tal manera que la Sentencia habría sido la misma aunque se hubiera practicado la prueba que el demandante quiso articular, pues no es en estos hechos sino en otros en los que se basa la condena. Por tanto, no se ha causado indefensión por tal motivo.</w:t>
      </w:r>
    </w:p>
    <w:p w:rsidR="00A12D44" w:rsidRDefault="00A12D44" w:rsidP="00A12D44">
      <w:pPr>
        <w:pStyle w:val="TextoNormal"/>
      </w:pPr>
    </w:p>
    <w:p w:rsidR="00A12D44" w:rsidRDefault="00A12D44" w:rsidP="00A12D44">
      <w:pPr>
        <w:pStyle w:val="TextoNormal"/>
      </w:pPr>
      <w:r w:rsidRPr="00A12D44">
        <w:rPr>
          <w:rStyle w:val="NumeroAFNegritaCaracter"/>
        </w:rPr>
        <w:t>3</w:t>
      </w:r>
      <w:r>
        <w:t>. En lo concerniente a la indefensión que se denuncia por haber formulado la defensa su calificación con anterioridad a la acusación del Ministerio Fiscal, es doctrina de este Tribunal (SSTC 141/1986 y 91/1989) que es el escrito de conclusiones definitivas el instrumento procesal que ha de considerarse esencial a efectos de la fijación de la acusación en el proceso. Por tanto, el hecho de que el escrito de acusación del Ministerio Fiscal se formulara después del de defensa no puede producir indefensión a ésta: en primer lugar, porque ya existía un escrito de acusación, que había evacuado el acusador particular, que permitía abrir el juicio oral; y en segundo lugar, porque en el momento de iniciarse las sesiones de éste conocía el acusado ambas calificaciones acusatorias y pudo defenderse de éstas en el acto de la vista.  Tal y como razona el Tribunal de apelación, y 791 de la L.E.Crim., ello aunque se hubiera infringido lo dispuesto en los arts. 790 y 791 de la L.E. Crim., ello supondría sólo una mera irregularidad procesal que no ha privado ni limitado el derecho de defensa.</w:t>
      </w:r>
    </w:p>
    <w:p w:rsidR="00A12D44" w:rsidRDefault="00A12D44" w:rsidP="00A12D44">
      <w:pPr>
        <w:pStyle w:val="TextoNormal"/>
      </w:pPr>
    </w:p>
    <w:p w:rsidR="00A12D44" w:rsidRDefault="00A12D44" w:rsidP="00A12D44">
      <w:pPr>
        <w:pStyle w:val="TextoNormal"/>
      </w:pPr>
      <w:r w:rsidRPr="00A12D44">
        <w:rPr>
          <w:rStyle w:val="NumeroAFNegritaCaracter"/>
        </w:rPr>
        <w:t>4</w:t>
      </w:r>
      <w:r>
        <w:t>. El último motivo del recurso se refiere a la pretendida violación del derecho a la libertad de expresión e información (art. 20 de la Constitución).  Con relación a tales derechos este Tribunal ha reiterado la necesidad de que, en el caso de que estos derechos resulten afectados, el órgano judicial realice un juicio ponderativo tendente a determinar si la conducta del agente está justificada en el ámbito del ejercicio de tales libertades (SSTC 104/1986, 107/1988 y 51/1989, entre otras muchas).</w:t>
      </w:r>
    </w:p>
    <w:p w:rsidR="00A12D44" w:rsidRDefault="00A12D44" w:rsidP="00A12D44">
      <w:pPr>
        <w:pStyle w:val="TextoNormal"/>
      </w:pPr>
      <w:r>
        <w:t>No hay duda alguna de que el Tribunal de apelación ha llevado a cabo tal juicio ponderativo en los fundamentos jurídicos 4. y 5. de su Sentencia. Ahora bien, en orden a tal ponderación, este Tribunal ha diferenciado la amplitud del ejercicio de los derechos reconocidos en el art. 20 de la Constitución, distinguiendo según se trate de libertad de expre</w:t>
      </w:r>
      <w:r>
        <w:lastRenderedPageBreak/>
        <w:t>sión e información, pues mientras en la primera, al tratarse de opiniones y creencias personales, su campo de acción sólo viene delimitado por la ausencia de expresiones injuriosas, innecesarias para la exposición de aquéllas (STC 20/1990), en las que no opera el límite interno de veracidad (STC 107/1988), cuando se trata del derecho de información la protección constitucional se extiende únicamente a la información veraz, en el sentido de información comprobada (STC 105/1990).</w:t>
      </w:r>
    </w:p>
    <w:p w:rsidR="00A12D44" w:rsidRDefault="00A12D44" w:rsidP="00A12D44">
      <w:pPr>
        <w:pStyle w:val="TextoNormal"/>
      </w:pPr>
      <w:r>
        <w:t>La Sentencia impugnada admite que el objeto principal de las manifestaciones públicas del recurrente consistió en criticar la gestión de los órganos de dirección de la Cooperativa «El Progreso». Pero la condena se funda en la consideración de que el actor traspasó los «límites de la divergencia», lo que le llevó a «entrar innecesariamente en el terreno de la afrenta y el vituperio», transgrediendo así los límites de su libertad de expresión para dañar innecesariamente el derecho al honor del presidente del órgano cooperativo.</w:t>
      </w:r>
    </w:p>
    <w:p w:rsidR="00A12D44" w:rsidRDefault="00A12D44" w:rsidP="00A12D44">
      <w:pPr>
        <w:pStyle w:val="TextoNormal"/>
      </w:pPr>
      <w:r>
        <w:t>Tal ponderación es irreprochable, pues el actor no se limitó a expresar sus dudas sobre la existencia de un «agujero de 100.000.000 en la Cooperativa» ni respecto a si su presidente había «burlado la orden de 30 de julio del Juzgado de Instrucción de Daimiel», ni siquiera sobre la posible falsedad de unas facturas producidas a favor de una empresa que no era cliente de la Cooperativa, sino que acusó directa e innecesariamente al presidente de la misma de «saltarse la Ley cuando le convino», de actuar de manera «dictatorial y antidemocrática», de haber obtenido su cargo «entre irregularidades y cacicadas, mediante triquiñuelas y obstáculos» y, en fin, de «estar adecuando intereses muy bajos en perjuicios de los cooperativistas». Tales expresiones inciden lesivamente en el honor de la persona a la que van dirigidas y, en consecuencia, sobrepasan los límites que la libertad de expresión ampara, para incidir en un comportamiento encuadrable dentro del Código Penal. De aquí que la Sentencia recurrida haya verificado la ponderación constitucionalmente exigida sin lesionar con la misma la libertad de expresión del recurrente.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Archívense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89" w:name="AUTO_1992_18"/>
      <w:r>
        <w:lastRenderedPageBreak/>
        <w:t>AUTO 18/1992, de 27 de enero de 1992</w:t>
      </w:r>
    </w:p>
    <w:bookmarkEnd w:id="89"/>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ECLI:ES:TC:1992:18A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847/1991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0" w:name="AUTO_1992_19"/>
      <w:r>
        <w:lastRenderedPageBreak/>
        <w:t>AUTO 19/1992, de 27 de enero de 1992</w:t>
      </w:r>
    </w:p>
    <w:bookmarkEnd w:id="90"/>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ECLI:ES:TC:1992:19A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1.345/1991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el Juzgado de Guardia el 19 de junio de 1991, el Procurador de los Tribunales don José Manuel Dorremochea Aramburu, en nombre y representación de don Ignacio Antigüedad Auzmendi, interpone recurso de amparo contra la Sentencia dictada por la Sala Segunda del Tribunal Supremo el 26 de abril de 1991 que desestima el recurso de casación interpuesto contra la Sentencia de la Sección Segunda de la Sala de lo Penal de la Audiencia Nacional, en el sumario 44/88, por delito de injurias al Jefe del Estado.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en síntesis los siguientes hechos: </w:t>
      </w:r>
    </w:p>
    <w:p w:rsidR="00A12D44" w:rsidRDefault="00A12D44" w:rsidP="00A12D44">
      <w:pPr>
        <w:pStyle w:val="TextoNormal"/>
      </w:pPr>
      <w:r>
        <w:t xml:space="preserve">A) El demandante, bajo el seudónimo literario de Prontxio, publicó en el número Año XII/3435, correspondiente al día 10 de febrero de 1988, del diario «Egin», en su página tercera y en recuadro, un artículo en euskera cuya traducción efectuada por el Instituto Vasco de Administración Pública, es del tenor literal siguiente: </w:t>
      </w:r>
    </w:p>
    <w:p w:rsidR="00A12D44" w:rsidRDefault="00A12D44" w:rsidP="00A12D44">
      <w:pPr>
        <w:pStyle w:val="TextoNormal"/>
      </w:pPr>
      <w:r>
        <w:t xml:space="preserve">«Juan Carlos, vete fueraaa!!! Ese de sangre azul que parece ser "primero" de España se encuentra estos días pisando nuestra tierra. Ha traído junto a él a medio séquito, ya que la otra mitad le espera en Iruña con los brazos abiertos. Y justamente colgando del valle que separa Navarra de las Vascongadas se encuentran los sesudos (cabezudos) de Vitoria moviendo las manos con intención de saludar al rey a ver si les viene pronto de nuevo la visita. Como se esperaba se han reunido como oyentes ante el rey todos los caciques sepultables de Navarra, dejando a un lado las supuestas diferencias políticas, por si con un poco de suerte en algún discurso les caía en sus caras algunas de las gotas de baba de aquél. Babosos!!! </w:t>
      </w:r>
    </w:p>
    <w:p w:rsidR="00A12D44" w:rsidRDefault="00A12D44" w:rsidP="00A12D44">
      <w:pPr>
        <w:pStyle w:val="TextoNormal"/>
      </w:pPr>
      <w:r>
        <w:t xml:space="preserve">Han hecho muy bien en dejarnos fuera del protocolo de un modo oficial porque las babas que nosotros queremos se desprenden de otras bocas. Mil gracias caciques!!! Sí, señor Burroburu, "aunque nieve o llueva" no estamos tan podridos como vosotros y antes de que vuestro Rey lo sea de nosotros, preferimos coger el SIDA y contagiárselo a nuestros hijos. Como somos de sangre roja, es el rojo lo que más queremos aquí y allí, y odiamos el azul, salvo que sea el azul del mar. En las matanzas de los cerdos se suelen hacer las morcillas engordadas con sangre roja, pero qué hacer con la sangre azul??? Sólo betún como el de dar brillo a los zapatos del mismo color. Parece que le han colgado en el cuello o garganta la medalla de oro de Navarra, sin hacer ningún caso a los que solicitaban que en su lugar </w:t>
      </w:r>
      <w:r>
        <w:lastRenderedPageBreak/>
        <w:t xml:space="preserve">le fueran colgada una rueda de molino. Pero de todos modos, la sociedad se basa en raíces arraigadas profundamente y una de ellas es la monarquía; los monarcas se han convertido en todo el mundo en símbolo de la democracia por encima de los mandatarios de gobierno en cada momento. Aparecen tan sonrientes, saludando con las manos junto con los infantes e infantas, tanto en la botadura de un nuevo barco como en la inauguración de un ala de un hospital, que todos los monarcas del mundo tienen algo especial en común: el pertenecer a otro mundo. Por lo tanto, qué hostias hacen en éste??? Fueraaaa!!! Que desaparezcan con la misma rapidez con que desaparecieron los dinosaurios.» </w:t>
      </w:r>
    </w:p>
    <w:p w:rsidR="00A12D44" w:rsidRDefault="00A12D44" w:rsidP="00A12D44">
      <w:pPr>
        <w:pStyle w:val="TextoNormal"/>
      </w:pPr>
      <w:r>
        <w:t xml:space="preserve">B) Tal artículo, publicado con ocasión de la visita de los Reyes al País Vasco y Navarra, dio lugar a la incoación del sumario 44/88 en el que la Sección Segunda de la Sala de lo Penal de la Audiencia Nacional dictó Sentencia, el 14 de febrero de 1990, condenando al recurrente como autor de un delito de injurias al Jefe del Estado del art. 147 del Código Penal a la pena de un año de prisión menor, accesorias y costas. </w:t>
      </w:r>
    </w:p>
    <w:p w:rsidR="00A12D44" w:rsidRDefault="00A12D44" w:rsidP="00A12D44">
      <w:pPr>
        <w:pStyle w:val="TextoNormal"/>
      </w:pPr>
      <w:r>
        <w:t>C) Contra la anterior Sentencia se formuló recurso de casación por el actor, al considerar que la misma infringía los arts. 16.1 y 20.1 a) de la Constitución, y, en virtud del mismo, el Tribunal Supremo pronunció Sentencia el 26 de abril de 1991 en la que, tras considerar que el derecho a la libertad de expresión no alcanza a justificar intervenciones en el derecho al honor que afectan al núcleo íntimo de la dignidad de las personas, como en el caso enjuiciado, desestimó el mismo y confirmó la Sentencia recurrida.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representación del demandante invoca la vulneración de los derechos fundamentales de la libertad ideológica del art. 16.1 de la Constitución y de expresión, del art. 20.1 a) de la Constitución, que se afirman infringidos por las Sentencias de la Audiencia Nacional y del Tribunal Supremo. </w:t>
      </w:r>
    </w:p>
    <w:p w:rsidR="00A12D44" w:rsidRDefault="00A12D44" w:rsidP="00A12D44">
      <w:pPr>
        <w:pStyle w:val="TextoNormal"/>
      </w:pPr>
      <w:r>
        <w:t xml:space="preserve">Partiendo de la base de que nos encontramos ante un texto literario, escrito en clave irónico-satírica y en euskera -con las dificultades que toda traducción literaria puede comportar para el correcto enjuiciamiento de los hechos-, prima en él la opinión que sobre la Monarquía en general, y no sobre el Jefe del Estado en concreto, tiene su autor, del que no se puede extraer un animus iniuriandi hacia el Rey de España, ni como persona física ni como institución del Estado. </w:t>
      </w:r>
    </w:p>
    <w:p w:rsidR="00A12D44" w:rsidRDefault="00A12D44" w:rsidP="00A12D44">
      <w:pPr>
        <w:pStyle w:val="TextoNormal"/>
      </w:pPr>
      <w:r>
        <w:t xml:space="preserve">El texto redactado por el recurrente se refiere a un tema de interés general como es la Monarquía y de notoria actualidad en la fecha de su publicación, dada su coincidencia con la visita oficial a Navarra. Al tratarse de una institución, no cabe hablar aquí de derecho al honor, sino de prestigio, dignidad, etc., de la misma., que es de más débil protección frente a los derechos y libertades en juego. Este aspecto es el que no ha sido considerado por las Sentencias recurridas, pues éstas consideran que el ejercicio de la libertad de expresión realizada por el recurrente ha afectado al núcleo íntimo de la dignidad de la persona. </w:t>
      </w:r>
    </w:p>
    <w:p w:rsidR="00A12D44" w:rsidRDefault="00A12D44" w:rsidP="00A12D44">
      <w:pPr>
        <w:pStyle w:val="TextoNormal"/>
      </w:pPr>
      <w:r>
        <w:t xml:space="preserve">Lo cierto es que no hay ni una sóla mención en el texto a S.M. el Rey y que las expresiones que la Sentencia considera despectivas están dirigidas a la Monarquía en general. Así pues, si la Constitución considera básica para una sociedad democrática el respeto del derecho a la libertad de expresión, ésta ha de permitir que se consideren como legítimas no sólo las informaciones o ideas inofensivas o indiferentes, sino también las que ofenden, escandalizan o molestan al Estado o a cualquier parte de la población, porque el correcto entendimiento del art. 20 de la C.E. ha de suponer que pueda llegarse a poner en entredicho el prestigio de ciertas instituciones. Penalizando esto se está prohibiendo la crítica y negando el propio orden constitucional. </w:t>
      </w:r>
    </w:p>
    <w:p w:rsidR="00A12D44" w:rsidRDefault="00A12D44" w:rsidP="00A12D44">
      <w:pPr>
        <w:pStyle w:val="TextoNormal"/>
      </w:pPr>
      <w:r>
        <w:t>Desde esta perspectiva, el escrito enjuiciado no rebasa los límites que el art. 20.4 de la Constitución establece para la libertad de expresión, pues, al tener el artículo la única fina</w:t>
      </w:r>
      <w:r>
        <w:lastRenderedPageBreak/>
        <w:t xml:space="preserve">lidad de hacer una crítica general de la institución monárquica, las palabras y términos utilizados, aunque sean despectivos, se han utilizado únicamente para robustecer la idea crítica que preside todo el artículo. </w:t>
      </w:r>
    </w:p>
    <w:p w:rsidR="00A12D44" w:rsidRDefault="00A12D44" w:rsidP="00A12D44">
      <w:pPr>
        <w:pStyle w:val="TextoNormal"/>
      </w:pPr>
      <w:r>
        <w:t xml:space="preserve">Hay que indicar, además, que ninguna de las dos Sentencias recurridas en amparo analizan el texto a la luz del art. 16.1 de la C.E., a pesar de que éste se denunció también como infringido, cuyo límite único lo constituye el mantenimiento del orden público protegido por la Ley y que, por tanto, su enjuiciamiento desde esta perspectiva ha de analizar y ponderar también en qué medida se ha vulnerado ese orden público. Hay, pues, que partir de este derecho fundamental y no entenderlo simplemente embebido por la libertad de expresión e información del art. 20 C.E. </w:t>
      </w:r>
    </w:p>
    <w:p w:rsidR="00A12D44" w:rsidRDefault="00A12D44" w:rsidP="00A12D44">
      <w:pPr>
        <w:pStyle w:val="TextoNormal"/>
      </w:pPr>
      <w:r>
        <w:t xml:space="preserve">En definitiva, no se dan los elementos para la configuración del tipo penal de la injuria del art. 147 del Código Penal, pero en el caso de que se diera, la libertad de expresión y la libertad ideológica del recurrente actúan como causas excluyentes de la antijuridicidad. </w:t>
      </w:r>
    </w:p>
    <w:p w:rsidR="00A12D44" w:rsidRDefault="00A12D44" w:rsidP="00A12D44">
      <w:pPr>
        <w:pStyle w:val="TextoNormal"/>
      </w:pPr>
      <w:r>
        <w:t>Por todo lo expuesto, termina suplicando que sé dicte Sentencia concediendo el amparo solicitado, se declare la nulidad de la Sentencia de la Audiencia Nacional y de la Sala Segunda del Tribunal Supremo y se reconozca expresamente su derecho a las libertades ideológicas y de expresión. Por medio de otrosí pide la suspensión de la ejecución de las Sentencias impugnadas, pues de lo contrario se le originaría un perjuicio que haría perder al amparo su finalidad.</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la Sección Primera (Sala Primera) de este Tribunal, de 22 de julio de 1991, se tuvo por interpuesto recurso de amparo y por personado y parte al Procurador don José Manuel Dorremochea Aramburu en nombre y representación del recurrente y, a tenor de lo dispuesto en el art. 50.5 de la LOTC. se otorgó al solicitante de amparo un plazo de diez días para que aportase copia de las Sentencias impugnadas y acreditase fehacientemente la fecha de notificación de la última Sentencia. Tales extremos fueron subsanados mediante escrito presentado en este Tribunal el 26 de julio de 1991.</w:t>
      </w:r>
    </w:p>
    <w:p w:rsidR="00A12D44" w:rsidRDefault="00A12D44" w:rsidP="00A12D44">
      <w:pPr>
        <w:pStyle w:val="TextoNormal"/>
      </w:pPr>
    </w:p>
    <w:p w:rsidR="00A12D44" w:rsidRDefault="00A12D44" w:rsidP="00A12D44">
      <w:pPr>
        <w:pStyle w:val="TextoNormal"/>
      </w:pPr>
      <w:r w:rsidRPr="00A12D44">
        <w:rPr>
          <w:rStyle w:val="NumeroAFNegritaCaracter"/>
        </w:rPr>
        <w:t>5</w:t>
      </w:r>
      <w:r>
        <w:t>. Mediante nueva providencia de 30 de septiembre de 1991 se concedió, a tenor de lo dispuesto en el art. 50.3 de la LOTC, un plazo común de diez días al solicitante de amparo y al Ministerio Fiscal para que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16 de octubre de 1991, la representación del demandante presentó su escrito de alegaciones. En él reitera la vulneración de los arts. 16.1 y 20.1 a) de la Constitución, y añade que lo que en definitiva está planteado es examinar si la conducta del recurrente viene amparada o no por el actual diseño constitucional, pues si así fuera no habría ya injerencia en otros derechos. Por el contrario, si debe acudirse a las técnicas de ponderación o, en línea con la jurisprudencia norteamericana, de balancing, es evidente que tal tarea corresponde al Tribunal Constitucional, porque no basta con que el órgano judicial haya efectuado una ponderación de los intereses en conflicto, sino que ésta ha de respetar la valoración y definición constitucional de los derechos fundamentales en presencia, tarea ésta que corresponde verificar al Tribunal Constitucional. Por tanto, la demanda posee contenido constitucional en orden a determinar si la ponderación realizada por los órganos </w:t>
      </w:r>
      <w:r>
        <w:lastRenderedPageBreak/>
        <w:t>judiciales es adecuada o procede que sea revisada. En virtud de todo ello, solicita la admisión del recurso interpuesto.</w:t>
      </w:r>
    </w:p>
    <w:p w:rsidR="00A12D44" w:rsidRDefault="00A12D44" w:rsidP="00A12D44">
      <w:pPr>
        <w:pStyle w:val="TextoNormal"/>
      </w:pPr>
    </w:p>
    <w:p w:rsidR="00A12D44" w:rsidRDefault="00A12D44" w:rsidP="00A12D44">
      <w:pPr>
        <w:pStyle w:val="TextoNormal"/>
      </w:pPr>
      <w:r w:rsidRPr="00A12D44">
        <w:rPr>
          <w:rStyle w:val="NumeroAFNegritaCaracter"/>
        </w:rPr>
        <w:t>7</w:t>
      </w:r>
      <w:r>
        <w:t xml:space="preserve">. En fecha 23 de octubre de 1991, se recibió el escrito de alegaciones del Ministerio Fiscal. En él, y con relación a la denunciada violación del derecho fundamental a la libertad ideológica, se dice que ésta supone un valor de base necesario para la efectividad de los valores superiores, especialmente del pluralismo político, y por ello su límite debe ser interpretado de manera más estricta que los señalados en el art. 20 a) y d) de la Constitución. Lo que no puede considerarse contenido de la libertad ideológica son las expresiones descalificadoras o injuriantes de una persona, no en el ejercicio de su actividad, sino de su privacidad. </w:t>
      </w:r>
    </w:p>
    <w:p w:rsidR="00A12D44" w:rsidRDefault="00A12D44" w:rsidP="00A12D44">
      <w:pPr>
        <w:pStyle w:val="TextoNormal"/>
      </w:pPr>
      <w:r>
        <w:t xml:space="preserve">El escrito del actor manifiesta una discrepancia política sobre la Monarquía y la visita del Rey a Navarra, y esta manifestación, en cuanto expresión de su pensamiento político, se encuentra dentro de los límites de la libertad ideológica, pero ésta no puede amparar, porque no constituye su contenido, expresiones injuriosas, gratuitas y descalificadoras del Rey, no como representante de la Monarquía, sino dirigidas contra su intimidad personal. No constituyen, pues, consecuencia de un discurso lógico, como parte de un pensamiento político, sino formas injuriosas sin fundamento ni justificación contra su honor, prestigio y dignidad como persona. </w:t>
      </w:r>
    </w:p>
    <w:p w:rsidR="00A12D44" w:rsidRDefault="00A12D44" w:rsidP="00A12D44">
      <w:pPr>
        <w:pStyle w:val="TextoNormal"/>
      </w:pPr>
      <w:r>
        <w:t xml:space="preserve">Con relación a la denunciada vulneración del derecho a la libertad de expresión, es doctrina constante que éste tiene límites y que, en su colisión con el derecho al honor, el órgano judicial tiene que realizar un juicio ponderativo de las circunstancias concurrentes para examinar si la conducta del agente está justificada por encontrarse dentro del ámbito del derecho fundamental a la libertad de expresión. En este supuesto, ambas Sentencias subsumen el hecho en el tipo penal y realizan el juicio ponderativo respecto a las circunstancias concurrentes a la luz del derecho a la libertad de expresión para concluir, de manera fundada y razonada, que esas determinadas y específicas expresiones son injuriosas de acuerdo con el ordenamiento penal, por tener un sentido vejatorio y de menosprecio que afectan al reducto de la intimidad del Rey y a su dignidad de persona como tal, y no son, atendida la finalidad del escrito, proporcionadas y necesarias. </w:t>
      </w:r>
    </w:p>
    <w:p w:rsidR="00A12D44" w:rsidRDefault="00A12D44" w:rsidP="00A12D44">
      <w:pPr>
        <w:pStyle w:val="TextoNormal"/>
      </w:pPr>
      <w:r>
        <w:t>En consecuencia, el Fiscal interesa de este Tribunal que se dicte Auto inadmitiendo el recurso por concurrir el supuesto de inadmisión previsto en el art. 50.1 c) de la LOTC.</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Insistiendo en los motivos que fundamentaron la interposición del recurso de casación, el recurrente basa su amparo en la consideración de que el artículo periodístico, en el que se vierten determinadas frases que las Sentencias de primera instancia y casación consideran injuriosas contra la persona del Rey, se refiere a un tema de interés general como es la Monarquía, de notoria actualidad en la fecha de su publicación, dada la coincidencia temporal con la visita del Rey a Navarra, y en el que al tratarse de una institución del Estado, como es la Monarquía, no cabe hablar de una intromisión en el derecho al honor, sino de prestigio, dignidad, etc., de esta institución, que es de más débil protección frente a la libertad ideológica y de expresión del demandante, que son los derechos que están en juego. Al no haber primado en las Sentencias dictadas la protección de estos últimos derechos sobre el del honor se habrían vulnerado los arts. 16 y 20 de la Constitución.</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Respecto a la pretendida violación del art. 16 C.E. (libertad ideológica), se afirma en la demanda que el ámbito de aplicación de este derecho y sus limitaciones no puede hacerse coincidente, en términos absolutos, con los límites de los derechos de libertad de expresión e información reconocidos en el art. 20.1 a) y d) de la Constitución, y que las Sentencias de la Audiencia Nacional y del Tribunal Supremo olvidan hacer una referencia concreta a este derecho, a pesar de haber sido alegado como infringido en el recurso de casación.</w:t>
      </w:r>
    </w:p>
    <w:p w:rsidR="00A12D44" w:rsidRDefault="00A12D44" w:rsidP="00A12D44">
      <w:pPr>
        <w:pStyle w:val="TextoNormal"/>
      </w:pPr>
      <w:r>
        <w:t>Ciertamente, la libertad ideológica no se agota en una dimensión interna del derecho a adoptar una determinada posición intelectual ante la vida y a representar y enjuiciar la realidad según las personales convicciones, sino que comprende, además, una dimensión externa con arreglo a las propias ideas sin sufrir por ello sanción o injerencia de los poderes públicos, pues, como ya dijimos en la STC 20/90, el art. 16.1 C.E. garantiza la libertad ideológica sin más limitaciones en sus manifestaciones que las necesarias para el mantenimiento del orden público protegido por la ley. Por el contrario, a la libertad ideológica le corresponde el correlativo derecho a expresarla (STC 20/1990) que garantiza el art. 20.1 a) de la Constitución, pero ello no significa que toda expresión libremente emitida al amparo del art. 20 C.E. sea manifestación de la libertad ideológica del art. 16.1.</w:t>
      </w:r>
    </w:p>
    <w:p w:rsidR="00A12D44" w:rsidRDefault="00A12D44" w:rsidP="00A12D44">
      <w:pPr>
        <w:pStyle w:val="TextoNormal"/>
      </w:pPr>
      <w:r>
        <w:t>Ahora bien, para que los actos de los poderes públicos puedan ser anulados por violaciones de la libertad ideológica es cuando menos preciso, de una parte, que aquéllos perturben o impidan de algún modo la adopción o el mantenimiento en libertad de una determinada ideología o pensamiento, y no simplemente que se incida en la expresión de determinados criterios. De otra, se exige que entre el contenido y sostenimiento de éstos y lo dispuesto en los actos que se combatan quepa apreciar una relación de causalidad (STC 120/1990).</w:t>
      </w:r>
    </w:p>
    <w:p w:rsidR="00A12D44" w:rsidRDefault="00A12D44" w:rsidP="00A12D44">
      <w:pPr>
        <w:pStyle w:val="TextoNormal"/>
      </w:pPr>
      <w:r>
        <w:t>En el presente caso el recurrente ha expresado su opinión sobre la institución monárquica, más en concreto sobre la Monarquía española, pero el reproche penal que realizan las Sentencias impugnadas no encuentra su base en el posicionamiento ideológico del recurrente, contrario a la institución monárquica y a la Monarquía española, sino en determinadas expresiones vertidas en un artículo periodístico que, sobre la base de respetar la ideología antimonárquica del recurrente, pueden trasvasar el legítimo ejercicio del derecho a la libertad de expresión e información, para inmiscuirse en el derecho al honor del Rey. Como ya pusimos de manifiesto en la STC 20/1990, «no se trata de que la libertad ideológica en su manifestación externa a través de un artículo periodístico, pueda ser utilizada para eludir los límites que a la libertad de expresión impone el art. 20.4 de la Constitución, pero la visión globalizada de ambos derechos, o de las limitaciones con que han de ser ejercidos, han de servir también para determinar si la faceta injuriosa del artículo puede o debe desaparecer ante la protección de la libertad ideológica del autor».</w:t>
      </w:r>
    </w:p>
    <w:p w:rsidR="00A12D44" w:rsidRDefault="00A12D44" w:rsidP="00A12D44">
      <w:pPr>
        <w:pStyle w:val="TextoNormal"/>
      </w:pPr>
      <w:r>
        <w:t>Queremos poner de manifiesto con lo anteriormente dicho la máxima amplitud con que la libertad ideológica está reconocida en el art. 16.1 de la Constitución, por ser uno de los fundamentos de otras libertades y derechos fundamentales y, entre ellos, de los consagrados en el art. 20.1 a) y d) de la Constitución.  Por ello, y con relación a estos últimos, nuestro análisis debe centrarse en determinar si el artículo periodístico escrito por el demandante sobrepasa los límites que constitucionalmente han sido fijados para el ejercicio de los derechos a la libertad de expresión e información, pues, como hemos señalado anteriormente, es precisamente en la innecesidad de algunas de las expresiones vertidas en dicho artículo, y no en la ideología del recurrente, en las que encuentra su base la condena penal.</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Con carácter previo al análisis propuesto, conviene salir al paso de la manifestación que el actor hace en su demanda en lo concerniente a que el artículo periodístico contiene una crítica a la institución de la Monarquía, no personalizada en el Rey, y que, en consecuencia, no puede utilizarse, como hacen las Sentencias recurridas, el núcleo intangible de la dignidad de la persona como elemento definitivo a la hora de dictar una Sentencia condenatoria, sino que estarían en juego otros valores, como los de prestigio o dignidad de la institución, de más débil protección que el derecho al honor.</w:t>
      </w:r>
    </w:p>
    <w:p w:rsidR="00A12D44" w:rsidRDefault="00A12D44" w:rsidP="00A12D44">
      <w:pPr>
        <w:pStyle w:val="TextoNormal"/>
      </w:pPr>
      <w:r>
        <w:t>Esto, sin embargo, no se corresponde con la realidad del texto que ha sido enjuiciado. ni es congruente con las propias manifestaciones de la demanda. En efecto, se dice en la misma que el artículo periodístico es de evidente interés informativo, pues coincidía con la visita del Rey a Navarra y, de otro lado, en el propio artículo se contienen expresiones que están referidas indudablemente no sólo a la Monarquía como institución, sino también a la persona del Rey. Así pues, no se está atacando aquí únicamente a una institución del Estado, sino también a la persona que la encarna y, por consiguiente, con independencia de que pueda verse o no afectada la dignidad o prestigio de la institución, también afectan las expresiones vertidas al honor del Rey. De aquí que la Sentencia del Tribunal Supremo actúe correctamente al ponderar como derechos en conflicto los de libertad de expresión y el del honor.</w:t>
      </w:r>
    </w:p>
    <w:p w:rsidR="00A12D44" w:rsidRDefault="00A12D44" w:rsidP="00A12D44">
      <w:pPr>
        <w:pStyle w:val="TextoNormal"/>
      </w:pPr>
    </w:p>
    <w:p w:rsidR="00A12D44" w:rsidRDefault="00A12D44" w:rsidP="00A12D44">
      <w:pPr>
        <w:pStyle w:val="TextoNormal"/>
      </w:pPr>
      <w:r w:rsidRPr="00A12D44">
        <w:rPr>
          <w:rStyle w:val="NumeroAFNegritaCaracter"/>
        </w:rPr>
        <w:t>4</w:t>
      </w:r>
      <w:r>
        <w:t>. En línea con lo anteriormente argumentado, las SSTC 104/1986, 107/1988 y 51/1989, entre otras, exigieron que cuando del ejercicio de la libertad de expresión e información reconocidas en el art. 20.1 de la C.E. resulte afectado el derecho al honor de alguien, el órgano jurisdiccional está obligado a realizar un juicio ponderativo de las circunstancias concurrentes en el caso concreto, con el fin de determinar si la conducta del agente está justificada por hallarse dentro del ámbito de las libertades de expresión e información, de suerte que si tal ponderación falta o resulta manifiestamente carente de fundamento, se ha de entender vulnerado el citado precepto constitucional. A tal respecto, el fundamento jurídico único de la Sentencia del Tribunal Supremo contiene expresamente este juicio ponderativo, pero ello no impide (STC 105/1990) que a este Tribunal Constitucional le corresponda revisar la adecuación de la ponderación realizada por los Jueces y Tribunales ordinarios.  con el objeto de determinar si el ejercicio de la libertad del art. 20 cumple con las exigencias del principio de proporcionalidad y es constitucionalmente legítimo.</w:t>
      </w:r>
    </w:p>
    <w:p w:rsidR="00A12D44" w:rsidRDefault="00A12D44" w:rsidP="00A12D44">
      <w:pPr>
        <w:pStyle w:val="TextoNormal"/>
      </w:pPr>
      <w:r>
        <w:t>Este Tribunal ha diferenciado, además, la amplitud de los derechos reconocidos en el art. 20 C.E., según se trate de las libertades de expresión e información. La primera, que es la que está siendo enjuiciada aquí, pues en definitiva se trata de un artículo periodístico en el que se emiten juicios y opiniones, goza de un amplio campo de acción, mayor aún cuando el ejercicio de la libertad de expresión afecta al ámbito de la libertad ideológica. En este sentido, los pensamientos, ideas, opiniones o juicios de valor no se prestan a una demostración de su exactitud y, por ello, su ámbito de aplicación viene sólo limitado por la ausencia de expresiones indudablemente injuriosas (por todas, SSTC 107/1988 y 214/1991).</w:t>
      </w:r>
    </w:p>
    <w:p w:rsidR="00A12D44" w:rsidRDefault="00A12D44" w:rsidP="00A12D44">
      <w:pPr>
        <w:pStyle w:val="TextoNormal"/>
      </w:pPr>
      <w:r>
        <w:t xml:space="preserve">La Sentencia del Tribunal Supremo parte de la base de que la crítica a una institución constitucional no está excluida del derecho a la libertad de expresión, porque «la Constitución no acuerda el derecho a la libertad de expresión sólo para algunos puntos de vista considerados correctos, sino para todas las ideas dentro de los límites que ella misma establece» (de aquí que, contrariamente a la afirmación del recurrente, la Sentencia haya ponderado adecuadamente los derechos desde el respeto absoluto a la libertad ideológica del </w:t>
      </w:r>
      <w:r>
        <w:lastRenderedPageBreak/>
        <w:t>mismo). Ni siquiera pueden ser excluidas del ejercicio del derecho a la libertad de expresión las expresiones exasperadas, de mal susto o, incluso, provocadoras, toda vez que el diálogo y la discusión política pueden darse en un lenguaje expresivo de actitudes emocionales.</w:t>
      </w:r>
    </w:p>
    <w:p w:rsidR="00A12D44" w:rsidRDefault="00A12D44" w:rsidP="00A12D44">
      <w:pPr>
        <w:pStyle w:val="TextoNormal"/>
      </w:pPr>
      <w:r>
        <w:t>Por el contrario, cuando el ejercicio del derecho a la libertad de expresión resulta desproporcionado y contiene expresiones que afectan directamente al núcleo último de la dignidad de la persona, incluso con independencia del cargo que ésta ocupa, lesionan su honor y, por tanto, la conducta queda encuadrada en el ámbito del Código Penal.</w:t>
      </w:r>
    </w:p>
    <w:p w:rsidR="00A12D44" w:rsidRDefault="00A12D44" w:rsidP="00A12D44">
      <w:pPr>
        <w:pStyle w:val="TextoNormal"/>
      </w:pPr>
      <w:r>
        <w:t>Este calificativo debe darse sin duda a determinadas expresiones contenidas en el artículo periodístico del recurrente, pues las afirmaciones referidas a la misma persona del Rey, reproducidas en los antecedentes y que por su notorio carácter infamante es innecesario repetir, superan de manera patente el talante de lo lícito pues, como afirma la Sentencia del Tribunal Supremo, representan una manifestación de menosprecio y de destrucción de la persona que no pueden estar amparadas por el ejercicio del derecho a la libertad de expresión.</w:t>
      </w:r>
    </w:p>
    <w:p w:rsidR="00A12D44" w:rsidRDefault="00A12D44" w:rsidP="00A12D44">
      <w:pPr>
        <w:pStyle w:val="TextoNormal"/>
      </w:pPr>
      <w:r>
        <w:t>En consecuencia, y como ya se puso de manifiesto en nuestra providencia de 30 de septiembre de 1991, la demanda carece de contenido que justifique una decisión en forma de Sentencia sobre el fondo de la misma por parte del Tribunal Constitucional, concurriendo el supuesto de inadmisión previsto en el art. 50.1 c) de la LOTC.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1" w:name="AUTO_1992_20"/>
      <w:r>
        <w:lastRenderedPageBreak/>
        <w:t>AUTO 20/1992, de 27 de enero de 1992</w:t>
      </w:r>
    </w:p>
    <w:bookmarkEnd w:id="91"/>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ECLI:ES:TC:1992:20A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1.405/1991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Por escrito registrado en este Tribunal el 4 de noviembre de 1991, la Procuradora doña Alicia Martín Yáñez, en nombre y representación de doña Modesta Larrondo Landa, en virtud de designación de turno de oficio, interpone recurso de amparo contra el Auto de la Sección Quinta de la Audiencia Provincial de Bilbao de 23 de mayo de 1991 que deniega la solicitud de nulidad de actuaciones respecto de la Sentencia dictada por la misma Sección el 16 de abril anterior, la cual había estimado el recurso de apelación planteado contra la dictada por el Juzgado de Primera Instancia e Instrucción de Balmaseda en juicio de cognición. </w:t>
      </w:r>
    </w:p>
    <w:p w:rsidR="00A12D44" w:rsidRDefault="00A12D44" w:rsidP="00A12D44">
      <w:pPr>
        <w:pStyle w:val="TextoNormal"/>
      </w:pPr>
      <w:r>
        <w:t xml:space="preserve">En la demanda se pide la nulidad de todas las actuaciones del recurso de apelación desde la diligencia de comprobación y liquidación del término de emplazamiento. Dicha demanda de amparo entiende vulnerados los derechos de no indefensión y a un proceso con todas las garantías del artículo 24 C.E., por no haberse tenido en cuenta la personación de la recurrente ante la Audiencia Provincial, y en consecuencia, haberse tramitado todo el recurso de apelación sin su conocimiento. </w:t>
      </w:r>
    </w:p>
    <w:p w:rsidR="00A12D44" w:rsidRDefault="00A12D44" w:rsidP="00A12D44">
      <w:pPr>
        <w:pStyle w:val="TextoNormal"/>
      </w:pPr>
      <w:r>
        <w:t>Igualmente, se pide la suspensión de la ejecución de la Sentencia de segunda instancia impugnada.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funda en los siguientes antecedentes: </w:t>
      </w:r>
    </w:p>
    <w:p w:rsidR="00A12D44" w:rsidRDefault="00A12D44" w:rsidP="00A12D44">
      <w:pPr>
        <w:pStyle w:val="TextoNormal"/>
      </w:pPr>
      <w:r>
        <w:t xml:space="preserve">a) La demanda de juicio de cognición presentada contra la recurrente ante el Juzgado de Primera Instancia e Instrucción de Balmaseda, sobre resolución de contrato de arrendamiento de vivienda por no uso durante más de seis meses en el curso de un año sin causa justificada -art. 114.11 de la Ley de Arrendamientos Urbanos en relación con el art. 62.3 de la misma-, fue desestimada mediante Sentencia de 3 de septiembre de 1990. </w:t>
      </w:r>
    </w:p>
    <w:p w:rsidR="00A12D44" w:rsidRDefault="00A12D44" w:rsidP="00A12D44">
      <w:pPr>
        <w:pStyle w:val="TextoNormal"/>
      </w:pPr>
      <w:r>
        <w:t xml:space="preserve">b) El recurso de apelación formulado contra aquélla por los arrendadores actores del procedimiento judicial fue admitido por providencia de 10 de septiembre de 1990, emplazándose a las partes para que comparecieran ante la Audiencia Provincial de Bilbao en el término de diez días. </w:t>
      </w:r>
    </w:p>
    <w:p w:rsidR="00A12D44" w:rsidRDefault="00A12D44" w:rsidP="00A12D44">
      <w:pPr>
        <w:pStyle w:val="TextoNormal"/>
      </w:pPr>
      <w:r>
        <w:lastRenderedPageBreak/>
        <w:t xml:space="preserve">c) Doña Modesta Larrondo Landa se personó ante aquélla mediante escrito que se registró en la Oficina General de Reparto de dicha Audiencia Provincial el día 14 de septiembre de 1990. Escrito de personación que no fue turnado a la Sección correspondiente. </w:t>
      </w:r>
    </w:p>
    <w:p w:rsidR="00A12D44" w:rsidRDefault="00A12D44" w:rsidP="00A12D44">
      <w:pPr>
        <w:pStyle w:val="TextoNormal"/>
      </w:pPr>
      <w:r>
        <w:t xml:space="preserve">d) Recibidas las actuaciones del referido juicio de cognición por la Sección Quinta de la mencionada Audiencia Provincial el día 21 de septiembre de 1991, por providencia de 5 de octubre siguiente se tuvo únicamente por personada a la parte recurrente del procedimiento, ordenándose la entrega de los autos para su instrucción. </w:t>
      </w:r>
    </w:p>
    <w:p w:rsidR="00A12D44" w:rsidRDefault="00A12D44" w:rsidP="00A12D44">
      <w:pPr>
        <w:pStyle w:val="TextoNormal"/>
      </w:pPr>
      <w:r>
        <w:t xml:space="preserve">e) Dicha providencia, así como las demás dictadas en tal fase de apelación, fueron notificadas a la recurrida no personada -ahora demandante- en los estrados del Tribunal. </w:t>
      </w:r>
    </w:p>
    <w:p w:rsidR="00A12D44" w:rsidRDefault="00A12D44" w:rsidP="00A12D44">
      <w:pPr>
        <w:pStyle w:val="TextoNormal"/>
      </w:pPr>
      <w:r>
        <w:t xml:space="preserve">f) Celebrada la vista de la apelación el día 11 de abril de 1991, con asistencia únicamente de tal parte allí recurrente, se dictó Sentencia por tal Sección de la Audiencia el día 16 de abril de 1991, por la que estimándose el recurso de apelación y revocándose la Sentencia de instancia, se declaró resuelto el contrato de arrendamiento que unía a las partes, condenándose a la demandada ahora recurrente a su desalojo. </w:t>
      </w:r>
    </w:p>
    <w:p w:rsidR="00A12D44" w:rsidRDefault="00A12D44" w:rsidP="00A12D44">
      <w:pPr>
        <w:pStyle w:val="TextoNormal"/>
      </w:pPr>
      <w:r>
        <w:t xml:space="preserve">g) Mediante escrito presentado ante la Audiencia Provincial el 10 de mayo de 1991 y cuando todavía no se le había notificado la Sentencia de segunda instancia, la recurrente solicitó la nulidad de todas las actuaciones de tal fase de apelación, alegando haber tenido conocimientos de la tramitación del recurso a través de su abogado, al recibir éste la minuta de honorarios del Letrado de la parte contraria el día 6 de mayo de 1991. </w:t>
      </w:r>
    </w:p>
    <w:p w:rsidR="00A12D44" w:rsidRDefault="00A12D44" w:rsidP="00A12D44">
      <w:pPr>
        <w:pStyle w:val="TextoNormal"/>
      </w:pPr>
      <w:r>
        <w:t xml:space="preserve">h) Por Auto de 23 de mayo de 1991 fue denegada tal solicitud de nulidad de actuaciones. </w:t>
      </w:r>
    </w:p>
    <w:p w:rsidR="00A12D44" w:rsidRDefault="00A12D44" w:rsidP="00A12D44">
      <w:pPr>
        <w:pStyle w:val="TextoNormal"/>
      </w:pPr>
      <w:r>
        <w:t>i) La diligencia extendida por la Oficina de Reparto de la Audiencia Provincial haciendo constar el registro en ella del escrito de personación de la apelada ahora recurrente, fue recibido por la Sección Quinta el día 2 de mayo de 1991.</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Sección Tercera por providencia de 16 de diciembre de 1991, acordó admitir a trámite la demanda. En otra providencia, de la misma fecha, acordó formar pieza separada para tramitar la solicitud de suspensión de la ejecución, emplazando a los demandantes de amparo y al Ministerio Fiscal para que pudiesen alegar lo que estimaren procedente sobre la misma. </w:t>
      </w:r>
    </w:p>
    <w:p w:rsidR="00A12D44" w:rsidRDefault="00A12D44" w:rsidP="00A12D44">
      <w:pPr>
        <w:pStyle w:val="TextoNormal"/>
      </w:pPr>
      <w:r>
        <w:t xml:space="preserve">El Ministerio Fiscal, en su escrito de alegaciones, no se opuso a la suspensión de la resolución judicial impugnada. </w:t>
      </w:r>
    </w:p>
    <w:p w:rsidR="00A12D44" w:rsidRDefault="00A12D44" w:rsidP="00A12D44">
      <w:pPr>
        <w:pStyle w:val="TextoNormal"/>
      </w:pPr>
      <w:r>
        <w:t xml:space="preserve">La ejecución de la Sentencia produciría perjuicios, considera el Fiscal, pues una vez desalojada la vivienda podría legítimamente transferirse a terceros la propiedad o el arrendamiento, lo que dificultaría gravemente el restablecimiento de la actual situación jurídica, sin que por otra parte sufra perjuicio el arrendador -de suspenderse tal ejecución de la Sentencia- al seguir pagándose la renta por la arrendataria. </w:t>
      </w:r>
    </w:p>
    <w:p w:rsidR="00A12D44" w:rsidRDefault="00A12D44" w:rsidP="00A12D44">
      <w:pPr>
        <w:pStyle w:val="TextoNormal"/>
      </w:pPr>
      <w:r>
        <w:t>La representación de la solicitante de amparo considera imprescindible la concesión de la suspensión de la ejecución de la recurrida, y ello porque de ejecutarse tal Sentencia, la recurrente sufriría un perjuicio irreparable que haría perder al amparo su finalidad, teniendo en cuenta su avanzada edad - ochenta y tres años-, sus posibilidades económicas -34.575 pesetas mensuales-, así como el tiempo que tendría que pasar fuera de su casa y el penoso traslado de muebles y objetos, aun en el caso de que prosperase el presente recurso.</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art. 56.1 de la Ley Orgánica del Tribunal Constitucional establece que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Podrá, no obstante, denegar la suspensión cuando de ésta pueda seguirse perturbación grave de los intereses generales o de los derechos fundamentales o libertades públicas de un tercero».</w:t>
      </w:r>
    </w:p>
    <w:p w:rsidR="00A12D44" w:rsidRDefault="00A12D44" w:rsidP="00A12D44">
      <w:pPr>
        <w:pStyle w:val="TextoNormal"/>
      </w:pPr>
      <w:r>
        <w:t>Este Tribunal ha venido manteniendo, en aplicación de la anterior disposición, que cuando el recurso se dirige contra resoluciones judiciales que han adquirido firmeza, aquel interés general consiste precisamente en su ejecución; por lo que, en tales casos, será necesario que el recurrente acredite la concurrencia de un perjuicio irreparable o que haría perder al amparo su finalidad en caso de llevarse a efecto la resolución impugnada, para que la medida cautelar que se interesa pueda prosperar. Debiendo entenderse por perjuicio irreparable aquel que provoque que el restablecimiento del recurrente en el derecho constitucional vulnerado sea tardío e impida definitivamente que tal restauración sea efectiva.</w:t>
      </w:r>
    </w:p>
    <w:p w:rsidR="00A12D44" w:rsidRDefault="00A12D44" w:rsidP="00A12D44">
      <w:pPr>
        <w:pStyle w:val="TextoNormal"/>
      </w:pPr>
    </w:p>
    <w:p w:rsidR="00A12D44" w:rsidRDefault="00A12D44" w:rsidP="00A12D44">
      <w:pPr>
        <w:pStyle w:val="TextoNormal"/>
      </w:pPr>
      <w:r w:rsidRPr="00A12D44">
        <w:rPr>
          <w:rStyle w:val="NumeroAFNegritaCaracter"/>
        </w:rPr>
        <w:t>2</w:t>
      </w:r>
      <w:r>
        <w:t>. En el supuesto que nos ocupa, la concesión del amparo no habrá de conducir necesariamente a que se dicte en apelación una nueva Sentencia que declare no resuelto el contrato de arrendamiento y, por tanto, la continuación de la arrendataria ahora recurrente en sus derechos sobre la vivienda, sino únicamente a que se anule dicha Sentencia, se retrotraigan las actuaciones al momento en que tal demandante se personó en la apelación y se tramite dicha fase de apelación con la intervención de aquélla, dictándose una nueva Sentencia que se pronuncie, nuevamente, sobre el fondo -sobre la procedencia o no del desahucio-.</w:t>
      </w:r>
    </w:p>
    <w:p w:rsidR="00A12D44" w:rsidRDefault="00A12D44" w:rsidP="00A12D44">
      <w:pPr>
        <w:pStyle w:val="TextoNormal"/>
      </w:pPr>
    </w:p>
    <w:p w:rsidR="00A12D44" w:rsidRDefault="00A12D44" w:rsidP="00A12D44">
      <w:pPr>
        <w:pStyle w:val="TextoNormal"/>
      </w:pPr>
      <w:r w:rsidRPr="00A12D44">
        <w:rPr>
          <w:rStyle w:val="NumeroAFNegritaCaracter"/>
        </w:rPr>
        <w:t>3</w:t>
      </w:r>
      <w:r>
        <w:t>. Por otra parte, si bien la no suspensión de la ejecución de la resolución judicial impugnada, al suponer la pérdida de la vivienda para la demandante, podría dificultar un hipotético restablecimiento de ésta en sus derechos de arrendataria sobre tal piso, en el caso de que prosperara el amparo y la Sentencia de apelación no diera lugar al desahucio. Sin embargo, tal eventual dificultad no puede conceptuarse como perjuicio irreparable que haría perder al amparo su finalidad, pues es hecho probado, según la Sentencia recurrida, que la solicitante de amparo hace uso accidental e intermitente de la vivienda, pasando temporadas con sus hijas. Hipotética dificultad, en consecuencia, que no tiene entidad sificiente para subordinar a la misma el interés general en el cumplimiento de las resoluciones juduciales.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Sala acuerda no acceder a la suspensión solicitada.</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2" w:name="AUTO_1992_21"/>
      <w:r>
        <w:lastRenderedPageBreak/>
        <w:t>AUTO 21/1992, de 27 de enero de 1992</w:t>
      </w:r>
    </w:p>
    <w:bookmarkEnd w:id="92"/>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ECLI:ES:TC:1992:21A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1.416/1991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Argimiro Vázquez Guillén, en nombre y representación de don Esteve Soto Corneado y don Pedro Planell Saumell, interpone recurso de amparo, con fecha 28 de junio de 1991, contra la Sentencia del Juzgado de Instrucción núm. 15 de Barcelona, de 4 de junio de 1991, que estima parcialmente el recurso de apelación contra la dictada por el extinguido Juzgado de Distrito núm. 7, de 2 de noviembre de 1989, en juicio de faltas.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los siguientes antecedentes: </w:t>
      </w:r>
    </w:p>
    <w:p w:rsidR="00A12D44" w:rsidRDefault="00A12D44" w:rsidP="00A12D44">
      <w:pPr>
        <w:pStyle w:val="TextoNormal"/>
      </w:pPr>
      <w:r>
        <w:t xml:space="preserve">a) Los demandantes en amparo fueron condenados por el extinto Juzgado de Distrito núm. 7 de Barcelona, en Sentencia de 2 de noviembre de 1989, como autores de una falta de amenazas del 585.4 del Código Penal a la pena de cinco días de arresto menor; al señor Soto, además, a otro pena de cinco días como autor de una falta del 585.2; y a ambos conjunta y solidariamente, a abonar la cantidad que resulte peritada en ejecución de Sentencia. </w:t>
      </w:r>
    </w:p>
    <w:p w:rsidR="00A12D44" w:rsidRDefault="00A12D44" w:rsidP="00A12D44">
      <w:pPr>
        <w:pStyle w:val="TextoNormal"/>
      </w:pPr>
      <w:r>
        <w:t xml:space="preserve">b) Interpuesto recurso de apelación, en el que entre otros extremos se alega la violación del principio constitucional de presunción de inocencia, el Juzgado de Instrucción núm. 15 de Barcelona, en Sentencia de 4 de julio de 1991, lo estimó parcialmente, absolviendo al señor Soto de la falta de amenazas del 585.2 y confirmando íntegramente los restantes pronunciamientos de la Sentencia. </w:t>
      </w:r>
    </w:p>
    <w:p w:rsidR="00A12D44" w:rsidRDefault="00A12D44" w:rsidP="00A12D44">
      <w:pPr>
        <w:pStyle w:val="TextoNormal"/>
      </w:pPr>
      <w:r>
        <w:t>Los demandantes aducen que las referidas Sentencias infringen claramente el derecho constitucional a la presunción de inocencia, porque en el juicio de faltas no existió prueba suficiente para desvirtuar dicha presunción, ni se expresa en la Sentencia el necesario proceso lógico mediante el cual se llegan a declarar como hechos probados los contenidos en la Sentencia, intentándose salvar tal laguna en la apelación. Concluye que la Sentencia está basada en meros indicios, a los que se llega mediante una interpretación contra reo y sin que exista una actividad probatoria suficiente.</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16 de septiembre de 1991, la Sección Primera acuerda tener por interpuesto el recurso de amparo, y, a tenor de lo dispuesto en el art. 50.3 de la LOTC, conceder un plazo común de diez días al Ministerio Fiscal y al citado Procurador para que aleguen lo que estimen pertinente en relación con la posible existencia de la causa de inadmisión prevista en el art. 50.1 c) LOTC: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4</w:t>
      </w:r>
      <w:r>
        <w:t>. Con fecha 2 de octubre de 1991 se recibe el escrito del Ministerio Fiscal en el que, tras reconocer que la Sentencia de instancia no desarrolla argumento probatorio alguno, sino que se limita a examinar los elementos técnico- jurídicos de la falta, anudándose a un hecho inconcluso, mantiene sin embargo que la Sentencia de apelación sí contiene suficientes elementos indiciarios para, siguiendo reiterada jurisprudencia del Tribunal Constitucional, entender que se ha roto la presunción de inocencia. Concluye solicitando la inadmisión del recurso por concurrir la causa prevista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Con fecha 7 de octubre de 1991 se recibe el escrito de los demandantes, en el que se reafirman en sus alegaciones y solicitan la admisión del amparo.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ahora la concurrencia de la causa de inadmisión advertida en nuestra providencia de 16 de septiembre de 1991, pues, como sostiene el Ministerio Fiscal, la demanda carece manifiestamente de contenido que justifique una decisión sobre el fondo por parte del Tribunal Constitucional, conforme a lo establecido en el art. 50.1 c) de su Ley Orgánica.</w:t>
      </w:r>
    </w:p>
    <w:p w:rsidR="00A12D44" w:rsidRDefault="00A12D44" w:rsidP="00A12D44">
      <w:pPr>
        <w:pStyle w:val="TextoNormal"/>
      </w:pPr>
    </w:p>
    <w:p w:rsidR="00A12D44" w:rsidRDefault="00A12D44" w:rsidP="00A12D44">
      <w:pPr>
        <w:pStyle w:val="TextoNormal"/>
      </w:pPr>
      <w:r w:rsidRPr="00A12D44">
        <w:rPr>
          <w:rStyle w:val="NumeroAFNegritaCaracter"/>
        </w:rPr>
        <w:t>2</w:t>
      </w:r>
      <w:r>
        <w:t>. Es doctrina reiterada y constante de este Tribunal a partir de su STC 3/1981 que el principio de libre valoración de la prueba por los órganos judiciales es constitucionalmente válido, de forma que la apreciación por parte de este Tribunal de una vulneración contraria al derecho fundamental a la presunción de inocencia en una decisión judicial supone la existencia de un vacío probatorio, ya sea por ausencia material de prueba, ya sea porque ésta, al incurrir en ilicitud constitucional, no pueda ser tenida en cuenta. Y es también doctrina reiterada de este Tribunal, a partir de la STC 174/1985, que el derecho a la presunción de inocencia no se opone a que la convicción judicial en un proceso penal se pueda formar sobre la base de una prueba indiciaria.</w:t>
      </w:r>
    </w:p>
    <w:p w:rsidR="00A12D44" w:rsidRDefault="00A12D44" w:rsidP="00A12D44">
      <w:pPr>
        <w:pStyle w:val="TextoNormal"/>
      </w:pPr>
      <w:r>
        <w:t>Por último, la jurisprudencia de este Tribunal (por todas, STC 145/1987) sostiene que la naturaleza del recurso de apelación, como medio de impugnación ordinario, atribuye al Tribunal de segunda instancia la potestad necesaria para valorar y tener en cuenta sin condicionamiento alguno las pruebas practicadas en primera instancia. En este sentido hay que entender el art.  44.1 c) de la LOTC. de forma que se permita a los Tribunales superiores reparar, cuando ello sea posible, la lesión de derechos fundamentales, preservando así el carácter subsidiario del recurso de amparo.</w:t>
      </w:r>
    </w:p>
    <w:p w:rsidR="00A12D44" w:rsidRDefault="00A12D44" w:rsidP="00A12D44">
      <w:pPr>
        <w:pStyle w:val="TextoNormal"/>
      </w:pPr>
    </w:p>
    <w:p w:rsidR="00A12D44" w:rsidRDefault="00A12D44" w:rsidP="00A12D44">
      <w:pPr>
        <w:pStyle w:val="TextoNormal"/>
      </w:pPr>
      <w:r w:rsidRPr="00A12D44">
        <w:rPr>
          <w:rStyle w:val="NumeroAFNegritaCaracter"/>
        </w:rPr>
        <w:t>3</w:t>
      </w:r>
      <w:r>
        <w:t>. A la luz de la citada jurisprudencia constitucional, hay que comenzar por señalar que si bien puede resultar cierto, tal como señalan los recurrentes y admite el Ministerio Fiscal, que en la Sentencia de instancia no se desarrolla argumento probatorio alguno, sino que se dan como probados una serie de hechos sin más fundamentación expresa que «el haber sido apreciados según la conciencia y especialmente de lo manifestado en el acto del juicio», sin embargo tal dato no puede ser considerado en sí mismo, y por la propia naturaleza del recurso de apelación, vulnerador del derecho de presunción de inocencia, si esa ausencia de motivación expresa no es predicable también de la Sentencia de apelación.</w:t>
      </w:r>
    </w:p>
    <w:p w:rsidR="00A12D44" w:rsidRDefault="00A12D44" w:rsidP="00A12D44">
      <w:pPr>
        <w:pStyle w:val="TextoNormal"/>
      </w:pPr>
      <w:r>
        <w:lastRenderedPageBreak/>
        <w:t>Es, pues, necesario analizar los fundamentos jurídicos de la Sentencia de apelación en relación con la jurisprudencia de este Tribunal sobre la validez de las pruebas indiciarias para romper la presunción de inocencia, de forma que sólo si en esta Sentencia se incumplen también los requisitos para la apreciación de ese tipo de pruebas se podrá considerar violado el art. 24 de la Constitución.</w:t>
      </w:r>
    </w:p>
    <w:p w:rsidR="00A12D44" w:rsidRDefault="00A12D44" w:rsidP="00A12D44">
      <w:pPr>
        <w:pStyle w:val="TextoNormal"/>
      </w:pPr>
      <w:r>
        <w:t>En dicha Sentencia existe en primer lugar una expresa declaración sobre los hechos declarados probados: «resulta incontrovertido que los denunciados se oponían a la continuación de la obra... que uno de los denunciados había advertido con quitar los anclajes de los andamios en caso de continuación... y que los anclajes que faltaban eran los correspondientes a los balcones de las viviendas de ambos denunciados». En segundo lugar, se explicita el razonamiento que le lleva a concluir con la consideración de los hechos como constitutivos de falta imputable a los demandados: «indicios todos ellos que colman las exigencias de univocidad y carácter riguroso para justificar la acreditación de los hechos y su imputación a los demandados». Por último utiliza para ello una presunción: «diversos hechos acreditativos indicativos de la comisión de la falta de coacciones por la que ambos demandados fueron condenados».</w:t>
      </w:r>
    </w:p>
    <w:p w:rsidR="00A12D44" w:rsidRDefault="00A12D44" w:rsidP="00A12D44">
      <w:pPr>
        <w:pStyle w:val="TextoNormal"/>
      </w:pPr>
      <w:r>
        <w:t>De todo ello se infiere que la Sentencia del Juzgado de Instrucción contiene los elementos necesarios, de carácter indiciario, para formar la convicción del órgano judicial, y que los mismos aparecen suficientemente explicitados.  No cabe hablar, por tanto, de violación del derecho a la presunción de inocencia, sino de una explicación razonada y razonable del principio de libre valoración de la prueba.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3" w:name="AUTO_1992_22"/>
      <w:r>
        <w:lastRenderedPageBreak/>
        <w:t>AUTO 22/1992, de 27 de enero de 1992</w:t>
      </w:r>
    </w:p>
    <w:bookmarkEnd w:id="93"/>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ECLI:ES:TC:1992:22A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1.441/1991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Procuradora doña Pilar Calvo Díaz, en nombre y representación de don Luis Melgar Calonge, mediante escrito que tuvo entrada en este Tribunal el 1 de julio de 1991, interpone recurso de amparo contra la Sentencia de la Sala Primera del Tribunal Supremo que inadmite la casación contra la dictada por la Audiencia Provincial de Madrid en juicio declarativo de menor cuantía sobre nulidad de escritura pública y reconocimiento de derechos hereditarios.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que sirven de base a la demanda son en síntesis, los siguientes: a) Doña Elisa Arteaga Rojas -tía paterna del recurrente- otorgó testamento abierto -el 31 de marzo de 1901, en el que disponía que la renta producida por sus bienes seria para los pobres del pueblo de Tembleque hasta que sus sobrinos carnales: doña Piedad, doña Carmen y don José María Melgar Arteaga -padre adoptante del recurrente-, quedaran sin herederos forzosos ascendientes, momento en el que pasarían aquéllos por partes iguales y en usufructo vitalicio a tales sobrinos. Se disponía además que si alguno de los tres sobrinos fallecía sin sucesión directa pasaría su porción de bienes a los otros dos o al que sobreviviera de los tres, y que en ningún caso sus bienes -salvo de los que su esposo dispusiera en vida- pasarían a personas que no fueran descendientes por línea directa de los tres nombrados sobrinos. </w:t>
      </w:r>
    </w:p>
    <w:p w:rsidR="00A12D44" w:rsidRDefault="00A12D44" w:rsidP="00A12D44">
      <w:pPr>
        <w:pStyle w:val="TextoNormal"/>
      </w:pPr>
      <w:r>
        <w:t xml:space="preserve">b) La testadora falleció el 2 de febrero de 1931, y el 30 de diciembre siguiente se adjudicó el usufructo vitalicio a los tres meritados sobrinos sin disposición concreta en tal partición respecto a la nuda propiedad de tales bienes. </w:t>
      </w:r>
    </w:p>
    <w:p w:rsidR="00A12D44" w:rsidRDefault="00A12D44" w:rsidP="00A12D44">
      <w:pPr>
        <w:pStyle w:val="TextoNormal"/>
      </w:pPr>
      <w:r>
        <w:t xml:space="preserve">c) Por escritura de 25 de marzo de 1955, don José María Melgar y su esposa adoptaron conjuntamente al solicitante de amparo, a quien tenían acogido desde los cuatro años de edad. </w:t>
      </w:r>
    </w:p>
    <w:p w:rsidR="00A12D44" w:rsidRDefault="00A12D44" w:rsidP="00A12D44">
      <w:pPr>
        <w:pStyle w:val="TextoNormal"/>
      </w:pPr>
      <w:r>
        <w:t xml:space="preserve">d) El 10 de diciembre de 1961 los tres sobrinos de la causante y los hijos de doña Piedad Melgar -Francisco y Miguel Martín-Rabadán Melgar- otorgaron escritura de adición de partición en la que hicieron adjudicaciones concretas a estos últimos en concepto de herederos nudo-propietarios, señalándose como condición resolutoria de tal adjudicación que al fallecimiento de doña Piedad no subsistieran ni hijos ni descendientes, o que al fallecimiento de doña Carmen y de don José María quedaran, respectivamente, descendientes de una u otro. </w:t>
      </w:r>
    </w:p>
    <w:p w:rsidR="00A12D44" w:rsidRDefault="00A12D44" w:rsidP="00A12D44">
      <w:pPr>
        <w:pStyle w:val="TextoNormal"/>
      </w:pPr>
      <w:r>
        <w:lastRenderedPageBreak/>
        <w:t xml:space="preserve">e) El 22 de septiembre de 1968 fallece doña Piedad Melgar. </w:t>
      </w:r>
    </w:p>
    <w:p w:rsidR="00A12D44" w:rsidRDefault="00A12D44" w:rsidP="00A12D44">
      <w:pPr>
        <w:pStyle w:val="TextoNormal"/>
      </w:pPr>
      <w:r>
        <w:t xml:space="preserve">f) El 14 de marzo de 1972 fallece don José María Melgar, quien otorgó testamento instituyendo como heredera universal de todos sus bienes a su esposa. Mas como ésta renunció pura y simplemente a tal herencia, se abrió la correspondiente sucesión abintestato, siendo declarado el ahora demandante como tal heredero abintestato en todos los bienes de su padre adoptivo mediante Auto del Juzgado de Primera Instancia núm. 6 de Madrid de 24 de mayo de 1986. </w:t>
      </w:r>
    </w:p>
    <w:p w:rsidR="00A12D44" w:rsidRDefault="00A12D44" w:rsidP="00A12D44">
      <w:pPr>
        <w:pStyle w:val="TextoNormal"/>
      </w:pPr>
      <w:r>
        <w:t xml:space="preserve">g) El recurrente, don Luis Domingo Melgar, con fecha 23 de diciembre de 1986, promovió demanda de juicio de menor cuantía, en la que solicitaba la nulidad de pleno Derecho de la escritura de adición de partición de herencia de 10 de diciembre de 1961, así como la declaración de su condición de pariente colateral dentro del cuarto grado con relación a la testadora, en cuando descendiente directo de don José María Melgar, y consecuentemente el derecho a suceder a la referida causante en la cuota de los bienes que le correspondía. </w:t>
      </w:r>
    </w:p>
    <w:p w:rsidR="00A12D44" w:rsidRDefault="00A12D44" w:rsidP="00A12D44">
      <w:pPr>
        <w:pStyle w:val="TextoNormal"/>
      </w:pPr>
      <w:r>
        <w:t xml:space="preserve">h) En plena tramitación del procedimiento -el 19 de marzo de 1987- falleció la última de las sobrinas, doña Carmen Melgar, concluyendo tal juicio mediante Sentencia de 16 de febrero de 1988, la cual desestimó íntegramente la demanda. </w:t>
      </w:r>
    </w:p>
    <w:p w:rsidR="00A12D44" w:rsidRDefault="00A12D44" w:rsidP="00A12D44">
      <w:pPr>
        <w:pStyle w:val="TextoNormal"/>
      </w:pPr>
      <w:r>
        <w:t xml:space="preserve">i) Formulado recurso de apelación por tal demandante, éste fue desestimado por la Sentencia de la Sección Octava de la Audiencia Provincial de Madrid de 10 de abril de 1989. </w:t>
      </w:r>
    </w:p>
    <w:p w:rsidR="00A12D44" w:rsidRDefault="00A12D44" w:rsidP="00A12D44">
      <w:pPr>
        <w:pStyle w:val="TextoNormal"/>
      </w:pPr>
      <w:r>
        <w:t>j) El recurso de casación planteado por el mismo recurrente contra esta última fue nuevamente desestimado por la Sentencia de la Sala Primera del Tribunal Supremo de 23 de mayo de 1991.</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se alega la vulneración del derecho de igualdad ante la ley de art. 14 de la 'C.E., en su vertiente de igualdad de filiaciones ¡natural y adoptiva, solicitándose la declaración de nulidad de la Sentencia de la Sala Primera del Tribunal Supremo. </w:t>
      </w:r>
    </w:p>
    <w:p w:rsidR="00A12D44" w:rsidRDefault="00A12D44" w:rsidP="00A12D44">
      <w:pPr>
        <w:pStyle w:val="TextoNormal"/>
      </w:pPr>
      <w:r>
        <w:t xml:space="preserve">Para la Sentencia impugnada, argumenta la demanda, el principio de igualdad de todas las filiaciones se limita exclusivamente a las filiaciones por naturaleza «intra» y «extra» matrimoniales, pero no a la adoptiva, la cual entiende que. salvo el breve lapso de vigencia del antiguo texto del art. 176 del Código Civil, en ningún momento se ha asimilado a la filiación por naturaleza hasta el extremo de crear parentesco con la familia del adoptante. Sin embargo, la desaparición de la anterior redacción de tal art. 176 del Código Civil -que decretaba que la adopción causaba parentesco entre el adoptante, el adoptado, sus descendientes y la familia del adoptante- es precisamente la contraria: como consecuencia de la proclamación en la Constitución del principio de igualdad de todas las filiaciones -arts. 39.2 y 14 de la C.E.-, nuestros legisladores trasladaron al Código Civil dicho principio, introduciendo, a través de la Ley 11/1981 de 13 de mayo, el art. 108 C.C. y remachando tal equiparación a través del repetido art. 176 C.C. Si la redacción de este último precepto ha sido suprimida definitivamente mediante la última reforma de 11 de noviembre de 1987, ello ha sido debido a que el legislador ha entendido que el mandato constitucional de igualdad de filiaciones está suficientemente reflejado a través del artículo 108 C.C.. siendo superfluo aquél. Es más, dicha nueva Ley de Adopción de 1987 no sólo no ha alterado tal principio de igualdad de filiaciones natural y adoptiva, sino que lo ha llevado a sus últimas consecuencias al suprimir las dos clases de adopción -simple y plena- y disponer que la adopción extingue los vínculos jurídicos entre adoptado y familia de sangre anterior. </w:t>
      </w:r>
    </w:p>
    <w:p w:rsidR="00A12D44" w:rsidRDefault="00A12D44" w:rsidP="00A12D44">
      <w:pPr>
        <w:pStyle w:val="TextoNormal"/>
      </w:pPr>
      <w:r>
        <w:t>Efectivamente, continúa la demanda, es solo al tiempo de cumplirse la condición establecida por la testadora cuando puede cumplirse su voluntad, llamando a la plena propie</w:t>
      </w:r>
      <w:r>
        <w:lastRenderedPageBreak/>
        <w:t xml:space="preserve">dad de sus bienes a todos aquellos que reúnan las condiciones establecidas por aquélla en su testamento: ser descendiente o sucesor directo de cualquiera de los tres sobrinos usufructuarios y ser pariente de la testadora. La Sentencia recurrida toma como fechas trascendentes en tal sentido tanto la de fallecimiento de la causante -2 de febrero de 1931- como la de fallecimiento del padre adoptante -14 de marzo de 1974-, sin embargo, ambas carecen de relevancia: la primera porque la condición impuesta lleva implícita la previsión de aparición de herederos tras la muerte de la testadora, y la segunda porque el fallecimiento de don José María Melgar lo que determina es si fallecía con descendencia o sin ella, pero no la capacidad de tal descendencia para heredar. </w:t>
      </w:r>
    </w:p>
    <w:p w:rsidR="00A12D44" w:rsidRDefault="00A12D44" w:rsidP="00A12D44">
      <w:pPr>
        <w:pStyle w:val="TextoNormal"/>
      </w:pPr>
      <w:r>
        <w:t>El momento de cumplimiento de la condición, y por tanto la única fecha trascendente en la que se adquiere la capacidad de heredar, es la de la muerte de la última usufructuaria: el 19 de marzo de 1987 -con lo cual entrarían en juego los efectos del art. 176 del Código Civil y de la Disposición transitoria primera y no la octava de la Ley de 13 de mayo de 1981-. Sin embargo, como tal fecha no fue tomada en consideración por la Sentencia ahora recurrida, ésta ha discriminado al recurrente, en cuanto hijo adoptivo de uno de los sobrinos de la causante, frente a los otros dos hijos por naturaleza de otra de las sobrinas, de dicha testadora, a pesar de que los tres, en dicha fecha de fallecimiento de la última usufructuaria, reunían las cualidades que para heredar se establecieron por la testadora, infringiéndose, por todo ello, el repetido principio de igualdad del art. 14 de la C.E.</w:t>
      </w:r>
    </w:p>
    <w:p w:rsidR="00A12D44" w:rsidRDefault="00A12D44" w:rsidP="00A12D44">
      <w:pPr>
        <w:pStyle w:val="TextoNormal"/>
      </w:pPr>
    </w:p>
    <w:p w:rsidR="00A12D44" w:rsidRDefault="00A12D44" w:rsidP="00A12D44">
      <w:pPr>
        <w:pStyle w:val="TextoNormal"/>
      </w:pPr>
      <w:r w:rsidRPr="00A12D44">
        <w:rPr>
          <w:rStyle w:val="NumeroAFNegritaCaracter"/>
        </w:rPr>
        <w:t>4</w:t>
      </w:r>
      <w:r>
        <w:t>. El día 25 de noviembre de 1991 se dictó providencia concediendo al demandante de amparo y al Ministerio Fiscal un plazo diez días para alegar sobre la posible concurrencia de la causa de inadmisibilidad prevista el art. 50.1c) LOTC por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5</w:t>
      </w:r>
      <w:r>
        <w:t>. El día 16 de diciembre de 1991, el Ministerio Fiscal esentó ante este Tribunal su escrito de alegaciones. Alega el Fiscal que el testamento debe ser interpretado de acuerdo con el tenor literal de sus cláusulas para que sea fiel reflejo de la voluntad del testador. Voluntad cuya interpretación requiere a su vez tener en cuenta los conceptos históricos y legales del momento en que se otorga. En consecuencia, como la testadora quería que sus bienes se transmitieran a las personas que reunieran dos condiciones: ser parientes de la testadora y descendientes en línea directa de sus sobrinos, el actor, en el momento del otorgamiento del testamento, no cumplía dichas condiciones. El órgano judicial, continúa el Ministerio Público, no puede interpretar la voluntad de la testadora, tan claramente expresada -en el año 1901-, utilizando, como pretende el recurrente, conceptos actuales, ya que éstos entonces no existían y no fueron tenidos en cuenta por tal otorgante del testamento. En consecuencia, puesto que la resolución judicial impugnada ha interpretado la disposición testamentaria de acuerdo con la normativa aplicable, se concluye solicitando la inadmisión a trámite de la demanda por su carencia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6</w:t>
      </w:r>
      <w:r>
        <w:t>. La representación actora, en su escrito presentado el 11 de diciembre de 1991 formuló alegaciones solicitando la admisión a trámite de la demanda dado su contenido constitucional. Insiste en que las resoluciones judiciales impugnadas han infringido el principio de igualdad ante la ley en su manifestación de igualdad de toda clase de filiaciones pues planteada la cuestión sucesoria de una institución condicional, cuya condición ha tenido cumplimiento después de la vigencia de la Constitución, debe regir en dicha sucesión el referido principio de igualdad.</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Examinadas las alegaciones del Ministerio Fiscal y de la parte solicitante de amparo, presentadas en el trámite del art. 50.3 LOTC, procede tener ahora por concurrente el motivo de inadmisión puesto de manifiesto en nuestra providencia de 25 de noviembre de 199 1, consistente en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2</w:t>
      </w:r>
      <w:r>
        <w:t>. El recurrente, en definitiva, considera vulnerado el derecho de igualdad del art. 14 de la C.E. porque se entiende discriminado. en cuanto a sus derechos sucesorios en la herencia de su tía paterna -hijo adoptivo de uno de los sobrinos de aquélla- con respecto a los dos hijos de otra de las sobrinas de aquella tía, a quienes mediante la escritura de adición de partición se les adjudica la propiedad de los bienes de la herencia, discriminación que entiende derivada de ser el hijo adoptivo y los otros dos hijos por naturaleza.</w:t>
      </w:r>
    </w:p>
    <w:p w:rsidR="00A12D44" w:rsidRDefault="00A12D44" w:rsidP="00A12D44">
      <w:pPr>
        <w:pStyle w:val="TextoNormal"/>
      </w:pPr>
      <w:r>
        <w:t>La Sentencia, en síntesis, razona que como su llamamiento a aquella herencia tuvo lugar, no cuando murió la última de las sobrinas de la testadora -en 1987- , sino cuando se produjo el fallecimiento del padre adoptivo de tal solicitante de amparo -el llamamiento de los sustitutos respecto de los instituidos tiene lugar por estirpes, esto es, el 14 de marzo de 1972-, como en dicha fecha no era pariente de la testadora, puesto que no se había publicado la Ley de reforma del Código Civil de 1981 -especialmente el art.  176 del C.C.-, y tampoco era ni pariente ni descendiente directo de tal testadora en la fecha de fallecimiento de la misma -fecha también a tomar en consideración conforme a los arts. 657 y 758 del Código Civil-, concluye argumentando que tal demandante no reúne las cualidades exigidas en el testamento analizado para obtener la pretensión de su demanda.</w:t>
      </w:r>
    </w:p>
    <w:p w:rsidR="00A12D44" w:rsidRDefault="00A12D44" w:rsidP="00A12D44">
      <w:pPr>
        <w:pStyle w:val="TextoNormal"/>
      </w:pPr>
    </w:p>
    <w:p w:rsidR="00A12D44" w:rsidRDefault="00A12D44" w:rsidP="00A12D44">
      <w:pPr>
        <w:pStyle w:val="TextoNormal"/>
      </w:pPr>
      <w:r w:rsidRPr="00A12D44">
        <w:rPr>
          <w:rStyle w:val="NumeroAFNegritaCaracter"/>
        </w:rPr>
        <w:t>3</w:t>
      </w:r>
      <w:r>
        <w:t>. Efectivamente, dentro de la prohibición de discriminación del art. 14 de la C.E., y concretamente dentro de la no discriminación por razón de nacimiento, procede encuadrar la igualdad entre las distintas clases de filiación, y por ende entre la filiación por naturaleza y por adopción.</w:t>
      </w:r>
    </w:p>
    <w:p w:rsidR="00A12D44" w:rsidRDefault="00A12D44" w:rsidP="00A12D44">
      <w:pPr>
        <w:pStyle w:val="TextoNormal"/>
      </w:pPr>
      <w:r>
        <w:t>En consecuencia, tendría razón el solicitante de amparo al argumentar -en ello se basa su primera parte del recurso- que como reflejo de dicho principio constitucional, a partir de la primera reforma postconstitucional del Código Civil, y hasta la actual, deben entenderse absolutamente equiparadas, a todos los efectos y en todo momento, las distintas clases de filiación, y para ello hasta leer la exposición de motivos de la ley de 1987 de reforma del Código Civil en la materia, que se refiere a la consagración de la completa ruptura del vínculo jurídico que el adoptado mantenía con su familia anterior, y la creación ope legis de una relación de filiación a la que resultan aplicables las normas generales de filiación contenidas en los arts. 108 y siguientes del Código Civil.</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Sin embargo, dicha igualdad entre hijos por naturaleza e hijos por adopción únicamente podría tener efectos para el recurrente una vez en vigor las normas que la declararon en cuanto a los actos jurídicos en relación con los cuales el derecho de igualdad se alegaba, lo cual no ocurrió ni respecto al momento de apertura de la sucesión testamentaria ni tampoco al del mismo testamento.  Respecto a lo primero, porque habría de relacionarse tanto con la fecha de fallecimiento de la testadora -en 1931 - como con la del fallecimiento del padre adoptivo del demandante -en 1974-, tal y como considera la Sentencia </w:t>
      </w:r>
      <w:r>
        <w:lastRenderedPageBreak/>
        <w:t>del Tribunal Supremo recurrida, y en ninguno de dichos momentos estaba vigente el principio constitucional de no discriminación por razón de filiación, ni puede aplicarse dicho principio a tales situaciones anteriores, otorgando a la Constitución efectos retroactivos.</w:t>
      </w:r>
    </w:p>
    <w:p w:rsidR="00A12D44" w:rsidRDefault="00A12D44" w:rsidP="00A12D44">
      <w:pPr>
        <w:pStyle w:val="TextoNormal"/>
      </w:pPr>
      <w:r>
        <w:t>Y en cuanto a lo segundo, y tal y como pone de manifiesto el Ministerio Fiscal, puesto que se recurre una resolución judicial que lleva a cabo la interpretación de una disposición testamentaria, y tal interpretación testamentaria debe efectuarse conforme a la voluntad de la testadora, voluntad que no puede aislarse del momento histórico y legal en que se otorga el testamento. Por tanto, no es posible utilizar en la interpretación de tal llamamiento a la herencia, producido en el año 1931, conceptos actuales, que entonces no existían y que por ello no pudieron ser tomados en consideración por dicha testadora.</w:t>
      </w:r>
    </w:p>
    <w:p w:rsidR="00A12D44" w:rsidRDefault="00A12D44" w:rsidP="00A12D44">
      <w:pPr>
        <w:pStyle w:val="TextoNormal"/>
      </w:pPr>
      <w:r>
        <w:t>En consecuencia, lo que la Sentencia impuganda pone de manifiesto es que, por una y otra de esas circunstancias, no cabría alegar la discriminación en que ahora se funda el amparo; debe así reputarse que la demanda carece manifiestamente de contenido constitucional, y procede su inadmisión según el art. 50.1. c) y 40.3 de la LOTC.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presente recurso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4" w:name="AUTO_1992_23"/>
      <w:r>
        <w:lastRenderedPageBreak/>
        <w:t>AUTO 23/1992, de 27 de enero de 1992</w:t>
      </w:r>
    </w:p>
    <w:bookmarkEnd w:id="94"/>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ECLI:ES:TC:1992:23A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1.463/1991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registrado en este Tribunal el 3 de julio de 1991, el Procurador don Carlos Riopérez Losada formuló recurso de amparo fundado en los siguientes hechos y alegaciones de Derecho. </w:t>
      </w:r>
    </w:p>
    <w:p w:rsidR="00A12D44" w:rsidRDefault="00A12D44" w:rsidP="00A12D44">
      <w:pPr>
        <w:pStyle w:val="TextoNormal"/>
      </w:pPr>
      <w:r>
        <w:t xml:space="preserve">En 1987, don Aníbal Sergio Sevilla, uno de los demandantes de amparo, de nacionalidad argentina, solicitó visado para trabajar en España. Poco tiempo después, don Rubén Allegretti, el otro recurrente, también de nacionalidad argentina, Odontólogo y ya residente en España, suscribió un poder general en favor del primero. Días después éste presentó solicitud de permiso de trabajo y residencia, que le fue denegada por la Dirección Provincial de Trabajo y Seguridad Social de Barcelona, por no haber quedado justificada la conveniencia para el empleo y la economía nacional de cubrir con un extranjero el puesto de trabajo solicitado. Contra tal denegación interpusieron los hoy solicitantes de amparo recurso contencioso-administrativo, fundándolo en que existen en el presente caso dos causas de preferencia para otorgar el permiso de trabajo: a) la nacionalidad iberoamericana del solicitante [art. 18.3 f) de la Ley Orgánica 7/1985, de Extranjería]; y b) tratarse de un puesto de trabajo de confianza, entendiéndose por tales aquellos que ejerzan la representación de la empresa a cuyo favor se hubiera extendido un poder general [art. 18.3 i) de la misma Ley Orgánica]. El Abogado del Estado se opuso a la demanda contenciosa en base al art. 37.4 del Real Decreto 1119/1986, de 26 de mayo, que establece que «la autoridad laboral denegará el permiso de trabajo cuando lo aconseje la situación nacional del empleo, a juicio de la autoridad laboral», y en base a que no se dan las preferencias mencionadas en el art. 38 del citado Real Decreto, sin mayor razonamiento. La Sala Tercera de lo Contencioso- Administrativo de la Audiencia Territorial de Barcelona, por Sentencia de 17 de enero de 1989, desestimó la demanda, fundándose en que la primera preferencia invocada por los recurrentes podría entrar en juego frente a extranjeros de otra nacionalidad, pero no cuando haya candidatos españoles al empleo, y en que, al otorgarse un poder general para una actividad que no lo requiere (la administración de una clínica dental), se ha actuado en fraude de ley. Los recurrentes apelaron la Sentencia de instancia alegando indefensión, por haberse presumido que actuaron en fraude de ley, y por infracción de diversos preceptos de la Ley Orgánica 7/1985 y del Real Decreto 1119/1986. La Sentencia de la Sala Tercera del Tribunal Supremo de 18 de marzo de 1991, ahora impugnada, desestimó la apelación, si bien con un voto particular, declarando que no existió indefensión, que los apelantes habían actuado en fraude de ley y que la preferencia que se establece en </w:t>
      </w:r>
      <w:r>
        <w:lastRenderedPageBreak/>
        <w:t xml:space="preserve">favor de los iberoamericanos lo es sólo para la reducción del tiempo para disfrutar del permiso de trabajo C, según el art. 39.3 a) del Real Decreto 1119/1986. </w:t>
      </w:r>
    </w:p>
    <w:p w:rsidR="00A12D44" w:rsidRDefault="00A12D44" w:rsidP="00A12D44">
      <w:pPr>
        <w:pStyle w:val="TextoNormal"/>
      </w:pPr>
      <w:r>
        <w:t xml:space="preserve">El recurso de amparo se fundamenta en dos motivos. En el primero se denuncia violación del art. 24.1 C.E. por existir incongruencia en la Sentencia con los términos en que se produjo el debate procesal, entrañando una vulneración de los principios de contradicción y defensa. Este motivo se basa en que, como señala el voto particular de la Sentencia recurrida, se ha negado la eficacia jurídica de un acto de apoderamiento presumiendo que existió fraude de ley, y cuando nadie lo alegó, fundándose para ello en meras suposiciones y datos fácticos (la modesta entidad de la empresa, de funcionalidad de apoderamiento) desconocidos por la Sala y no alegados ni probados. </w:t>
      </w:r>
    </w:p>
    <w:p w:rsidR="00A12D44" w:rsidRDefault="00A12D44" w:rsidP="00A12D44">
      <w:pPr>
        <w:pStyle w:val="TextoNormal"/>
      </w:pPr>
      <w:r>
        <w:t xml:space="preserve">El segundo motivo del recurso de amparo hace referencia a la violación del art. 14 C.E., por la aplicación de normas reglamentarias que establecen diferencias de trato y excluyen a personas del goce de un derecho del que la ley no les excluyó. Este motivo del recurso sigue también el razonamiento del voto particular a la Sentencia recurrida. Se parte de considerar que el derecho constitucional a la igualdad ante la ley está reconocido también en favor de los extranjeros, no en términos absolutos, pero si en la medida en que las leyes y los tratados establezcan parámetros que coloquen a diversos sujetos en identidad de situación frente a datos relevantes (STC 107/1984). Esta identidad de situación deriva, según la demanda de amparo, del art. 18.3 de la Ley Orgánica 7/1985, de derechos y libertades de los extranjeros en España, precepto que dispone que «tendrán preferencia» para obtener y renovar el permiso de trabajo los extranjeros que acreditan hallarse en «cualquiera de los siguientes supuestos...»; enumerándose esos supuestos y, con la letra f), entre ellos, «que se trate de iberoamericanos» (y también portugueses, filipinos, andorranos, ecuatoguineanos o sefardíes). Sin embargo, el Real Decreto 1119/1986, que desarrolló dicha Ley Orgánica, no coloca a los iberoamericanos (y portugueses..., etc.) en la misma situación que a los extranjeros que se hallan en otros de los supuestos contemplados en el art. 18.3 de la Ley. Mientras que para algunos de éstos la preferencia para la concesión de un permiso de trabajo A o B se reconoce «sin considerar la situación nacional de empleo» (art. 38 del Real Decreto 1119/1986), la «preferencia» de los iberoamericanos (y de otras categorías) se limita a una reducción del tiempo exigido para obtener un permiso C (art. 39.3), por lo cual les puede ser dene- gado un permiso A o B «cuando lo aconseje la situación nacional de empleo» (art. 37.4), tal y como ha sucedido en el presente caso. En opinión de los recurrentes, el art. 18.3 de la Ley Orgánica 7/1985 «Coloca en pie de igualdad» a todos los extranjeros que se hallan en los supuestos en él enumerados. Esa igualdad queda desvirtuada por el desarrollo reglamentario de la Ley, que establece diferencias entre esos supuestos. Sin embargo, el Reglamento no puede establecer esas diferenciaciones que la ley no permite, y al hacerlo así no sólo vulnera el principio de legalidad, sino también el principio de igualdad (SSTC 209/1987, 78/1990 y 4/1991). En tal sentido, se niega que el art. 39 del Real Decreto 1119/1986, donde se alude a los iberoamericanos, establezca una verdadera «preferencia» en favor de ellos (para obtener el permiso C), pues la única norma del citado Real Decreto que define las preferencias es el art. 38. Por eso, aunque el art. 19.3 de la Ley Orgánica 7/1985 remite al reglamento la regulación del «alcance de las preferencias que deban otorgarse según lo establecido en el artículo anterior», no está justificada la no inclusión de los iberoamericanos en el art. 38 del Reglamento. Es más, aunque pudiera entenderse que el citado art. 19.3 permite que por vía reglamentaria se dé un tratamiento plural y no unitario de las preferencias, la diferencia introducida en perjuicio de los iberoamericanos no es razonable. En efecto, la «ventaja» otorgada a éstos en el art. 39 del Real Decreto 1119/1986 para obtener el permiso C carece de utilidad real, pues a </w:t>
      </w:r>
      <w:r>
        <w:lastRenderedPageBreak/>
        <w:t>este tipo de permiso sólo puede llegarse mediante el disfrute de un permiso B, siendo así que los iberoamericanos no tienen preferencia alguna para obtener este tipo de permiso de trabajo, que les puede ser denegado en razón de la situación nacional del empleo. Además, en el plazo previsto para obtener un permiso C (dos años), los iberoamericanos podrían obtener la nacionalidad española sin perder la propia (arts. 22 y 23 del Código Civil), accediendo libremente a cualquier trabajo en España, por lo que no se ve la utilidad normativa del art. 39.3 a) del Real Decreto 1119/1986,supuestamente desarrollo de las «preferencias» que reconoce la Ley Orgánica 7/1985.</w:t>
      </w:r>
    </w:p>
    <w:p w:rsidR="00A12D44" w:rsidRDefault="00A12D44" w:rsidP="00A12D44">
      <w:pPr>
        <w:pStyle w:val="TextoNormal"/>
      </w:pPr>
    </w:p>
    <w:p w:rsidR="00A12D44" w:rsidRDefault="00A12D44" w:rsidP="00A12D44">
      <w:pPr>
        <w:pStyle w:val="TextoNormal"/>
      </w:pPr>
      <w:r w:rsidRPr="00A12D44">
        <w:rPr>
          <w:rStyle w:val="NumeroAFNegritaCaracter"/>
        </w:rPr>
        <w:t>2</w:t>
      </w:r>
      <w:r>
        <w:t>. Por providencia de 11 de noviembre de 1991, la Sección, conforme al art. 50.3 de la Ley Orgánica del Tribunal Constitucional, acordó conceder a los demandantes de amparo y al Ministerio Fiscal un plazo común de diez días para que aportaran documentos y formularan alegaciones en relación con la posible concurrencia de las causas de inadmisión previstas en el art. 50.1 a), en relación con el art. 44.1 c), por falta de invocación previa al derecho constitucional que se considera vulnerado, y en el art. 50.1 c), todos ellos de la citada Ley Orgánica.</w:t>
      </w:r>
    </w:p>
    <w:p w:rsidR="00A12D44" w:rsidRDefault="00A12D44" w:rsidP="00A12D44">
      <w:pPr>
        <w:pStyle w:val="TextoNormal"/>
      </w:pPr>
    </w:p>
    <w:p w:rsidR="00A12D44" w:rsidRDefault="00A12D44" w:rsidP="00A12D44">
      <w:pPr>
        <w:pStyle w:val="TextoNormal"/>
      </w:pPr>
      <w:r w:rsidRPr="00A12D44">
        <w:rPr>
          <w:rStyle w:val="NumeroAFNegritaCaracter"/>
        </w:rPr>
        <w:t>3</w:t>
      </w:r>
      <w:r>
        <w:t>. La parte recurrente alega y justifica documentalmente que en el proceso judicial previo se invocó expresamente la indefensión vulneradora del art. 24.1 C.E. y este mismo precepto. Nada dice ni prueba, en cambio, sobre la invocación en ese proceso del art. 14 C.E. Por otra parte, entiende que la demanda no carece de contenido constitucional, pues reitera que ha existido incongruencia en la resolución judicial, que ha dado lugar a una modificación de los términos en que se produjo el debate procesal, porque se dan por supuestas o probadas una serie de consideraciones que nadie invocó, siendo así que la jurisprudencia constitucional considera esta incongruencia como una violación del art. 24.1 C.E. En cuanto a la alegada infracción del art. 14 C.E. repite resumidamente los argumentos de la demanda de amparo.</w:t>
      </w:r>
    </w:p>
    <w:p w:rsidR="00A12D44" w:rsidRDefault="00A12D44" w:rsidP="00A12D44">
      <w:pPr>
        <w:pStyle w:val="TextoNormal"/>
      </w:pPr>
    </w:p>
    <w:p w:rsidR="00A12D44" w:rsidRDefault="00A12D44" w:rsidP="00A12D44">
      <w:pPr>
        <w:pStyle w:val="TextoNormal"/>
      </w:pPr>
      <w:r w:rsidRPr="00A12D44">
        <w:rPr>
          <w:rStyle w:val="NumeroAFNegritaCaracter"/>
        </w:rPr>
        <w:t>4</w:t>
      </w:r>
      <w:r>
        <w:t>. El Ministerio Fiscal señala que los recurrentes invocaron la supuesta indefensión por incongruencia en el recurso de apelación, pero no han demostrado ni resulta de la Sentencia impugnada que invocaran la infracción del art. 14 C.E., por lo que, respecto de este último motivo del recurso de amparo, no se ha cumplido el requisito del art. 44.1 c) de la LOTC. Sobre la pretendida vulneración del art. 24.1 C.E., entiende que no ha existido técnicamente incongruencia y menos aún indefensión inconstitucional, pues la Sentencia recurrida se pronunció argumentalmente sobre lo planteado en el proceso, produciéndose un fallo ajustado a las pretensiones de las partes, sobre las que se produjo un verdadero debate contradictorio. Y en cuanto a la supuesta infracción del art. 14 C.E. alega que lo que se plantea en realidad no es la discriminación de una categoría de extranjeros, los iberoamericanos (y otros), frente a los demás, sino un problema de acomodación del Reglamento (Real Decreto 1119/1986) a la ley (Ley Orgánica 7/1985), que es de mera legalidad, como tal estudiado y resuelto por los órganos judiciales competentes en las Sentencias ahora recurridas. En consecuencia, concluye el Ministerio Fiscal manifestando la procedencia de inadmitir el recurso de amparo.</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lo que se refiere al primer motivo del recurso, que se funda en la infracción del art. 24.1 C.E., ya invocada en el proceso judicial previo, es obvio que no se ha producido la situación de indefensión que en él se denuncia.  No se puede decir que las Sentencias impugnadas hayan incurrido en incongruencia vulnerando el principio de contradicción procesal, tal y como subraya el Ministerio Fiscal. Según reiteradísima doctrina de este Tribunal (desde la STC 20/1982), se entiende que la congruencia o incongruencia de una Sentencia ha de estimarse mediante la confrontación de la parte dispositiva con los términos en que se formulan la demanda y la oposición, teniendo en cuenta tanto las pretensiones de las partes como la acción ejercitada o causa pretendi pues si rebasara aquéllas o modificara ésta se produciría una completa alteración de los términos en que se produjo el debate procesal y la Sentencia se habría dictado sin verdadera contradicción. Pero distinto es el caso en que la Sentencia, sin exceder de las pretensiones de las partes ni modificar la causa pretendi falla en virtud de argumentos no expuestos por aquéllas en sus alegaciones. En tal caso, sin perjuicio de la conveniencia de posibilitar a las partes pronunciarse sobre esos nuevos argumentos, no se puede decir que exista incongruencia, sino simplemente aplicación del Derecho por el órgano judicial a la situación fáctica, libremente apreciada y valorada, que cabe deducir del planteamiento litigioso de las partes da mihi factum, dabo tibi ius. Esto es lo que en el presente caso ha ocurrido. Aunque la parte demandada no alegara nada sobre la eficacia del poder otorgado por un recurrente en favor del otro y su carácter fraudulento, la Sala podía deducirlo de los hechos probados sin alterar los términos del debate procesal, que se centró en si concurrían o no los requisitos legales y reglamentarios para la concesión del permiso de trabajo. No hubo, pues, verdadera incongruencia. Por otra parte, no puede decirse que la Sentencia de instancia causara la indefensión real de los recurrentes y por tanto, violación del art.  24 de la C.E., según alega también el Ministerio Fiscal ya que aquéllos pudieron replantear en la segunda instancia -y así lo hicieron- el debate sobre si existió o no fraude de ley en el otorgamiento del poder, aspecto éste al que la Sentencia del Tribunal Supremo da cumplida respuesta, estén o no de acuerdo con ella los demandantes de amparo.</w:t>
      </w:r>
    </w:p>
    <w:p w:rsidR="00A12D44" w:rsidRDefault="00A12D44" w:rsidP="00A12D44">
      <w:pPr>
        <w:pStyle w:val="TextoNormal"/>
      </w:pPr>
    </w:p>
    <w:p w:rsidR="00A12D44" w:rsidRDefault="00A12D44" w:rsidP="00A12D44">
      <w:pPr>
        <w:pStyle w:val="TextoNormal"/>
      </w:pPr>
      <w:r w:rsidRPr="00A12D44">
        <w:rPr>
          <w:rStyle w:val="NumeroAFNegritaCaracter"/>
        </w:rPr>
        <w:t>2</w:t>
      </w:r>
      <w:r>
        <w:t>. En cuanto al segundo motivo del recurso, fundado en la vulneración del art.  14 C.E., hay que entender que ésta no fue invocada en la vía judicial previa, pudiendo haberse hecho, pues los recurrentes no han probado y ni siquiera alegado que la invocaran. Esta circunstancia determina de por sí la inatendibilidad de dicho motivo, por no haberse cumplido el requisito que impone el art. 44.1 c) LOTC.</w:t>
      </w:r>
    </w:p>
    <w:p w:rsidR="00A12D44" w:rsidRDefault="00A12D44" w:rsidP="00A12D44">
      <w:pPr>
        <w:pStyle w:val="TextoNormal"/>
      </w:pPr>
      <w:r>
        <w:t xml:space="preserve">Pero, aun prescindiendo de ello, habría que afirmar que la demanda de amparo carece manifiestamente, también a este respecto. de contenido que justifique una decisión sobre el fondo por parte del Tribunal Constitucional. El Real Decreto 1119/1986 establece distintos supuestos de preferencias para obtener o renovar el permiso de trabajo en España en favor de determinadas categorías de extranjeros que no son homogéneas y que no pueden considerarse., respectivamente, término de comparación adecuado. por lo que la situación en que al efecto coloca a los iberoamericanos (junto a otros) no es en sí misma discriminatoria. Los demandantes de amparo basan su alegato en que la Ley Orgánica 7/1985, en su art. 18.3, ha igualado a todos los extranjeros que se hallan en las distintas circunstancias que prevé, a efectos de otorgarles preferencia para obtener o renovar el permiso de trabajo, por lo que la diferencia de trato introducida por vía reglamentaria vulnera la igualdad en la </w:t>
      </w:r>
      <w:r>
        <w:lastRenderedPageBreak/>
        <w:t>aplicación (rectius, en el desarrollo) de la ley. Pero este argumento no puede ser aceptado, pues no sólo el art. 18.3 de la Ley Orgánica 7/1985 no establece que la preferencia haya de ser la misma para todas las categorías de extranjeros que enuncia, sino que su art, 19.3 reenvía precisamente al Reglamento la determinación del alcance de esas preferencias, habilitándole expresamente para proceder a una regulación diferenciada y no unitaria de las mismas, según los distintos supuestos.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cual, la Sección acuerda la inadmisión del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5" w:name="AUTO_1992_24"/>
      <w:r>
        <w:lastRenderedPageBreak/>
        <w:t>AUTO 24/1992, de 27 de enero de 1992</w:t>
      </w:r>
    </w:p>
    <w:bookmarkEnd w:id="95"/>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ECLI:ES:TC:1992:24A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1.486/1991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que, presentado en el Juzgado de Guardia de los de Madrid el día 3 de julio de 199 1, tuvo entrada en este Tribunal el día 5 siguiente, don Juan Antonio García San Miguel y Orueta, Procurador de los Tribunales y de don Joaquín Visiedo Sáez, asistido del Letrado don Nicolás Pérez-Serrano Jáuregui, interpuso recurso de amparo contra la Orden de la Consejería de Presidencia de la Comunidad Autónoma de Madrid de 3 de diciembre de 1986 y la posterior Sentencia de la Sección Séptima de la Sala de lo Contencioso- Administrativo del Tribunal Superior de Justicia de Madrid, de 25 de abril de 1991, por entender que dichas resoluciones conculcan los arts. 14 y 23 de la C.E.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de los que trae causa la demanda son, en lo sustancial, los siguientes: </w:t>
      </w:r>
    </w:p>
    <w:p w:rsidR="00A12D44" w:rsidRDefault="00A12D44" w:rsidP="00A12D44">
      <w:pPr>
        <w:pStyle w:val="TextoNormal"/>
      </w:pPr>
      <w:r>
        <w:t xml:space="preserve">a) El solicitante de amparo es funcionario por oposición del Cuerpo Técnico de Administración Especial y fue nombrado Jefe de Protocolo y Relaciones Públicas de la Diputación Provincial de Madrid el 18 de abril de 1979, en virtud de propuesta formulada por el Tribunal que juzgó el correspondiente concurso de méritos libre. </w:t>
      </w:r>
    </w:p>
    <w:p w:rsidR="00A12D44" w:rsidRDefault="00A12D44" w:rsidP="00A12D44">
      <w:pPr>
        <w:pStyle w:val="TextoNormal"/>
      </w:pPr>
      <w:r>
        <w:t xml:space="preserve">b) Desaparecida la Diputación Provincial y constituida la Comunidad Autónoma de Madrid, por Decreto 18/1983, de 22 de junio, se procedió a regular la estructura orgánica de la Presidencia de la Comunidad, estableciéndose en el art. 2 la competencia del Gabinete de Presidencia sobre, entre otras, la materia de protocolo y relaciones públicas, y en el art. 6 que el personal del Gabinete de Presidencia «será designado libremente por el Consejero de Presidencia entre funcionarios y trabajadores de la Comunidad de Madrid». </w:t>
      </w:r>
    </w:p>
    <w:p w:rsidR="00A12D44" w:rsidRDefault="00A12D44" w:rsidP="00A12D44">
      <w:pPr>
        <w:pStyle w:val="TextoNormal"/>
      </w:pPr>
      <w:r>
        <w:t xml:space="preserve">c) Señala el recurrente que, tras una serie de intentos de removerle de iure del referido puesto de trabajo -defecto fue apartado ya desde 1983- y ello con la finalidad de sustituirle por otra persona más cercana a los planteamientos ideológicos del partido político mayoritario en aquel momento y a la que se le iba a nombrar para el desempeño de funciones idénticas a las que él desempeñaba, aunque asignando al puesto otra denominación («Jefe de Relaciones Externas»), por Orden de fecha 3 de diciembre de 1986 la Consejería de Presidencia acordó nombrarle titular del puesto de trabajo 103, denominado Técnico Titulado Superior, en la Sección de Relaciones Institucionales de dicha Consejería. </w:t>
      </w:r>
    </w:p>
    <w:p w:rsidR="00A12D44" w:rsidRDefault="00A12D44" w:rsidP="00A12D44">
      <w:pPr>
        <w:pStyle w:val="TextoNormal"/>
      </w:pPr>
      <w:r>
        <w:t xml:space="preserve">d) Agotada la vía administrativa e interpuesto recurso contencioso- administrativo contra la referida Orden de nombramiento, la Sentencia de la Sección Séptima de la Sala de lo </w:t>
      </w:r>
      <w:r>
        <w:lastRenderedPageBreak/>
        <w:t>Contencioso-Administrativo del Tribunal Superior de Justicia de Madrid, de 25 de abril de 1991, lo desestimó, declarando no haber lugar a la anulación de dicho acto.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Alega el solicitante de amparo que tanto la Resolución administrativa como la posterior Sentencia han vulnerado los arts. 14 y 23.2 de la C.E. por los siguientes motivos: </w:t>
      </w:r>
    </w:p>
    <w:p w:rsidR="00A12D44" w:rsidRDefault="00A12D44" w:rsidP="00A12D44">
      <w:pPr>
        <w:pStyle w:val="TextoNormal"/>
      </w:pPr>
      <w:r>
        <w:t xml:space="preserve">a) Es clara -comienza afirmándose- la discriminación por razones políticas que se ha producido, pues, en todo caso, no sería normal que la Consejería de Presidencia no procediera a la libre designación de los cargos que se establecen en su estructura orgánica con arreglo a criterios políticos, ya que se trata de apoyar la labor de un Presidente elegido en lista cerrada como primero de la candidatura de un determinado partido político con una concreta ideología. Ideología que en el caso de quien ahora recurre era conocida, dado que en alguna Junta Electoral Provincial actuó como apoderado de otro partido político bien distinto al ganador. </w:t>
      </w:r>
    </w:p>
    <w:p w:rsidR="00A12D44" w:rsidRDefault="00A12D44" w:rsidP="00A12D44">
      <w:pPr>
        <w:pStyle w:val="TextoNormal"/>
      </w:pPr>
      <w:r>
        <w:t xml:space="preserve">Ello mismo lleva al recurrente a afirmar seguidamente que la diferente creencia política de funcionario y Administración no implica en modo alguno vulneración del principio de igualdad si se tratada acceso al cargo, pues el mecanismo de libre designación no contiene en sí mismo más que reglas bien entendidas del juego democrático de partidos, por esa misma normalidad que supone su utilización para hacer valer, en cuanto a cargos se refiere, lo ganado electoralmente. </w:t>
      </w:r>
    </w:p>
    <w:p w:rsidR="00A12D44" w:rsidRDefault="00A12D44" w:rsidP="00A12D44">
      <w:pPr>
        <w:pStyle w:val="TextoNormal"/>
      </w:pPr>
      <w:r>
        <w:t xml:space="preserve">Sin embargo, cosa bien distinta es cuando se trata de permanecer en el cargo al que no se ha accedido en virtud de libre designación, tal como sucedió en el presente caso, ya que medió un concurso de méritos libremente convocado. Por ello, tan sólo desde la existencia de una anterior designación libre puede entenderse la libre remoción, pero no en los demás casos y, en concreto, en el del ahora recurrente, vulnerándose en caso contrario, como así ha sucedido, el derecho que consagra el art. 23.2 de la C.E. </w:t>
      </w:r>
    </w:p>
    <w:p w:rsidR="00A12D44" w:rsidRDefault="00A12D44" w:rsidP="00A12D44">
      <w:pPr>
        <w:pStyle w:val="TextoNormal"/>
      </w:pPr>
      <w:r>
        <w:t xml:space="preserve">b) Asimismo, debe tenerse en cuenta que esa discrecionalidad administrativa consistente en la libre remoción estaba específicamente prohibida por la Ley Orgánica 3/1983, de aprobación del Estatuto de Autonomía de la Comunidad de Madrid, habiéndose producido, pues, la remoción de cargo justamente en contra de lo previsto en las leyes. </w:t>
      </w:r>
    </w:p>
    <w:p w:rsidR="00A12D44" w:rsidRDefault="00A12D44" w:rsidP="00A12D44">
      <w:pPr>
        <w:pStyle w:val="TextoNormal"/>
      </w:pPr>
      <w:r>
        <w:t xml:space="preserve">En efecto, la Disposición transitoria tercera de la referida Ley Orgánica dispone que «serán respetados los derechos adquiridos de cualquier orden o naturaleza que en los momentos de las diversas transferencias tengan los funcionarios y personas adscritas a la Diputación Provincial de Madrid», lo que, frente al criterio de la Sentencia que se impugna, significa que la potestad organizativa de la Administración encuentra en esos derechos un límite infranqueable. Límite, en fin, que han establecido también otras normas [Ley 12/1983, del Proceso Autonómico, y 30/1984, de 2 de agosto (art. 12), entre otras]. </w:t>
      </w:r>
    </w:p>
    <w:p w:rsidR="00A12D44" w:rsidRDefault="00A12D44" w:rsidP="00A12D44">
      <w:pPr>
        <w:pStyle w:val="TextoNormal"/>
      </w:pPr>
      <w:r>
        <w:t>c) Finalmente, la privación del ejercicio de las funciones públicas que llevan aparejadas el cargo de Jefe de Protocolo ha venido acompañada de la adjudicación de un puesto de trabajo (Técnico Titulado Superior) de categoría inferior al que ocupa el actual Director de Relaciones Exteriores (nuevo nombre del cargo de Jefe de Protocolo y Relaciones Públicas), no percibiendo obviamente los complementos que son inherentes a este último.</w:t>
      </w:r>
    </w:p>
    <w:p w:rsidR="00A12D44" w:rsidRDefault="00A12D44" w:rsidP="00A12D44">
      <w:pPr>
        <w:pStyle w:val="TextoNormal"/>
      </w:pPr>
    </w:p>
    <w:p w:rsidR="00A12D44" w:rsidRDefault="00A12D44" w:rsidP="00A12D44">
      <w:pPr>
        <w:pStyle w:val="TextoNormal"/>
      </w:pPr>
      <w:r w:rsidRPr="00A12D44">
        <w:rPr>
          <w:rStyle w:val="NumeroAFNegritaCaracter"/>
        </w:rPr>
        <w:t>4</w:t>
      </w:r>
      <w:r>
        <w:t>. Concluye la demanda suplicando de este Tribunal dicte Sentencia otorgando el amparo y declarando la nulidad de las Resoluciones impugnadas por infracción de los arts. 14 y 23 de la C.E., con pronunciamiento del derecho del recurrente a seguir ocupando el puesto de Jefe de Protocolo y Relaciones Públicas, bien con esa denominación o con la actual, y a la indemnización de daños y perjuicios causados.</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5</w:t>
      </w:r>
      <w:r>
        <w:t>. Por providencia de 25 de noviembre de 1991, la Sección acordó poner de manifiesto al recurrente y al Ministerio Fiscal la posible existencia de las causas de inadmisión del art. 50.1 c) LOTC, de carencia de la demanda de contenido constitucional, y la del art. 50.1 a) en relación con el 44.1 c), ambos LOTC, por falta de invocación de derecho constitucional que se alega como vulnerado, concediendo un plazo común de diez días para la formulación de alegaciones.</w:t>
      </w:r>
    </w:p>
    <w:p w:rsidR="00A12D44" w:rsidRDefault="00A12D44" w:rsidP="00A12D44">
      <w:pPr>
        <w:pStyle w:val="TextoNormal"/>
      </w:pPr>
    </w:p>
    <w:p w:rsidR="00A12D44" w:rsidRDefault="00A12D44" w:rsidP="00A12D44">
      <w:pPr>
        <w:pStyle w:val="TextoNormal"/>
      </w:pPr>
      <w:r w:rsidRPr="00A12D44">
        <w:rPr>
          <w:rStyle w:val="NumeroAFNegritaCaracter"/>
        </w:rPr>
        <w:t>6</w:t>
      </w:r>
      <w:r>
        <w:t>. La parte recurrente, en su escrito de alegaciones afirma que se realizó la correcta invocación del precepto constitucional que se alega como vulnerado, el art. 14 C.E., en la demanda, de modo que esta invocación bastaría por tener llenado el art. 44 LOTC, dada la estrecha relación que existe entre dicho art. 14 y el art. 23.2. Respecto del contenido constitucional de la demanda la remoción en su cargo de funcionario público por procedimiento no legalmente establecido, vulneró el art. 23.2 C.E., teniendo en cuenta además la incompatibilidad de la norma en virtud de la cual se pretendía esa remoción, no sólo con otra de rango superior también autonómico, sino con el art. 23.2 C.E., en especial si se detecta que la principal causa de la remoción fue la diferente opinión política del actor y la de la presidencia de la Comunidad Autónoma.</w:t>
      </w:r>
    </w:p>
    <w:p w:rsidR="00A12D44" w:rsidRDefault="00A12D44" w:rsidP="00A12D44">
      <w:pPr>
        <w:pStyle w:val="TextoNormal"/>
      </w:pPr>
    </w:p>
    <w:p w:rsidR="00A12D44" w:rsidRDefault="00A12D44" w:rsidP="00A12D44">
      <w:pPr>
        <w:pStyle w:val="TextoNormal"/>
      </w:pPr>
      <w:r w:rsidRPr="00A12D44">
        <w:rPr>
          <w:rStyle w:val="NumeroAFNegritaCaracter"/>
        </w:rPr>
        <w:t>7</w:t>
      </w:r>
      <w:r>
        <w:t xml:space="preserve">. En su escrito de alegaciones, el Ministerio Fiscal se opone a la admisión del amparo afirmando que hay que situar el presente recurso de amparo con propiedad en el art. 43 LOTC, y no en el art. 44 como hace la demanda, puesto que el acto que se recurre es sólo la Orden de la Consejería de la Presidencia de la Comunidad de Madrid. La tacha que se denuncia no se encuentra en su nombramiento, sino en su cese como Jefe de Protocolo y Relaciones Públicas de la extinta Diputación Provincial de Madrid, cuyas funciones han pasado a la Comunidad Autónoma de Madrid. </w:t>
      </w:r>
    </w:p>
    <w:p w:rsidR="00A12D44" w:rsidRDefault="00A12D44" w:rsidP="00A12D44">
      <w:pPr>
        <w:pStyle w:val="TextoNormal"/>
      </w:pPr>
      <w:r>
        <w:t xml:space="preserve">La lesión constitucional alegada, consiste en violación del derecho a la igualdad de los arts. 14 y 23.2 C.E., hay que situarla con precisión en este segundo precepto, ya que de modo reiterado tiene dicho la jurisprudencia de este Tribunal que la igualdad especificamente mencionada en el mismo absorbe la genérica del art. 14, salvo que esté, en juego alguno de los supuestos de discriminación expresamente vedados por el art. 14 C.E. (STC 27/1991, ATC 191/1991). </w:t>
      </w:r>
    </w:p>
    <w:p w:rsidR="00A12D44" w:rsidRDefault="00A12D44" w:rsidP="00A12D44">
      <w:pPr>
        <w:pStyle w:val="TextoNormal"/>
      </w:pPr>
      <w:r>
        <w:t xml:space="preserve">No se advierte en el caso que el art. 23.2 C.E. haya sido vulnerado. El recurrente es funcionario del Cuerpo Técnico de la Administración Especial de la extinta Diputación Provincial que, en concurso, fue nombrado Jefe de Protocolo y Relaciones Públicas de la misma. Se trata, pues, de un cargo o puesto dentro de la función pública a la que ya pertenecía. Y el art. 23.2 C.E. no otorga el derecho al desempeño de un cargo (ATC 352/1987). </w:t>
      </w:r>
    </w:p>
    <w:p w:rsidR="00A12D44" w:rsidRDefault="00A12D44" w:rsidP="00A12D44">
      <w:pPr>
        <w:pStyle w:val="TextoNormal"/>
      </w:pPr>
      <w:r>
        <w:t xml:space="preserve">El problema reside sólo en si el cese del interesado, con apoyo en el Derecho 18/1983, de 22 de junio, de la Comunidad de Madrid, que determinó que el personal que preste servicios en el Gabinete del Presidente será libremente designado entre funcionarios y trabajadores de la Comunidad, es legal, y en tal planteamiento no se ve implicado el derecho a acceder a cargo público. El acto habla de discriminación por razones políticas, ya que asegura que fue cesado por no ser de la confianza política del partido que gobierna la Comunidad. pero, en sí mismo y sin más, el nombramiento de un funcionario para un cargo de confianza (y pocos lo serán más que un Jefe de Relaciones Públicas de la Presidencia de un Gobierno), con cese de quien antes lo desempeñaba, en modo alguno puede ser tachado de discriminatorio, menos aún si tiene un respaldo normativo como es el caso. Todo queda aquí reducido a si la remoción se produjo o no de acuerdo con el Decreto autoorganizativo </w:t>
      </w:r>
      <w:r>
        <w:lastRenderedPageBreak/>
        <w:t xml:space="preserve">de la Comunidad, y aun si éste es conforme a Derecho, cuestiones, como fácilmente se aprecia, de carácter legal que corresponde solventar a los órganos judiciales, sin que sea de apreciar dimensión o relevancia constitucional. El respeto a las situaciones administrativas anteriores que dispuso el Estatuto de la Comunidad de Madrid, también invocado en la demanda, viene a reforzar este carácter de legalidad y no de constitucionalidad del asunto, pues como es sabido los derechos adquiridos carecen en principio, de significación constitucional (STC 27/1981. </w:t>
      </w:r>
    </w:p>
    <w:p w:rsidR="00A12D44" w:rsidRDefault="00A12D44" w:rsidP="00A12D44">
      <w:pPr>
        <w:pStyle w:val="TextoNormal"/>
      </w:pPr>
      <w:r>
        <w:t>En definitiva, el cese de un funcionario -ya, pues, accedido a la función pública- de un determinado puesto, que tal es el caso. amparado además en una disposición legal, carece de dimensión constitucional, lo que permite afirmar la carencia de contenido constitucional del presente recurso.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lesión constitucional alegada, referida a la violación del derecho a la igualdad de los arts. 14 y 23.2 C.E., como precisa el Ministerio Fiscal, hay que situarla en puridad en el derecho del art. 23.2 C.E., salvo en lo referente a la discriminación por razón de opinión política, que sí podría integrarse en el derecho reconocido en el art. 14 C.E. El examen de la demanda permite comprobar, y así se reconoce además en el escrito de alegaciones, que no se invocó el derecho constitucional del art. 23.2 C.E. en que reposan la mayor parte de las alegaciones de la demanda, incumpliéndose, en consecuencia, el requisito que establece el art. 44.1 c) LOTC, sin que quepa aceptar el razonamiento del actor de que la sola invocación del art. 14 C.E. debería ser entendida también como denuncia de infracción del art. 23.2 C.E. En consecuencia, la mayor parte de las alegaciones de la demanda han de considerarse inadmisibles por no observancia del requisito legal que establece el art. 44.1 c) LOTC.</w:t>
      </w:r>
    </w:p>
    <w:p w:rsidR="00A12D44" w:rsidRDefault="00A12D44" w:rsidP="00A12D44">
      <w:pPr>
        <w:pStyle w:val="TextoNormal"/>
      </w:pPr>
    </w:p>
    <w:p w:rsidR="00A12D44" w:rsidRDefault="00A12D44" w:rsidP="00A12D44">
      <w:pPr>
        <w:pStyle w:val="TextoNormal"/>
      </w:pPr>
      <w:r w:rsidRPr="00A12D44">
        <w:rPr>
          <w:rStyle w:val="NumeroAFNegritaCaracter"/>
        </w:rPr>
        <w:t>2</w:t>
      </w:r>
      <w:r>
        <w:t>. Además, la demanda carece de contenido constitucional. Por de pronto, lo que se impugna en este proceso constitucional no es la remoción del cargo anterior, sino un nuevo nombramiento para otro puesto, en fecha muy posterior al momento en que se produjo el cese en el puesto que venía desempeñando y se reguló la estructura orgánica de la Presidencia de la Comunidad, por Decreto 18/1983, de 22 de junio. De existir la violación de los derechos fundamentales que se denuncian, se derivaría de aquellos actos y no de un posterior nombramiento.  tres años después, como Técnico Titulado Superior, ya que la anulación de dicho nombramiento no podría venir acompañada de la anulación de aquellas decisiones que no fueron impugnadas ni en vía administrativa judicial en el momento oportuno, dando entrada en su caso a un posible acceso al recurso de amparo. No se entiende qué conexión lógica pueda existir entre el nuevo nombramiento aquí impugnado y la revisión de actuaciones anteriores que no pueden ser objeto del presente proceso.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Desde la perspectiva del art. 14 C.E., el solicitante alude a una discriminación por razón de opinión política, basada en el hecho de que fue apoderado en unas elecciones de otro partido político. El examen de las circunstancias no permite llevar a la conclusión de una discriminación o acto de represalia por motivo de la opinión política concreta del recurrente, que antes bien ha sido afectado por una reorganización administrativa, que tiene su origen además en la desaparición de la entidad en que prestaba sus servicios, la Diputación Provincial, y la constitución de una nueva entidad política y administrativa fruto del </w:t>
      </w:r>
      <w:r>
        <w:lastRenderedPageBreak/>
        <w:t>nuevo sistema constitucional que creó la estructura orgánica de la presidencia de la Comunidad, estableció la competencia del Gabinete de la Presidencia y el carácter de libre designación del personal adscrito a ese Gabinete, como es regla general en los gabinetes de este tipo de órganos. No es pensable, por tanto, que estas decisiones se hubiesen tomado en consideración directa y exclusiva de la ideología política del actor, sino que obedecen a razones objetivas, a criterios sobre la organización de la nueva entidad política, sin que el derecho a la igualdad del art. 14 (ni aun siquiera el derecho al art. 23.2 C.E.)  pueda ser invocado respecto a estas decisiones de ejercicio de la autonomía política y de la potestad organizativa derivada de ella.</w:t>
      </w:r>
    </w:p>
    <w:p w:rsidR="00A12D44" w:rsidRDefault="00A12D44" w:rsidP="00A12D44">
      <w:pPr>
        <w:pStyle w:val="TextoNormal"/>
      </w:pPr>
      <w:r>
        <w:t>Si desde la perspectiva de los arts. 14 y 23.2 de la C.E. ninguna viabilidad presenta la demanda formulada, con mayor claridad aún si cabe hay que descartar la relevancia a los efectos del presente recurso de la infracción que también se denuncia de la Disposición transitoria tercera de la Ley Orgánica 3/1983, de aprobación del Estatuto de Autonomía de la Comunidad de Madrid, pues, con independencia del alcance que deba darse a la misma -cuestión sobre la que, en relación a norma similar de la LORAFNA, ya se ha pronunciado este Tribunal en STC 100/1990, fundamento jurídico 4. -, es incuestionable que el hecho de que el respeto a los derechos adquiridos suponga o no un límite infranqueable a la potestad organizadora de la Administración, en nada afecta a los derechos fundamentales del recurrente susceptibles de amparo constitucional.</w:t>
      </w:r>
    </w:p>
    <w:p w:rsidR="00A12D44" w:rsidRDefault="00A12D44" w:rsidP="00A12D44">
      <w:pPr>
        <w:pStyle w:val="TextoNormal"/>
      </w:pPr>
      <w:r>
        <w:t>Idéntica consideración merece en fin, la alegación del recurrente de que el puesto de trabajo que se le ha adjudicado no conlleve la percepción de los complementos retributivos superiores inherentes al nuevo puesto creado en sustitución del que hasta ese momento desempeñó, pues se trata, obviamente, de una cuestión también radicalmente ajena al ámbito de protección del recurso de amparo, sin que, por ello, proceda pronunciamiento alguno al respecto por parte de este Tribunal.</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anterior, la Sección acuerda la inadmisión del presente recurso de amparo.</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6" w:name="AUTO_1992_25"/>
      <w:r>
        <w:lastRenderedPageBreak/>
        <w:t>AUTO 25/1992, de 27 de enero de 1992</w:t>
      </w:r>
    </w:p>
    <w:bookmarkEnd w:id="96"/>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ECLI:ES:TC:1992:25A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1.530/1991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10 de julio de 1991 tuvo entrada en el Registro de este Tribunal un escrito de don Antonio Rueda Bautista, Procurador de los Tribunales, quien, en nombre y representación de don Rafael Cabañas Rodrigo, don José Simón Fernández y don Samuel Henares Giménez, interpone recurso de amparo contra la resolución dictada por el Delegado Territorial de Trabajo de Valencia por la que se aprueba el expediente de regulación de empleo por fuerza mayor instado por el empresario Miguel Vicente Orero Lozano. Se invocan los arts. 24.1 y 28.1 de la Constitución.</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basa en los siguientes antecedentes: </w:t>
      </w:r>
    </w:p>
    <w:p w:rsidR="00A12D44" w:rsidRDefault="00A12D44" w:rsidP="00A12D44">
      <w:pPr>
        <w:pStyle w:val="TextoNormal"/>
      </w:pPr>
      <w:r>
        <w:t xml:space="preserve">a) Los recurrentes en amparo, Delegados del personal, venían prestando sus servicios en la cafetería restaurante de la Estación del Norte de Valencia, que se explotaba en régimen de concesión administrativa. </w:t>
      </w:r>
    </w:p>
    <w:p w:rsidR="00A12D44" w:rsidRDefault="00A12D44" w:rsidP="00A12D44">
      <w:pPr>
        <w:pStyle w:val="TextoNormal"/>
      </w:pPr>
      <w:r>
        <w:t xml:space="preserve">b) Comunicada al concesionario la no renovación de la concesión, por éste se instó el expediente de regulación de empleo por causa de fuerza mayor. </w:t>
      </w:r>
    </w:p>
    <w:p w:rsidR="00A12D44" w:rsidRDefault="00A12D44" w:rsidP="00A12D44">
      <w:pPr>
        <w:pStyle w:val="TextoNormal"/>
      </w:pPr>
      <w:r>
        <w:t>c) El expediente de regulación de empleo terminó mediante resolución de la Dirección Territorial de Trabajo de Valencia en la que se autorizó la extinción de los contratos de trabajo de los hoy recurrentes en amparo declarándoles en situación legal de desempleo y reconociéndoles la indemnización correspondiente.</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de amparo, articulada en base al art. 43 de la LOTC, se alega la vulneración de los arts. 24.1 y 28.1 de la C.E. </w:t>
      </w:r>
    </w:p>
    <w:p w:rsidR="00A12D44" w:rsidRDefault="00A12D44" w:rsidP="00A12D44">
      <w:pPr>
        <w:pStyle w:val="TextoNormal"/>
      </w:pPr>
      <w:r>
        <w:t xml:space="preserve">El derecho a la libertad sindical de los solicitantes del amparo se habría visto afectado por el hecho de haberse tramitado el expediente de regulación de empleo sin haber sido emplazados ni oídos los delegados del personal y por la incompatibilidad del Acuerdo de la autoridad laboral con el fallo de la Sentencia de la Sala de lo Social del T.S.J. de Valencia. </w:t>
      </w:r>
    </w:p>
    <w:p w:rsidR="00A12D44" w:rsidRDefault="00A12D44" w:rsidP="00A12D44">
      <w:pPr>
        <w:pStyle w:val="TextoNormal"/>
      </w:pPr>
      <w:r>
        <w:t>El derecho a la tutela judicial efectiva se considera vulnerado ante la inmediata ejecutoriedad de la resolución administrativa que resolvió el expediente de regulación de empleo.</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10 de diciembre de 1991, la Sección acordó conceder a los demandantes en amparo y al Ministerio Fiscal el plazo común de diez días para que formula</w:t>
      </w:r>
      <w:r>
        <w:lastRenderedPageBreak/>
        <w:t>sen las alegaciones que estimasen pertinentes en relación con la carencia manifiesta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5</w:t>
      </w:r>
      <w:r>
        <w:t>. En su escrito de alegaciones, los recurrentes sostienen que la demanda no carece de contenido constitucional y reitera lo manifestado en el escrito de interposición del recurso de amparo.</w:t>
      </w:r>
    </w:p>
    <w:p w:rsidR="00A12D44" w:rsidRDefault="00A12D44" w:rsidP="00A12D44">
      <w:pPr>
        <w:pStyle w:val="TextoNormal"/>
      </w:pPr>
    </w:p>
    <w:p w:rsidR="00A12D44" w:rsidRDefault="00A12D44" w:rsidP="00A12D44">
      <w:pPr>
        <w:pStyle w:val="TextoNormal"/>
      </w:pPr>
      <w:r w:rsidRPr="00A12D44">
        <w:rPr>
          <w:rStyle w:val="NumeroAFNegritaCaracter"/>
        </w:rPr>
        <w:t>6</w:t>
      </w:r>
      <w:r>
        <w:t>. El Ministerio Fiscal interesa la inadmisión de la demanda por falta de contenido constitucional de la misma, manifestando que el art. 51.3 del Estatuto de los Trabajadores excluye la preceptividad del informe previo de los representantes sindicales en los supuestos de fuerza mayor autorizada por la autoridad competente, como ocurre en el caso que nos ocupa. Sostiene que ni existe incompatibilidad entre la resolución impugnada y la Sentencia de 31 de octubre de 1989, ni se dan los supuestos legales para apreciar la prejudicialidad denunciada. En cuanto a la alegada vulneración del derecho a la tutela judicial efectiva, sostiene que la resolución administrativa impugnada no cierra el acceso a la jurisdicción y por tanto no puede violar el citado derecho fundamental. Por último, pone de manifiesto la existencia de una nueva causa de inadmisión, consistente en la extemporaneidad de la demanda por utilización de recursos manifiestamente improcedentes.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t>Unico. Hemos de confirmar la concurrencia de la causa de inadmisión de la demanda, prevista en el art. 50.1 c) de la LOTC y que fue puesta de manifiesto en nuestra providencia de 10 de diciembre de 1991.</w:t>
      </w:r>
    </w:p>
    <w:p w:rsidR="00A12D44" w:rsidRDefault="00A12D44" w:rsidP="00A12D44">
      <w:pPr>
        <w:pStyle w:val="TextoNormal"/>
      </w:pPr>
      <w:r>
        <w:t>En primer lugar, no se aprecia la violación del derecho a la libertad sindical (art. 28.1 C.E.)  invocada en la demanda de amparo y producida, según los recurrentes, por no haberse emplazado ni oído a los representantes legales de los trabajadores, pues, como pone de relieve el Ministerio Fiscal, la apertura del período de discusión y consultas con los representantes de los trabajadores está expresamente excluida en el art. 51.3 del Estatuto de los Trabajadores, en los supuestos de extinción del contrato de trabajo por causa de fuerza mayor.</w:t>
      </w:r>
    </w:p>
    <w:p w:rsidR="00A12D44" w:rsidRDefault="00A12D44" w:rsidP="00A12D44">
      <w:pPr>
        <w:pStyle w:val="TextoNormal"/>
      </w:pPr>
      <w:r>
        <w:t>Por otra parte, hay que tener en cuenta que en las resoluciones judiciales aportadas consta que los demandantes ostentan la condición de delegados de personal, siendo «órganos de representación en la empresa, aparte de su indirecta vinculación con el art. 129.2 , C.E., son creación de la Ley y sólo poseen las competencias que ésta expresamente les atribuye ... » (STC 37/1983).  Como ha afirmado este Tribunal, la libertad sindical no alcanza a cubrir constitucionalmente la actividad del comité de empresa ni delegados sindicales (STC 118/1983).</w:t>
      </w:r>
    </w:p>
    <w:p w:rsidR="00A12D44" w:rsidRDefault="00A12D44" w:rsidP="00A12D44">
      <w:pPr>
        <w:pStyle w:val="TextoNormal"/>
      </w:pPr>
      <w:r>
        <w:t>Tampoco cabe apreciar vulneración del derecho a la libertad sindical por el hecho de que la resolución administrativa -que en sí misma no es lesiva del citado derecho fundamental- sea inmediatamente ejecutiva.</w:t>
      </w:r>
    </w:p>
    <w:p w:rsidR="00A12D44" w:rsidRDefault="00A12D44" w:rsidP="00A12D44">
      <w:pPr>
        <w:pStyle w:val="TextoNormal"/>
      </w:pPr>
      <w:r>
        <w:t xml:space="preserve">Respecto de la argumentación de los recurrentes de que la resolución administrativa hace ineficaz la Sentencia de la Sala de lo Social del T.S.J.  de Valencia. de 31 de octubre de 1989, al margen de su falta de relación con el derecho fundamental invocado (art. 28.1 C.E.), hay que decir que la resolución administrativa aprueba el expediente de regulación de empleo por fuerza mayor y en nada afecta a lo declarado por la Sala de lo Social que se limita a decretar la inadecuación del procedimiento del conflicto colectivo -por tratarse de </w:t>
      </w:r>
      <w:r>
        <w:lastRenderedPageBreak/>
        <w:t>un conflicto individual futuro y no real- y a señalar la existencia de reserva de acciones, que no consta de los antecedentes hayan sido ejercitadas, pero que la resolución administrativa en ningún momento impide.</w:t>
      </w:r>
    </w:p>
    <w:p w:rsidR="00A12D44" w:rsidRDefault="00A12D44" w:rsidP="00A12D44">
      <w:pPr>
        <w:pStyle w:val="TextoNormal"/>
      </w:pPr>
      <w:r>
        <w:t>Por último, respecto de la alegada violación del art. 24.1, este Tribunal ha declarado en diversas ocasiones que son los órganos judiciales los que han de otorgar la tutela judicial efectiva y los únicos, en consecuencia, a los que cabe imputar la violación de ese derecho que la Constitución garantiza (STC 26/1983 y ATC 104/1990). Por lo demás, es obvio que la resolución administrativa impugnada no ha cerrado en absoluto el acceso a la jurisdicción.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7" w:name="AUTO_1992_26"/>
      <w:r>
        <w:lastRenderedPageBreak/>
        <w:t>AUTO 26/1992, de 27 de enero de 1992</w:t>
      </w:r>
    </w:p>
    <w:bookmarkEnd w:id="97"/>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ECLI:ES:TC:1992:26A</w:t>
      </w:r>
    </w:p>
    <w:p w:rsidR="00A12D44" w:rsidRDefault="00A12D44" w:rsidP="00A12D44">
      <w:pPr>
        <w:pStyle w:val="SntesisDescriptiva"/>
      </w:pPr>
    </w:p>
    <w:p w:rsidR="00A12D44" w:rsidRDefault="00A12D44" w:rsidP="00A12D44">
      <w:pPr>
        <w:pStyle w:val="SntesisDescriptiva"/>
      </w:pPr>
      <w:r>
        <w:t>Excms. Srs. don Fernando García-Mon y González-Regueral, don Jesús Leguina Villa y don Luis López Guerra.</w:t>
      </w:r>
    </w:p>
    <w:p w:rsidR="00A12D44" w:rsidRDefault="00A12D44" w:rsidP="00A12D44">
      <w:pPr>
        <w:pStyle w:val="SntesisDescriptiva"/>
      </w:pPr>
    </w:p>
    <w:p w:rsidR="00A12D44" w:rsidRDefault="00A12D44" w:rsidP="00A12D44">
      <w:pPr>
        <w:pStyle w:val="SntesisDescriptiva"/>
      </w:pPr>
      <w:r>
        <w:t>Acordando la inadmisión a trámite del recurso de amparo 1.539/1991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Jesús Guerrero Laverat, en nombre y representación de don Enrique Ballester Ríos y de su esposa, doña María Teresa Tovard Bernard, interpone recurso de amparo, con fecha 11 de julio de 199 1, contra la Sentencia de la Sala Primera del Tribunal Supremo, de 27 de mayo de 1991, que admite la casación contra la dictada por la Sección Sexta de la Audiencia Provincial de Valencia, de 21 de abril de 1989, en apelación contra la dictada por el Juzgado de Primera Instancia de Denia de 26 de julio de 1988 en acción reivindicatoria sobre inmueble.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los siguientes antecedentes: </w:t>
      </w:r>
    </w:p>
    <w:p w:rsidR="00A12D44" w:rsidRDefault="00A12D44" w:rsidP="00A12D44">
      <w:pPr>
        <w:pStyle w:val="TextoNormal"/>
      </w:pPr>
      <w:r>
        <w:t xml:space="preserve">a) Los ahora recurrentes fueron demandados mediante una acción reivindicatoria sobre la propiedad de una finca que supuestamente había sido adquirida en subasta, formando parte de una serie de inmuebles, en el año 1973. Los recurrentes fueron los primeros adquirentes de dicha finca, que posteriormente sufrió varias transmisiones dominicales, siendo también demandados los posteriores adquirentes. Los recurrentes, en la oposición a la demanda, formularon reconvención haciendo constar que para el supuesto único y exclusivo de que se estimase la demanda se disminuyese en la cantidad correspondiente a esa finca el precio pagado por el lote de inmuebles. El Juzgado de Primera Instancia de Denia, por Sentencia de 26 de julio de 1988 desestima la demanda, por considerar que la finca en litigio formaba parte del lote adquirido en la subasta, y señala que al haberse desestimado la acción no era necesario pronunciamiento sobre la reconvención, «aunque indudablemente habría de prosperar de haberse estimado la demanda». </w:t>
      </w:r>
    </w:p>
    <w:p w:rsidR="00A12D44" w:rsidRDefault="00A12D44" w:rsidP="00A12D44">
      <w:pPr>
        <w:pStyle w:val="TextoNormal"/>
      </w:pPr>
      <w:r>
        <w:t xml:space="preserve">b) Interpuesto recurso de apelación por la parte contraria, la Audiencia Provincial de Valencia, por Sentencia de 21 de abril de 1989, desestima la demanda, pero modificando su fundamento, de forma que considera que la mencionada finca no formaba parte del lote adquirido en subasta, por lo que no se había adquirido su propiedad en ese momento, pero sin embargo ésta surgía como consecuencia de la usucapión de buena fe y la prescripción ordinaria. </w:t>
      </w:r>
    </w:p>
    <w:p w:rsidR="00A12D44" w:rsidRDefault="00A12D44" w:rsidP="00A12D44">
      <w:pPr>
        <w:pStyle w:val="TextoNormal"/>
      </w:pPr>
      <w:r>
        <w:t xml:space="preserve">c) Interpuesto recurso de casación el Tribunal Supremo, por Sentencia de 27 de mayo de 1991 estima la demanda dando lugar a la acción reivindicatoria y en relación a la reconvención establece en su fundamento jurídico 4. : «Si, como establece la Sala sentenciadora, la compraventa de que trae causa no estaba comprendida en la subasta, ni por </w:t>
      </w:r>
      <w:r>
        <w:lastRenderedPageBreak/>
        <w:t xml:space="preserve">tanto forma parte de las fincas que fueron adquiridas en ella, claro es que ninguna deducción ha de hacerse en el precio que se fijó con relación al conjunto adquirido». teniendo en cuenta, como señala en su fundamento jurídico 1. , que «habiendo sido desestimado en la Sentencia recurrida la atribución de dominio en base al título de la subasta, y consentida esa apreciación por los demandados... al no formularse recurso de casación contra la Sentencia, se está ante un aspecto firme en relación a la cuestión atributiva, quedando reducido el examen y decisión de este recurso al aspecto atributivo de dominio de la finca que la Sentencia reconoce por el cauce de la prescripción ordinaria». </w:t>
      </w:r>
    </w:p>
    <w:p w:rsidR="00A12D44" w:rsidRDefault="00A12D44" w:rsidP="00A12D44">
      <w:pPr>
        <w:pStyle w:val="TextoNormal"/>
      </w:pPr>
      <w:r>
        <w:t>Los demandantes aducen que la Sentencia del Tribunal Supremo viola el art. 24.1 C.E. al desestimar la reconvención no por efectuar un análisis sobre ella, sino por haber sido consentida la apreciación argumental de la Sentencia de apelación según la cual el inmueble no había sido adquirido en subasta, sino por prescripción. Desde su punto de vista esto supone la necesidad de recurrir una Sentencia no en cuanto a su fallo, favorable a sus intereses, sino en cuanto a los argumentos que han llevado a la Audiencia a ese fallo. La consecuencia dé entenderlo así el Tribunal Supremo es que no analiza la reconversión solicitada, y como tampoco lo hacen ninguna de las dos instancias anteriores se trataría de una cuestión procesal no resuelta, produciéndose indefensión. Concluye solicitando que se reconozca su derecho a que el Tribunal Supremo resuelva fundadamente su petición de reconvención.</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28 de octubre de 1991, la Sección Primera acuerda tener por interpuesto el recurso de amparo y, a tenor de lo dispuesto en el art. 50.3 de la LOTC, conceder un plazo común de diez días al Ministerio Fiscal y al solicitante de amparo para que aleguen lo que estimen pertinente en relación con la posible existencia de la causa de inadmisión prevista en el art. 50.1 c) LOTC: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Con fecha 11 de noviembre de 1991 se recibe el escrito del Ministerio Fiscal, en el que señala que no existe la falta de respuesta que se denuncia en el recurso de amparo. </w:t>
      </w:r>
    </w:p>
    <w:p w:rsidR="00A12D44" w:rsidRDefault="00A12D44" w:rsidP="00A12D44">
      <w:pPr>
        <w:pStyle w:val="TextoNormal"/>
      </w:pPr>
      <w:r>
        <w:t>La Sentencia de apelación desestima la reconvención al negar el título atributivo que la fundamentaba, sin que ese título atributivo fuera recurrido en casación. lo que supone que devenga firme, siendo en este sentido la motivación por parte del Tribunal Supremo razonada y suficiente. Concluye solicitando la inadmisión del recurso por concurrir la causa prevista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Con fecha 14 de noviembre de 1991 se recibe el escrito del demandante, en el que señala que la cuestión planteada tiene la calificación jurídica suficiente para merecer un pronunciamiento de fondo y solicita su resolución mediante Sentencia.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la concurrencia de la causa de inadmisión advertida en nuestra providencia de 28 de octubre de 1991, pues, como acertadamente sostiene el Ministerio Fiscal, la demanda carece manifiestamente de contenido que justifique una decisión sobre el fondo por parte del Tribunal Constitucional, conforme a lo establecido en el art. 50.1 c) de su Ley Orgánica.</w:t>
      </w:r>
    </w:p>
    <w:p w:rsidR="00A12D44" w:rsidRDefault="00A12D44" w:rsidP="00A12D44">
      <w:pPr>
        <w:pStyle w:val="TextoNormal"/>
      </w:pPr>
    </w:p>
    <w:p w:rsidR="00A12D44" w:rsidRDefault="00A12D44" w:rsidP="00A12D44">
      <w:pPr>
        <w:pStyle w:val="TextoNormal"/>
      </w:pPr>
      <w:r w:rsidRPr="00A12D44">
        <w:rPr>
          <w:rStyle w:val="NumeroAFNegritaCaracter"/>
        </w:rPr>
        <w:t>2</w:t>
      </w:r>
      <w:r>
        <w:t>. Debe rechazarse, en primer lugar, que las Sentencias adolezcan de incongruencia omisiva al no pronunciarse sobre la reconvención solicitada. En efecto, es doctrina reiterada y constante de este Tribunal (por todas, SSTC 13/1987, 28/1987, 142/1987 y 5/1990) que, para que la queja por incongruencia omisiva sea atendible en el plano constitucional es preciso contrastar la congruencia de dos extremos esenciales: el efectivo planteamiento de la cuestión cuyo conocimiento y decisión se afirman desatendidos por el Tribunal y la ausencia de respuesta razonada por parte del órgano judicial a ese concreto motivo del recurso.</w:t>
      </w:r>
    </w:p>
    <w:p w:rsidR="00A12D44" w:rsidRDefault="00A12D44" w:rsidP="00A12D44">
      <w:pPr>
        <w:pStyle w:val="TextoNormal"/>
      </w:pPr>
      <w:r>
        <w:t>En el presente supuesto faltan las dos condiciones expresadas, al menos en lo que se refiere a la Sentencia del Tribunal Supremo directamente impugnada. Por una parte, los ahora recurrentes no discuten en el ámbito de la casación el título atributivo de dominio sobre el inmueble que les había sido reconocido en la Sentencia de apelación, esto es, se aquietan ante la decisión judicial que considera que la finca no formaba parte del lote de inmuebles que les había sido atribuido en subasta pública, con lo que en realidad no plantean en el ámbito de la casación la reconvención sobre la disminución del precio pagado por el total de los bienes en la parte correspondiente a la finca disputada; y por otra, la Sentencia del Tribunal Supremo contiene una argumentación razonada y fundada sobre la imposibilidad de entrar a discutir la reconvención en el ámbito de la casación, afirmando a este propósito en su fundamento jurídico 4.  lo siguiente: «Si, como establece la Sala sentenciadora la compraventa de que trae causa no estaba comprendida en la subasta, ni por tanto forma parte de las fincas que fueron adjudicadas en ella, claro es que ninguna deducción ha de hacerse en el precio que se fijó con relación al conjunto adquirido.» No hay pues incongruencia omisiva alguna con relevancia constitucional.</w:t>
      </w:r>
    </w:p>
    <w:p w:rsidR="00A12D44" w:rsidRDefault="00A12D44" w:rsidP="00A12D44">
      <w:pPr>
        <w:pStyle w:val="TextoNormal"/>
      </w:pPr>
    </w:p>
    <w:p w:rsidR="00A12D44" w:rsidRDefault="00A12D44" w:rsidP="00A12D44">
      <w:pPr>
        <w:pStyle w:val="TextoNormal"/>
      </w:pPr>
      <w:r w:rsidRPr="00A12D44">
        <w:rPr>
          <w:rStyle w:val="NumeroAFNegritaCaracter"/>
        </w:rPr>
        <w:t>3</w:t>
      </w:r>
      <w:r>
        <w:t>. Idéntica consideración merece otro aspecto del problema que es también puesto de manifiesto por el recurrente. Desde su punto de vista la decisión del Tribunal Supremo delimitadora del ámbito de la casación -que establece en su fundamento jurídico 1. que «habiendo sido desestimado en la Sentencia recurrida la atribución de dominio en base al título de la subasta, y consentida esa apreciación por los demandados... al no formularse recurso de casación contra la Sentencia, se está ante un aspecto firme en relación a tal cuestión atributiva, quedando reducido el examen y decisión de este recurso al aspecto atributivo de dominio de la finca que la Sentencia reconoce por el cauce de la prescripción ordinaria»- supone que el Tribunal Supremo impone al recurrente la necesidad de recurrir una Sentencia no en cuanto al fallo, que le resulta favorable, sino en cuanto a los argumentos que han llevado a ese fallo, lo que supondría una interpretación excesivamente formalista de los requisitos y el ámbito de la casación civil, contraria como tal al art. 24 de la Constitución.</w:t>
      </w:r>
    </w:p>
    <w:p w:rsidR="00A12D44" w:rsidRDefault="00A12D44" w:rsidP="00A12D44">
      <w:pPr>
        <w:pStyle w:val="TextoNormal"/>
      </w:pPr>
      <w:r>
        <w:t>Tal alegación debe ser rechazada. El recurso de casación civil tiene un carácter no necesario desde el punto de vista constitucional, y es extraordinario y tasado (SSTC 57/1985, 81/1986, 129/1986 y 7/1989, entre otras muchas), en el doble sentido de que los casos y requisitos en los que es posible el recurso de casación es una decisión que compete al legislador ordinario y de que el ámbito de discusión posible en un recurso de casación civil es el definido por los propios actores. Es evidente que en el presente supuesto la Sentencia de apelación niega que la finca disputada fuera adquirida en subasta, estableciendo que la adquisición dominical era producto de la prescripción, como también lo es que ese aspecto del pleito no fue objeto de planteamiento en la casación, por lo que el Tribunal Supremo ha de considerarlo indiscutido, sin poder pronunciarse, salvo riesgo de incongruencia, so</w:t>
      </w:r>
      <w:r>
        <w:lastRenderedPageBreak/>
        <w:t>bre el mismo. Por último, si resulta pacífico que la Finca no había sido adquirida en la subasta, el Tribunal Supremo tampoco puede pronunciarse sobre la reconvenida reducción, sin que en modo alguno, y dada la propia naturaleza de la casación civil, pueda considerarse un formalismo excesivo la necesidad de planteamiento del título atributivo de la propiedad para que fuera posible el análisis y decisión sobre la reconvención.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8" w:name="AUTO_1992_27"/>
      <w:r>
        <w:lastRenderedPageBreak/>
        <w:t>AUTO 27/1992, de 27 de enero de 1992</w:t>
      </w:r>
    </w:p>
    <w:bookmarkEnd w:id="98"/>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ECLI:ES:TC:1992:27A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1.734/1991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presentado en el Juzgado de Guardia el día 29 de julio de 1991, registrado en este Tribunal el día 31 del mismo mes y año, don Alejandro González Salinas, Procurador de los Tribunales, en nombre y representación de don Angel Puyuelo Puyuelo, interpuso recurso de amparo contra la Sentencia de la Sala Primera del Tribunal Supremo, de 28 de junio de 1991, que declaró no haber lugar al recurso de casación contra la dictada por la Sección Undécima de la Audiencia Provincial de Barcelona, de 11 de mayo de 1989, que revocó en apelación la dictada por el Juzgado de Primera Instancia núm. 10 de Barcelona, de 18 de enero de 1988, en procedimiento sobre reconocimiento de paternidad.</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y de las resoluciones judiciales que a la misma se adjuntan, resultan los siguientes antecedentes fácticos: </w:t>
      </w:r>
    </w:p>
    <w:p w:rsidR="00A12D44" w:rsidRDefault="00A12D44" w:rsidP="00A12D44">
      <w:pPr>
        <w:pStyle w:val="TextoNormal"/>
      </w:pPr>
      <w:r>
        <w:t xml:space="preserve">a) Doña María Isabel Pérez Ballano formuló demanda sobre reconocimiento de paternidad contra el ahora recurrente en amparo. El Juzgado de Primera Instancia núm. 10 de Barcelona dictó Sentencia con fecha de 18 de enero de 1988, por la que desestimó la demanda interpuesta. </w:t>
      </w:r>
    </w:p>
    <w:p w:rsidR="00A12D44" w:rsidRDefault="00A12D44" w:rsidP="00A12D44">
      <w:pPr>
        <w:pStyle w:val="TextoNormal"/>
      </w:pPr>
      <w:r>
        <w:t xml:space="preserve">Consideró el órgano judicial que en el presente supuesto, en el que en cuatro ocasiones se intentó la prueba pericial biológica y que no se pudo practicar por falta de colaboración del demandado, «las restantes pruebas se reducen a la manifestación de María Luisa Ballano, es decir, de la madre ... » y «no ha existido en este caso una relación convivencial en la que poder presumir la concepción por lo cual... la garantía de paternidad es obviamente menor. Incluso se entremezcla una cuestión de esterilidad en el matrimonio del demandado, cuya etiología efectiva no se podía desentrañar en el proceso, dado el momento en el que se dedujo esta cuestión, pero cuya realidad efectiva viene significada por la naturaleza adoptiva de su filiación legal... Quizá la lejanía de los sucesos dificulta por no decir impide- la prueba de hechos más concretos en los que basar la pretensión de reconocimiento, pero el hecho cierto es que la misma no puede decirse quede satisfactoriamente probada». </w:t>
      </w:r>
    </w:p>
    <w:p w:rsidR="00A12D44" w:rsidRDefault="00A12D44" w:rsidP="00A12D44">
      <w:pPr>
        <w:pStyle w:val="TextoNormal"/>
      </w:pPr>
      <w:r>
        <w:t xml:space="preserve">b) Interpuesto recurso de apelación contra la anterior Sentencia, fue estimado por Sentencia de la Sección Undécima de la Audiencia Provincial de Barcelona, de 11 de mayo de 1989, que, revocando la de instancia, declaró que María Isabel Pérez Ballano es hija extramatrimonial del ahora demandante de amparo. </w:t>
      </w:r>
    </w:p>
    <w:p w:rsidR="00A12D44" w:rsidRDefault="00A12D44" w:rsidP="00A12D44">
      <w:pPr>
        <w:pStyle w:val="TextoNormal"/>
      </w:pPr>
      <w:r>
        <w:lastRenderedPageBreak/>
        <w:t xml:space="preserve">Tras reiterar la doctrina del Tribunal Supremo sobre el «indicio valioso» que conjugado con otros medios de prueba constituye la no comparecencia a las pruebas biológicas, se dice en el fundamento de Derecho 2. de la citada Sentencia que «acreditada en las actuaciones practicadas que entre la madre de la actora y el demandado existieron relaciones íntimas en las fechas en las que se cifra su concepción, que doña Isabel Nadal Muro, que convivía en aquella época con la madre de la actora, al prestar ésta sus servicios como empleada del hogar en su domicilio, declara al contestar a la tercera pregunta que se le formula que doña María Luisa Pérez Ballano quedó embarazada; las reiteradas gestiones realizadas por la demandante en 1973 para contactar con el demandado a pesar de la negativa de éste, lo que unido a la negativa efectuada por don Angel Puyuelo a someterse a la práctica de las pruebas biológicas acordadas como prueba pericial, y por tanto, no facilitando el esclarecimiento de los hechos, cuando tan fácil le hubiese resultado a través de las mismas descartar su negada paternidad, para lo que asevera estar afectado por una presunta esterilidad no probada en este pleito que la padeciese en el momento de la con- cepción de la actora, conducen valorando la concardinación lógica del transcurso de las circunstancias, a concluir en una declaración de la paternidad». </w:t>
      </w:r>
    </w:p>
    <w:p w:rsidR="00A12D44" w:rsidRDefault="00A12D44" w:rsidP="00A12D44">
      <w:pPr>
        <w:pStyle w:val="TextoNormal"/>
      </w:pPr>
      <w:r>
        <w:t xml:space="preserve">c) En segunda instancia, ambas partes solicitaron el recibimiento del pleito a prueba. En concreto, el ahora solicitante de amparo pidió que se llevaran a cabo la documental y pericial para acreditar su esterilidad y la filiación adoptiva a que hubo de acudir para tener descendencia. </w:t>
      </w:r>
    </w:p>
    <w:p w:rsidR="00A12D44" w:rsidRDefault="00A12D44" w:rsidP="00A12D44">
      <w:pPr>
        <w:pStyle w:val="TextoNormal"/>
      </w:pPr>
      <w:r>
        <w:t xml:space="preserve">La Sección Undécima de la Audiencia Provincial de Barcelona, por Auto de 18 de marzo de 1988, acordó no recibir el pleito a prueba. Respecto a la solicitada por el ahora recurrente en amparo, la estimó totalmente improcedente en segunda instancia al no hallarse en ninguno de los casos previstos para la excepcional quiebra del principio de contradicción en la primera instancia. </w:t>
      </w:r>
    </w:p>
    <w:p w:rsidR="00A12D44" w:rsidRDefault="00A12D44" w:rsidP="00A12D44">
      <w:pPr>
        <w:pStyle w:val="TextoNormal"/>
      </w:pPr>
      <w:r>
        <w:t xml:space="preserve">d) Contra la Sentencia de apelación interpuso recurso de casación el demandante de amparo, declarando la Sala Primera del Tribunal Supremo no haber lugar al mismo por Sentencia de 28 de junio de 1991. </w:t>
      </w:r>
    </w:p>
    <w:p w:rsidR="00A12D44" w:rsidRDefault="00A12D44" w:rsidP="00A12D44">
      <w:pPr>
        <w:pStyle w:val="TextoNormal"/>
      </w:pPr>
      <w:r>
        <w:t xml:space="preserve">Como primer motivo de la casación, alegó el recurrente indefensión, al amparo del art. 1,692.3 de la L.E.C., por la inadmisión de los documentos aportados para demostrar la esterilidad y la filiación adoptiva de sus hijos. El motivo fue rechazado porque «pretender extemporáneamente aportar unos documentos para demostrar una esterilidad de tiempos pasados y no alegada en el litigio no es procesalmente admisible, ni acorde con la buena fe que debe presidir la actuación de las partes... en consecuencia, no se han infringido normas procesales, ni el documento tiene relación con las alegaciones de la contestación a la demanda, ni sería apto para diluir la convicción judicial». </w:t>
      </w:r>
    </w:p>
    <w:p w:rsidR="00A12D44" w:rsidRDefault="00A12D44" w:rsidP="00A12D44">
      <w:pPr>
        <w:pStyle w:val="TextoNormal"/>
      </w:pPr>
      <w:r>
        <w:t xml:space="preserve">El segundo de los motivos, al amparo del art. 1692.4 de la L.E.C.. por error en la apreciación de la prueba fue desestimado por no referirse el recurrente en su alegación a documento alguno apto para demostrar su razonamiento. </w:t>
      </w:r>
    </w:p>
    <w:p w:rsidR="00A12D44" w:rsidRDefault="00A12D44" w:rsidP="00A12D44">
      <w:pPr>
        <w:pStyle w:val="TextoNormal"/>
      </w:pPr>
      <w:r>
        <w:t xml:space="preserve">Finalmente, el tercero de los motivos, al amparo del art. 1692.5 de la L.E.C. por infracción de los arts. 135 y 1253 del Código Civil, fue desestimado en base a la reiterada jurisprudencia del Tribunal Supremo, de que la negativa a la prueba biológica si bien no comporta una ficta confessio es dato de inestimable valor cuando va unido a unas pruebas o indicios de autos, sobre todo los que revelan la razonable posibilidad de la unión carnal, sobre la que no cabe esperarse una prueba plena y directa. «Esta razonable posibilidad -se dice en la Sentencia- está declarada como hecho en la Sentencia recurrida y no ha sido objeto de impugnación en los diversos motivos de este recurso.» Además, consideré el órgano judicial, que dicho motivo no podía prosperar porque no se destruye ni uno solo de </w:t>
      </w:r>
      <w:r>
        <w:lastRenderedPageBreak/>
        <w:t>los indicios que constituyen el hecho base de la presunción -existencia de relaciones íntimas- y que, unida a la negativa a someterse a los análisis. permite obtener su consecuencia, acorde con el criterio humano, de que el demandado es el padre de la actora y la deducción no puede ser tildada de ilógica.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cuanto a la fundamentación jurídica de la demanda de amparo, sostiene la representación del recurrente que las Sentencias de la Sección Undécima de la Audiencia Provincial de Barcelona y la de la Sala Primera del Tribunal Supremo, al desestimar el recurso de casación, vulneran el derecho a utilizar los medios de prueba pertinentes (art. 24.2 C.E.), pues la Audiencia Provincial, sin necesidad de acordar el recibimiento a prueba, debió haber admitido, de conformidad con el art. 863.2 de la L.E.C., los documentos aportados para demostrar la esterilidad y la filiación adoptiva de sus hijos y porque era procedente el recibimiento a prueba en la segunda instancia al amparo de lo establecido en el art. 862.4 de la L.E.C.; y el derecho a la tutela judicial efectiva (art. 24.1), pues no resuelven aquellas Sentencias sobre los fundamentos alegados en oposición a la demanda, que se centraban en la ausencia de relaciones de convivencia, de noviazgo y de toda prueba de la que pudiera deducirse la paternidad. Asimismo, imputa a la Sentencia del Tribunal Supremo la infracción del principio de igualdad en aplicación de la Ley (art. 14 C.E.), al haberse separado en el presente supuesto sin justificación alguna de la doctrina de la Sala Primera sobre la significación de la prueba hematológica, el valor de la negativa a practicarla y sobre la distinción en los procesos de filiación entre la relación de convivencia y el mero acceso carnal aislado, pues en este supuesto, conforme a la doctrina invocada, es necesario aportar al Tribunal otras pruebas y con la mera negativa al sometimiento de la prueba hematológica, sin citar otras pruebas, no es posible atribuir la paternidad con un grado mínimamente aceptable de certeza. Finalmente, sostiene que se le ha causado indefensión al haberse omitido la intervención del Ministerio Fiscal en el procedimiento. </w:t>
      </w:r>
    </w:p>
    <w:p w:rsidR="00A12D44" w:rsidRDefault="00A12D44" w:rsidP="00A12D44">
      <w:pPr>
        <w:pStyle w:val="TextoNormal"/>
      </w:pPr>
      <w:r>
        <w:t>Por ello, suplicó al Tribunal Constitucional que admitiese a trámite la presente demanda dicte Sentencia por la que se otorgue el amparo y, en su día, tras los trámites oportuno solicitado y se declare la nulidad de las Sentencias impugnadas.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25 de noviembre de 1991, la Sección Cuarta acordó, de conformidad con lo dispuesto en el art. 50.3 de la LOTC, conceder al demandante de amparo y al Ministerio Fiscal el plazo común de diez días para que formulasen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La representación procesal del demandante de amparo evacuó el trámite de alegaciones conferido mediante escrito registrado en este Tribunal el día 10 de diciembre de 1991, en el que afirma que la causa de inadmisión a la que se hace referencia en la providencia de la Sección comprende los supuestos en los que - la demanda de amparo «carezca manifiestamente de contenido que justifique una decisión sobre el fondo de la misma por parte del Tribunal Constitucional», pero que dicha causa no concurre en el presente caso dada la extrema gravedad que para el demandante supone la Sentencia en la que se le atribuye una paternidad que se ha reclamado nada menos que más de veinte años después de los supuestos hechos y que el demandante en amparo ha desconocido siempre, y todo ello </w:t>
      </w:r>
      <w:r>
        <w:lastRenderedPageBreak/>
        <w:t xml:space="preserve">en un proceso en el que no se ha practicado la prueba documental y pericial que él propuso para demostrar nada menos que su esterilidad. Los motivos de amparo alegados en la demanda, los cuales vuelven a reproducir en este trámite, tienen todos ellos relieve constitucional, por lo que ha de llegarse a la conclusión de que la demanda «no carece de contenido constitucional», pues no es posible entender que la denunciada violación del derecho a un proceso con todas las garantías, del derecho a la prueba y del derecho a la igualdad en la aplicación de la Ley puedan ser irrelevantes para la jurisdicción del Tribunal Constitucional. </w:t>
      </w:r>
    </w:p>
    <w:p w:rsidR="00A12D44" w:rsidRDefault="00A12D44" w:rsidP="00A12D44">
      <w:pPr>
        <w:pStyle w:val="TextoNormal"/>
      </w:pPr>
      <w:r>
        <w:t>Concluye su escrito suplicando la admisión del recurso y la prosecución de su sustanciación según los trámites establecidos en la LOTC hasta dictar Sentencia en los términos solicitados en la demanda de amparo.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Por su parte, el Fiscal ante el Tribunal Constitucional mediante escrito presentado en fecha 16 de diciembre de 1991, interesó que, de acuerdo con los arts. 86.1 y 80 de la LOTC y 372 de la L.E.C., se dicte Auto acordando la inadmisión del recurso, por carecer manifiestamente la demanda de contenido que justifique una decisión por parte de este Tribunal [art. 50.1 c) LOTC]. </w:t>
      </w:r>
    </w:p>
    <w:p w:rsidR="00A12D44" w:rsidRDefault="00A12D44" w:rsidP="00A12D44">
      <w:pPr>
        <w:pStyle w:val="TextoNormal"/>
      </w:pPr>
      <w:r>
        <w:t xml:space="preserve">El derecho a la prueba no es omnímodo. señala el Ministerio Fiscal, sino que debe cumplir las exigencias de pertinencia y oportunidad procesal, lo que no sucede en este caso, pues los documentos que acreditaban la esterilidad del actor no se presentaron en el momento procesal oportuno, que eran el de la contestación a la demanda, por lo que la presentación posterior, como pretendía aquél, no procedía por no reunir dichos documentos los requisitos exigidos por la Ley, al ser anteriores al proceso y conocidos por el actor, de modo que la denegación es razonada y fundada en Derecho. También carece de dimensión constitucional la denegación por la Audiencia del solicitado recibimiento a prueba, ya que ni concurría el supuesto del conocimiento posterior de un hecho notorio y de indudable influencia en el pleito (art. 862.4 L.E.C.), ni procedía la admisión obligada del recibimiento por no existir acuerdo de las partes (art. 867 L.E.C.), ni tampoco el Tribunal tiene un deber probatorio de oficio que le obligue a aceptar todas las pruebas con independencia del momento y forma en que se soliciten con ruptura del principio de bilateralidad y supliendo la inactividad de las partes. </w:t>
      </w:r>
    </w:p>
    <w:p w:rsidR="00A12D44" w:rsidRDefault="00A12D44" w:rsidP="00A12D44">
      <w:pPr>
        <w:pStyle w:val="TextoNormal"/>
      </w:pPr>
      <w:r>
        <w:t xml:space="preserve">Igual suerte tiene que correr la pretendida violación del derecho de igualdad del art. 14 C.E., porque la Sentencia del Tribunal Supremo no se aparta de ninguna doctrina jurisprudencial anterior, limitándose a estudiar los motivos de casación que rechaza de manera fundada y razonada y a dar a la negativa de practicar la prueba biológica el valor que tiene en la doctrina jurisprudencial, por lo que no existe violación de aquel derecho fundamental. </w:t>
      </w:r>
    </w:p>
    <w:p w:rsidR="00A12D44" w:rsidRDefault="00A12D44" w:rsidP="00A12D44">
      <w:pPr>
        <w:pStyle w:val="TextoNormal"/>
      </w:pPr>
      <w:r>
        <w:t>También carece de fundamento para el Fiscal la pretendida incongruencia que según el actor constituye vulneración del art. 24 de la Constitución. pues la Sentencia de apelación, al estimar la pretensión de la demandante, desestima y consecuentemente contesta la pretensión deducida por el demandado por ser incompatible con aquélla, siendo la Sentencia plenamente congruente con la pretensión del demandado negándola. Por último, dice que en todas las Sentencias aparece como parte el Ministerio Fiscal, lo que significa que no existe la presunta violación invocada por el actor. En todo caso, éste debió denunciar la ausencia del Ministerio Fiscal -causa de nulidad al ser parte necesaria en este proceso en el momento procesal oportuno para su reparación, pero no lo hizo, lo que impide su alegación en este momento.</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la causa de inadmisión puesta de manifiesto en nuestra providencia de 25 de noviembre de 1991, consistente, de conformidad con lo dispuesto en el art. 50.1 c) de la LOTC, en que la demanda pudiera carecer manifiestamente de contenido que justifique una decisión sobre el fondo de la misma por parte del Tribunal Constitucional.</w:t>
      </w:r>
    </w:p>
    <w:p w:rsidR="00A12D44" w:rsidRDefault="00A12D44" w:rsidP="00A12D44">
      <w:pPr>
        <w:pStyle w:val="TextoNormal"/>
      </w:pPr>
      <w:r>
        <w:t>En efecto, se dirige el recurso de amparo contra la Sentencia de la Sección Undécima de la Audiencia Provincial de Barcelona, que estimó el recurso de apelación contra la dictada por el Juzgado de Primera Instancia núm. 10 de dicha ciudad, y contra la de la Sala Primera del Tribunal Supremo, que declaró no haber lugar al recurso de casación interpuesto por el demandante de amparo.  Aduce éste que se le ha vulnerado el derecho a la práctica de las pruebas pertinentes (art. 24.2 C.E.), porque la Audiencia Provincial, sin necesidad de acordar el recibimiento del pleito a prueba, debió haber admitido, de conformidad con el art. 863.2 de la L.E.C., los documentos aportados para demostrar la esterilidad que padecía y la filiación adoptiva de sus hijos; y; en todo caso, porque era procedente el recibimiento a prueba en segunda instancia, de acuerdo con el art. 862.4 de la L.E.C. Asimismo, las Sentencias impugnadas habrían vulnerado el derecho a la tutela judicial efectiva (art.  24.1 C.E.), por incurrir en incongruencia omisiva, pues no resuelven sobre las alegaciones que formuló relativas a la ausencia de relaciones de convivencia, de noviazgo y de toda prueba de la que deducir la paternidad. Además, a la Sentencia de la Sala Primera del Tribunal Supremo le imputa la violación del principio de igualdad en aplicación de la Ley, por haberse separado sin justificación alguna de la doctrina de dicha Sala sobre la negativa a la práctica de la prueba biológica. Finalmente, aduce que en el procedimiento se le ha causado indefensión, al haberse omitido la intervención del Ministerio Fiscal, preceptiva en, este tipo de procesos.</w:t>
      </w:r>
    </w:p>
    <w:p w:rsidR="00A12D44" w:rsidRDefault="00A12D44" w:rsidP="00A12D44">
      <w:pPr>
        <w:pStyle w:val="TextoNormal"/>
      </w:pPr>
    </w:p>
    <w:p w:rsidR="00A12D44" w:rsidRDefault="00A12D44" w:rsidP="00A12D44">
      <w:pPr>
        <w:pStyle w:val="TextoNormal"/>
      </w:pPr>
      <w:r w:rsidRPr="00A12D44">
        <w:rPr>
          <w:rStyle w:val="NumeroAFNegritaCaracter"/>
        </w:rPr>
        <w:t>2</w:t>
      </w:r>
      <w:r>
        <w:t>. Abstracción hecha de que el ahora demandante de amparo no recurrió la provi- dencia del Juzgado de Primera Instancia, por la que no se admitieron los documentos aportados, ni el Auto de la Audiencia Provincial. por el que se acordó no recibir el pleito a prueba, no puede prosperar la alegada vulneración del derecho a utilizar los medios de prueba pertinentes, pues en segunda instancia no procedía la admisión de aquellos documentos ni el recibimiento del pleito a prueba al no concurrir los supuestos previstos en el art. 863.2 de la L.E.C., en relación con el art. 506, y en el art. 862.4 de la L.E.C., ya que los documentos que se pretendían aportar ni los hechos que se querían probar eran conocidos por el ahora demandante de amparo antes de contestar a la demanda y proponer la práctica de prueba en primera instancia, sin que fueran entonces ni aportados ni alegados. ni sobre los mismos se propusiera la práctica de prueba alguna. Así pues, la denegación por los órganos judiciales de la prueba que el actor considera fundamental está razonada, motivada y fundada en Derecho, y si dicho elemento probatorio no ha tenido acceso al proceso se ha debido únicamente a la falta de actividad del demandante de amparo en el momento procesal oportuno. A lo que hay que añadir, como en sus alegaciones señala el Ministerio Fiscal, que si bien el órgano judicial en esta clase de procesos debe buscar la verdad material, no puede hacerlo, como de contrario sostiene la parte actora, con olvido de los principios que rigen en el proceso civil y supliendo la falta de actividad procesal de las partes.</w:t>
      </w:r>
    </w:p>
    <w:p w:rsidR="00A12D44" w:rsidRDefault="00A12D44" w:rsidP="00A12D44">
      <w:pPr>
        <w:pStyle w:val="TextoNormal"/>
      </w:pPr>
      <w:r>
        <w:t xml:space="preserve">De la misma inconsistencia adolece la segunda línea argumental utilizada por el recurrente, que basa la presunta vulneración del art. 24.1 de la C.E. en que los órganos judiciales no resolvieran sobre las alegaciones que formuló relativas a la ausencia de relación de </w:t>
      </w:r>
      <w:r>
        <w:lastRenderedPageBreak/>
        <w:t>convivencia y de noviazgo. Mas lo cierto es que al ser las Sentencias impugnadas desestimatorias de las pretensiones del solicitante de amparo, resuelven en sentido negativo las alegaciones por él formuladas y que se ha mantenido el debate inalterado a lo largo del proceso, girando en torno a la acción de reclamación de paternidad ejercitada, sin que en la fase de apelación y en la casacional se haya producido una mutación que suponga incorporación de hechos nuevos, modificación del objeto del litigio ni, finalmente, alteración de los términos del petitum, por lo que no se ha podido crear en el demandante una situación de indefensión con transcendencia constitucional, habiéndose producido la decisión de los órganos judiciales dentro de los términos en que el debate fue planteado.</w:t>
      </w:r>
    </w:p>
    <w:p w:rsidR="00A12D44" w:rsidRDefault="00A12D44" w:rsidP="00A12D44">
      <w:pPr>
        <w:pStyle w:val="TextoNormal"/>
      </w:pPr>
    </w:p>
    <w:p w:rsidR="00A12D44" w:rsidRDefault="00A12D44" w:rsidP="00A12D44">
      <w:pPr>
        <w:pStyle w:val="TextoNormal"/>
      </w:pPr>
      <w:r w:rsidRPr="00A12D44">
        <w:rPr>
          <w:rStyle w:val="NumeroAFNegritaCaracter"/>
        </w:rPr>
        <w:t>3</w:t>
      </w:r>
      <w:r>
        <w:t>. En cuanto a la vulneración del principio de igualdad en aplicación de la Ley, sostiene el demandante que la Sentencia del Tribunal Supremo modifica de forma arbitraria y sin razonamiento alguno la doctrina reiterada y constante sobre las consecuencias de la negativa a someterse a la prueba biológica. Mas tal aseveración no se corresponde con la realidad, puesto que la simple lectura de los ya numerosos pronunciamientos que ha tenido oportunidad de efectuar la Sala Primera del Tribunal Supremo con ocasión de la revisión en vía casacional de los pronunciamientos efectuados por los órganos judiciales inferiores en procesos sobre reconocimiento de paternidad y de filiación, pone de manifiesto que la Sentencia impugnada es coherente y guarda plena sintonía con la doctrina jurisprudencial elaborada por dicha Sala a partir de la reforma del Código Civil contenida en la Ley 11/1981, de 13 de mayo.</w:t>
      </w:r>
    </w:p>
    <w:p w:rsidR="00A12D44" w:rsidRDefault="00A12D44" w:rsidP="00A12D44">
      <w:pPr>
        <w:pStyle w:val="TextoNormal"/>
      </w:pPr>
      <w:r>
        <w:t>Baste señalar, como hitos de esta construcción doctrinal, las Sentencias del Alto Tribunal de 14 de octubre de 1985, 27 de junio, 12 y 14 de noviembre de 1987 y 19 de marzo y 11 de mayo de 1988. Esta última pone especial énfasis en la significación que ha de darse a la negativa y obstrucción a una prueba como la biológica, que califica de esencial, al proporcionar un muy alto y fiable coeficiente en la determinación de la paternidad. Tal comportamiento -se dice- ha de entenderse como una conducta en fraude de Ley, encaminada a impedir la debida aplicación de las normas de la filiación y constituye un ejercicio antisocial del Derecho, con daño a terceros. Tal negativa, unida al resto de lo probado, revela «un indicio valioso conducente al reconocimiento de una presunción seu iudicis, que puesta en conexión con los demás aspectos probatorios, lleva a la apreciación de certeza de la paternidad pretendida».  Por último, la Sentencia de 14 de julio de 1988 constituye un claro exponente de la trayectoria trabada que en materia de Filiación ha seguido el Tribunal Supremo. Dicha trayectoria -pese a los esfuerzos dialécticos puestos en juego por la dirección letrada del recurrente para demostrar lo contrario- no ha sido alterada por la Sentencia impugnada, que no merece ser tachada de arbitraria y discriminatoria.</w:t>
      </w:r>
    </w:p>
    <w:p w:rsidR="00A12D44" w:rsidRDefault="00A12D44" w:rsidP="00A12D44">
      <w:pPr>
        <w:pStyle w:val="TextoNormal"/>
      </w:pPr>
      <w:r>
        <w:t>En efecto, la Sentencia que se cuestiona no se aparta de los dos pilares que la doctrina jurisprudencial ha considerado básicos para fundamentar un fallo favorable a la declaración de filiación extramatrimonial, a saber, la posibilidad de fecundación de la mujer y la negativa obstruccionista al sometimiento a las pruebas biológicas. La concurrencia de ambos factores permite al Juez, a través de una valoración conjunta de la prueba -incluida la ponderación que se efectúe de la negativa a la práctica de las biológicas-, declarar la filiación con arreglo a lo que establece el art. 135, puesto en relación con el 127, del Código Civil.</w:t>
      </w:r>
    </w:p>
    <w:p w:rsidR="00A12D44" w:rsidRDefault="00A12D44" w:rsidP="00A12D44">
      <w:pPr>
        <w:pStyle w:val="TextoNormal"/>
      </w:pPr>
      <w:r>
        <w:t xml:space="preserve">No es cierto que se haya atribuido a la negativa a la práctica de la prueba biológica un carácter absoluto de prueba de paternidad, introduciéndose así una carga contra cives que no está autorizada normativamente. Tal argumentación no se corresponde con el contenido de la Sentencia, ya que ésta, en la línea trazada por la propia Sala en casos similares, </w:t>
      </w:r>
      <w:r>
        <w:lastRenderedPageBreak/>
        <w:t>atiende a la búsqueda de la verdad material o real -que no está vedada ni podría estarlo a ningún órgano jurisdiccional, lo que sería tanto como cercenar la función que tienen encomendada con arreglo a los arts. 117 y 1.1 de la C.E.-, ponderando conforme a los datos que resultan del proceso la negativa del demandado a someterse a las pruebas biológicas; pruebas que permiten acreditar junto con el resto de las obtenidas por otros medios, la paternidad en litigio. En tal sentido, la valoración de la negativa del interesado a someterse a las pruebas biológicas, en conjunción con el resto de los elementos fácticos acreditados a lo largo del procedimiento, constituye base suficiente para que el Tribunal establezca el nexo causal preciso para llegar a una conclusión sobre la filiación reclamada que, por modo analógico, autoriza el art. 135, in fine, del Código Civil.</w:t>
      </w:r>
    </w:p>
    <w:p w:rsidR="00A12D44" w:rsidRDefault="00A12D44" w:rsidP="00A12D44">
      <w:pPr>
        <w:pStyle w:val="TextoNormal"/>
      </w:pPr>
    </w:p>
    <w:p w:rsidR="00A12D44" w:rsidRDefault="00A12D44" w:rsidP="00A12D44">
      <w:pPr>
        <w:pStyle w:val="TextoNormal"/>
      </w:pPr>
      <w:r w:rsidRPr="00A12D44">
        <w:rPr>
          <w:rStyle w:val="NumeroAFNegritaCaracter"/>
        </w:rPr>
        <w:t>4</w:t>
      </w:r>
      <w:r>
        <w:t>. Finalmente, respecto a la indefensión padecida por haberse omitido en el proceso la intervención del Ministerio Fiscal, aunque únicamente no consta su intervención como parte en la Sentencia del Juzgado de Primera Instancia, dicha cuestión no fue suscitada ni en primera ni en segunda instancia y el demandante expresamente renunció a suscitarla ante el Tribunal Supremo, como se recoge en el escrito de interposición del recurso de casación, por lo que la citada cuestión no puede ser traída per saltum a la consideración de este Tribunal Constitucional por impedirlo el carácter subsidiario del recurso de amparo [art. 44.1 c) LOTC].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veintisiete de enero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99" w:name="AUTO_1992_28"/>
      <w:r>
        <w:lastRenderedPageBreak/>
        <w:t>AUTO 28/1992, de 27 de enero de 1992</w:t>
      </w:r>
    </w:p>
    <w:bookmarkEnd w:id="99"/>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ECLI:ES:TC:1992:28A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2.154/1991, promovido en causa penal.</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100" w:name="AUTO_1992_29"/>
      <w:r>
        <w:lastRenderedPageBreak/>
        <w:t>AUTO 29/1992, de 4 de febrero de 1992</w:t>
      </w:r>
    </w:p>
    <w:bookmarkEnd w:id="100"/>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ECLI:ES:TC:1992:29A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terminación, por desaparición sobrevenida de la controversia, del conflicto positivo de competencia 879/1987</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registrado en este Tribunal el 24 de junio de 1987, el Abogado del Estado, en la representación que legalmente ostenta, planteó conflicto positivo de competencia en relación con el art. 3 del Decreto 10/1987, de 15 de enero («D.O.G.C.» del 2 de febrero), del Consejo Ejecutivo de la Generalidad de Cataluña, por el que se regulan las condiciones de envasado y etiquetado de los productos pirotécnicos que se comercializan en Cataluña. </w:t>
      </w:r>
    </w:p>
    <w:p w:rsidR="00A12D44" w:rsidRDefault="00A12D44" w:rsidP="00A12D44">
      <w:pPr>
        <w:pStyle w:val="TextoNormal"/>
      </w:pPr>
      <w:r>
        <w:t>Admitido a trámite el conflicto por providencia de 1 de julio de 1987, formuló alegaciones de oposición, mediante escrito del 30 de julio posterior, la Generalidad de Cataluña, representada por el Abogado de la misma don Ramón Riu Fortuny, quien suplicó que se declarase que le precepto impugnado se ajusta a lo dispuesto en la Constitución y el Estatuto de Autonomía y que la competencia controvertida corresponde a la Generalidad. Compareció la indicada representación de nuevo por escrito registrado el 20 de septiembre de 1988, en el que puso de relieve la aprobación del Real Decreto 7251/1988 y la incidencia que tal disposición tenía, a su juicio, en el presente proceso.</w:t>
      </w:r>
    </w:p>
    <w:p w:rsidR="00A12D44" w:rsidRDefault="00A12D44" w:rsidP="00A12D44">
      <w:pPr>
        <w:pStyle w:val="TextoNormal"/>
      </w:pPr>
    </w:p>
    <w:p w:rsidR="00A12D44" w:rsidRDefault="00A12D44" w:rsidP="00A12D44">
      <w:pPr>
        <w:pStyle w:val="TextoNormal"/>
      </w:pPr>
      <w:r w:rsidRPr="00A12D44">
        <w:rPr>
          <w:rStyle w:val="NumeroAFNegritaCaracter"/>
        </w:rPr>
        <w:t>2</w:t>
      </w:r>
      <w:r>
        <w:t>.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las SSTC 69/1988 y 80/1988.</w:t>
      </w:r>
    </w:p>
    <w:p w:rsidR="00A12D44" w:rsidRDefault="00A12D44" w:rsidP="00A12D44">
      <w:pPr>
        <w:pStyle w:val="TextoNormal"/>
      </w:pPr>
    </w:p>
    <w:p w:rsidR="00A12D44" w:rsidRDefault="00A12D44" w:rsidP="00A12D44">
      <w:pPr>
        <w:pStyle w:val="TextoNormal"/>
      </w:pPr>
      <w:r w:rsidRPr="00A12D44">
        <w:rPr>
          <w:rStyle w:val="NumeroAFNegritaCaracter"/>
        </w:rPr>
        <w:t>3</w:t>
      </w:r>
      <w:r>
        <w:t>. Con fecha del 10 de diciembre siguiente. evacuó el Abogado del Estado el trámite conferido, suplicando que se dicte en su día Sentencia en la que se declare la invalidez del precepto recurrido en conflicto, viciado de incompetencia. En efecto. dado que la competencia del Estado en materia de explosivos es exclusiva (art. 149.1.26.ª C.E.), no resulta aplicable en este caso la doctrina constitucional de referencia, por lo que el conflicto debe mantenerse. La normativa estatal sobre la materia se contiene en el Reglamento de Explo</w:t>
      </w:r>
      <w:r>
        <w:lastRenderedPageBreak/>
        <w:t>sivos aprobado por Real Decreto 214/1978, de 2 de marzo. Dicho Reglamento determina, en su art. 140.5, que «los envases y embalajes de productos pirotécnicos llevarán impresos la marca o nombre del fabricante, el número de Registro Industrial, la clase a que pertenecen y el número de catalogación, salvo los de pequeño tamaño, en cuya envoltura se imprimirá, al menos, el número de catalogación». La norma impugnada no puede suponer una alteración de la citada normativa estatal sobre explosivos, permitiendo que los datos impresos en la etiqueta figuren exclusivamente en lengua catalana, porque en tal materia la competencia del Estado es exclusiva. Por ello, la doctrina de las SSTC 69/1988 y 80/1988, que afectan al etiquetado de productos alimenticios y de consumo ordinario, no ha determinado la desaparición de la controversia competencial planteada.</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En escrito registrado el 19 de diciembre, formuló sus alegaciones la representación de la Generalidad de Cataluña, para quien el Tribunal, en las resoluciones citadas, entendió que la norma que el Estado pretendía como de aplicación básica, es decir, el art. 20 del R.D. 2058/1982, no reunía los requisitos formales mínimos para adquirir ese rango de norma básica. Pues bien: esa misma disposición es la que en este conflicto el Estado invoca como básica, no respetada por el Decreto 10/1987. Por consiguiente, en el presente conflicto nos encontramos con un supuesto equivalente al que fue resuelto en las SSTC 69/1988 y 80/1988, pudiendo considerarse, pues, resuelto el conflicto en aplicación de la doctrina meritada. </w:t>
      </w:r>
    </w:p>
    <w:p w:rsidR="00A12D44" w:rsidRDefault="00A12D44" w:rsidP="00A12D44">
      <w:pPr>
        <w:pStyle w:val="TextoNormal"/>
      </w:pPr>
      <w:r>
        <w:t xml:space="preserve">A mayor abundamiento, mediante escrito presentado el 19 de septiembre de 1988, la Generalidad ya había puesto de manifiesto que el propio Estado había procedido a modificar el R.D. 2216/1985, viniendo a admitir que el etiquetado de los productos pirotécnicos no se regía por las condiciones de etiquetado de los clasificados como sustancias peligrosas, y, por consiguiente, que no era de aplicación la exigencia de etiquetar sus envases en lengua castellana, que anteriormente pudiera haberse pretendido predicar del art. 25 de aquel R.D. 2216/1985. Esta circunstancia supuso, por tanto, un claro reconocimiento por parte del Estado de que ya no seguía manteniendo los argumentos en los que había pretendido fundar la demanda, y por ello, y en congruencia con la nueva norma estatal, podría entenderse desaparecido el objeto del conflicto si el Estado procediese a la formalización del desistimiento de la acción que en su día emprendió. </w:t>
      </w:r>
    </w:p>
    <w:p w:rsidR="00A12D44" w:rsidRDefault="00A12D44" w:rsidP="00A12D44">
      <w:pPr>
        <w:pStyle w:val="TextoNormal"/>
      </w:pPr>
      <w:r>
        <w:t xml:space="preserve">Por último, y por lo que se refiere a las cuestiones de fondo planteadas en esta controversia, igualmente cabría invocar la doctrina establecida en la STC 74/1989. </w:t>
      </w:r>
    </w:p>
    <w:p w:rsidR="00A12D44" w:rsidRDefault="00A12D44" w:rsidP="00A12D44">
      <w:pPr>
        <w:pStyle w:val="TextoNormal"/>
      </w:pPr>
      <w:r>
        <w:t>En suma, por todo lo anterior el conflicto debería considerarse resuelto y consiguientemente reconocida la competencia de la Generalidad, así como la perfecta adecuación al orden constitucional de su Decreto 10/1987.</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Reiteradamente ha señalado este Tribunal que el conflicto positivo de competencia presupone la existencia actual y presente de una controversia competencial, la cual debe ser considerada presupuesto constante tanto del planteamiento como del ulterior desarrollo del proceso constitucional. Ello de forma que si la controversia viniera a desaparecer en el curso del proceso, éste perdería su objeto (STC 119/1986, entre otras). Tal desaparición sobrevenida del objeto del litigio cabe que tenga lugar bien por una Sentencia resolutoria de un conflicto en la que se haya zanjado aquella controversia (STC 110/1983), bien por las Sentencias dictadas en recursos de inconstitucionalidad que hayan establecido criterios </w:t>
      </w:r>
      <w:r>
        <w:lastRenderedPageBreak/>
        <w:t>interpretativos suficientes en torno a la titularidad competencial controvertida (así, AATC 14/1991 y 108/1991), sin que en uno y otro caso sea preciso, pues, un nuevo pronunciamiento del Tribunal sobre la materia.</w:t>
      </w:r>
    </w:p>
    <w:p w:rsidR="00A12D44" w:rsidRDefault="00A12D44" w:rsidP="00A12D44">
      <w:pPr>
        <w:pStyle w:val="TextoNormal"/>
      </w:pPr>
      <w:r>
        <w:t>En el supuesto que nos ocupa, se trata de determinar si la doctrina sentada en la STC 69/1988, y reiterada, con ocasión de un caso idéntico, en la STC 80/1988, genera la desaparición sobrevenida de la controversia competencial que opone a las partes en este proceso de conflicto.</w:t>
      </w:r>
    </w:p>
    <w:p w:rsidR="00A12D44" w:rsidRDefault="00A12D44" w:rsidP="00A12D44">
      <w:pPr>
        <w:pStyle w:val="TextoNormal"/>
      </w:pPr>
    </w:p>
    <w:p w:rsidR="00A12D44" w:rsidRDefault="00A12D44" w:rsidP="00A12D44">
      <w:pPr>
        <w:pStyle w:val="TextoNormal"/>
      </w:pPr>
      <w:r w:rsidRPr="00A12D44">
        <w:rPr>
          <w:rStyle w:val="NumeroAFNegritaCaracter"/>
        </w:rPr>
        <w:t>2</w:t>
      </w:r>
      <w:r>
        <w:t>. Mediante la STC 69/1988, se resolvió el conflicto núm. 66/84, en el que el Gobierno había impugnado el Decreto 389/1983, de 15 de septiembre, del Consejo Ejecutivo de la Generalidad de Cataluña sobre etiquetaje de los productos que se comercializan en Cataluña, cuyo art. 1 y único dispone que «los datos obligatorios y facultativos del etiquetaje de los productos que se distribuyen en el ámbito territorial de Cataluña figurarán en los idiomas catalán o castellano, o bien en ambos idiomas». Consideraba el Gobierno que la Generalidad había vulnerado una norma estatal básica, el art. 20 del Real Decreto 2058/1982, de 12 de agosto, dictada al amparo de la competencia exclusiva que al Estado atribuye el art. 149.1.1.ª C.E., en relación con el art. 51 del texto constitucional. Sin embargo, el Tribunal negó el carácter formal de básica a la norma citada, declarando que correspondía a la Comunidad Autónoma demandada la competencia en materia de información de los consumidores ejercida en el Decreto recurrido, en cuanto éste no se oponía a ninguna norma del Estado que hubiera sido formulada como básica.</w:t>
      </w:r>
    </w:p>
    <w:p w:rsidR="00A12D44" w:rsidRDefault="00A12D44" w:rsidP="00A12D44">
      <w:pPr>
        <w:pStyle w:val="TextoNormal"/>
      </w:pPr>
      <w:r>
        <w:t>Igual pronunciamiento recayó en el conflicto núm. 887/1985, promovido por el Gobierno con el mismo fundamento respecto del Decreto 101/1985, de 23 de mayo, de la Junta de Galicia sobre utilización del idioma gallego en el etiquetado y publicidad de los productos que se comercializan en Galicia, resuelto mediante la STC 80/1988.</w:t>
      </w:r>
    </w:p>
    <w:p w:rsidR="00A12D44" w:rsidRDefault="00A12D44" w:rsidP="00A12D44">
      <w:pPr>
        <w:pStyle w:val="TextoNormal"/>
      </w:pPr>
      <w:r>
        <w:t>Pues bien: lo que en el presente proceso se impugna es el Decreto 10/1987, de 15 de enero, de la Generalidad de Cataluña, que en su art. 3 determina que «el etiquetado obligatorio de los productos pirotécnicos que se comercialicen en Cataluña deberá estar necesariamente redactado en catalán o en castellano, indistintamente, o bien en ambas lenguas al mismo tiempo». También aquí aduce el Gobierno, en la demanda de planteamiento del conflicto, la competencia exclusiva que para el Estado resulta del art. 149.1.1.ª C.E., en relación con el art. 51 C.E., el cual establece el derecho de los consumidores y usuarios a obtener una defensa eficaz por parte de los poderes públicos, que deben promover la información y educación de los mismos. En el ejercicio de esta competencia -afirma el Abogado del Estado- se ha dictado el art. 20 del Real Decreto 2058/1982, «que pretende asegurar la igualdad en aspectos básicos de tal derecho». Tanto la representación estatal en el mencionado escrito de demanda como la Generalidad en el de contestación al mismo ponen de manifiesto la identidad entre el supuesto a enjuiciar y el llevado al conflicto núm.  66/84 (luego resuelto por la STC 69/1988), reiterando la argumento anteriormente empleada o remitiéndose a ella.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Empero, el Abogado del Estado, en su escrito de alegaciones presentado en el trámite que le fue conferido ex art. 84 LOTC. altera la fundamentación de la demanda al señalar que el título competencial en que el promotor del conflicto basa su pretensión es el contenido en el art. 149.1.26.ª, citando como norma estatal en la material el Real Decreto 214/1978, de 2 de marzo. De este modo, la doctrina de las SSTC 69/1988 y 80/1988 -sostiene- no habría determinado la desaparición de la controversia competencial planteada. Mas esta modificación de los términos en que el proceso constitucional fue trabado resulta </w:t>
      </w:r>
      <w:r>
        <w:lastRenderedPageBreak/>
        <w:t>inaceptable. Si los títulos competenciales que fundamentan la controversia han de ser en el planteamiento del conflicto los mismos que fueron invocados en el requerimiento previo (STC 209/1989), ello con más razón aún excluye su variación en un trámite procesal dispuesto para verificar la persistencia de la controversia inicial a la luz de la doctrina constitucional establecida con posterioridad a aquel planteamiento.</w:t>
      </w:r>
    </w:p>
    <w:p w:rsidR="00A12D44" w:rsidRDefault="00A12D44" w:rsidP="00A12D44">
      <w:pPr>
        <w:pStyle w:val="TextoNormal"/>
      </w:pPr>
      <w:r>
        <w:t>Ateniéndonos, por consiguiente, al escrito de demanda, cabe advertir sin esfuerzo alguno la relación de identidad existente entre el conflicto que examinamos, tal y como el mismo fue planteado y fundamentado por la parte actora, y los resultados mediante las referidas SSTC 69/1988 y 80/1988, cuya doctrina genera, pues, la desaparición sobrevenida de la controversia competencial aquí suscitada y la carencia de objeto del litigio instado por el Gobierno con arreglo a dicha fundamentación.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todo lo expuesto, el Pleno del Tribunal acuerda dar por terminado el conflicto positivo de competencia núm. 879/87, promovido por el Gobierno en relación con el art. 3 del Decreto 10/1987, de 15 de enero, del Consejo Ejecutivo de la</w:t>
      </w:r>
    </w:p>
    <w:p w:rsidR="00A12D44" w:rsidRDefault="00A12D44" w:rsidP="00A12D44">
      <w:pPr>
        <w:pStyle w:val="TextoNormal"/>
      </w:pPr>
      <w:r>
        <w:t>Generalidad de Cataluña, por el que se regulan las condiciones de envasado y etiquetado de los productos pirotécnicos que se comercializan en Cataluña.</w:t>
      </w:r>
    </w:p>
    <w:p w:rsidR="00A12D44" w:rsidRDefault="00A12D44" w:rsidP="00A12D44">
      <w:pPr>
        <w:pStyle w:val="TextoNormal"/>
      </w:pPr>
    </w:p>
    <w:p w:rsidR="00A12D44" w:rsidRDefault="00A12D44" w:rsidP="00A12D44">
      <w:pPr>
        <w:pStyle w:val="TextoNormal"/>
      </w:pPr>
      <w:r>
        <w:t>Publíquese en el «Boletín Oficial del Estado» y en el «Diario Oficial de la Generalidad de Cataluña», y comuníquese al Presidente del Tribunal Superior de Justicia de Cataluña.</w:t>
      </w:r>
    </w:p>
    <w:p w:rsidR="00A12D44" w:rsidRDefault="00A12D44" w:rsidP="00A12D44">
      <w:pPr>
        <w:pStyle w:val="TextoNormal"/>
      </w:pPr>
      <w:r>
        <w:t>Madrid, a cuatro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1" w:name="AUTO_1992_30"/>
      <w:r>
        <w:lastRenderedPageBreak/>
        <w:t>AUTO 30/1992, de 4 de febrero de 1992</w:t>
      </w:r>
    </w:p>
    <w:bookmarkEnd w:id="101"/>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ECLI:ES:TC:1992:30A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terminación, por desaparición sobrevenida de la controversia, del conflicto positivo de competencia 120/1988, y la continuación del procedimiento del conflicto 1.857/1988</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de 27 de enero de 1988, la Generalidad de Cataluña representada por el Abogado de la misma don Ramón Riu Fortuny, planteó conflicto positivo de competencia frente al Gobierno de la Nación en relación con la Orden del Ministerio de Sanidad y Consumo de 16 de septiembre de 1987 («Boletín Oficial del Estado» núm. 239, del 6 de octubre), por la que se establecen las normas para la adjudicación de subvenciones y ayudas a Instituciones sin ánimo de lucro para financiar estudios y proyectos en materia de prevención del síndrome de inmunodeficiencia adquirida. </w:t>
      </w:r>
    </w:p>
    <w:p w:rsidR="00A12D44" w:rsidRDefault="00A12D44" w:rsidP="00A12D44">
      <w:pPr>
        <w:pStyle w:val="TextoNormal"/>
      </w:pPr>
      <w:r>
        <w:t>Admitido a trámite el conflicto, turnado con el núm. 120/88, mediante providencia del 1 de febrero posterior, formuló alegaciones de oposición, por escrito presentado el 25 de febrero y en la representación que legalmente ostenta, el Abogado del Estado, quien suplicó que se declarase la plena competencia estatal para dictar la Orden impugnada.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Generalidad de Cataluña, representada por su Abogada doña María Teresa Pagés Bertrán, formuló asimismo, y mediante escrito registrado el 18 de noviembre de 1988, demanda de conflicto positivo de competencia en relación con dos Ordenes del Ministerio de Sanidad y Consumo de 6 de junio de 1988 «Boletín Oficial del Estado» núm. 173, de 20 de julio) por las que, respectivamente se establecen normas para la administración de subvenciones a Instituciones benéfico-privadas con destino a la financiación de gastos, excepto personal, por atención y cuidado psíquico o físico a enfermos del SIDA y se convocan ayudas económicas a Instituciones hospitalarias y extrahospitalarias de cualquier titularidad con destino a cooperar en la financiación de gastos, incluso personal, que origine la información, prevención, detección y tratamiento del SIDA. </w:t>
      </w:r>
    </w:p>
    <w:p w:rsidR="00A12D44" w:rsidRDefault="00A12D44" w:rsidP="00A12D44">
      <w:pPr>
        <w:pStyle w:val="TextoNormal"/>
      </w:pPr>
      <w:r>
        <w:t>El conflicto, turnado con el núm. 1857/88, fue admitido a trámite por providencia del 12 de diciembre siguiente, formulando sus alegaciones el Abogado del Estado mediante escrito presentado el 23 de diciembre, en el que suplicó que se declarase la titularidad estatal de la competencia controvertida.</w:t>
      </w:r>
    </w:p>
    <w:p w:rsidR="00A12D44" w:rsidRDefault="00A12D44" w:rsidP="00A12D44">
      <w:pPr>
        <w:pStyle w:val="TextoNormal"/>
      </w:pPr>
    </w:p>
    <w:p w:rsidR="00A12D44" w:rsidRDefault="00A12D44" w:rsidP="00A12D44">
      <w:pPr>
        <w:pStyle w:val="TextoNormal"/>
      </w:pPr>
      <w:r w:rsidRPr="00A12D44">
        <w:rPr>
          <w:rStyle w:val="NumeroAFNegritaCaracter"/>
        </w:rPr>
        <w:t>3</w:t>
      </w:r>
      <w:r>
        <w:t>. Mediante Auto de 8 de febrero de 1989, el Pleno del Tribunal resolvió acumular ambos conflictos.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26 de noviembre de 1990, la Sección Primera de este Tribunal acordó, de conformidad con lo dispuesto en el art. 84 de la LOTC, conceder a las partes un plazo de diez días para que alegasen sobre la subsistencia o no, a su juicio, de la controversia competencial planteada, a la vista de que las disposiciones en conflicto pudieran haber agotado plenamente sus efectos.</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Con fecha del 10 de diciembre siguiente, evacuó el Abogado del Estado el trámite conferido, señalando, en relación con el conflicto núm. 120/88, que la Orden recurrida era una norma de vigencia temporal limitada, coincidente con el ejercicio presupuestario que caducó el 31 de diciembre de 1987. Mediante esta norma, se pretendía distribuir un crédito presupuestario con cargo al Presupuesto de 1987; y, en efecto, el importe de ese crédito o se distribuyó en su totalidad o, si no, el remanente habrá tenido el destino presupuestario procedente, en todo caso ajeno a la Orden en conflicto. Esto mismo cabe decir de las Ordenes impugnadas en el conflicto núm. 1857/88, que trataban de distribuir el crédito presupuestario contenido en los Presupuestos Generales del Estado para 1988. </w:t>
      </w:r>
    </w:p>
    <w:p w:rsidR="00A12D44" w:rsidRDefault="00A12D44" w:rsidP="00A12D44">
      <w:pPr>
        <w:pStyle w:val="TextoNormal"/>
      </w:pPr>
      <w:r>
        <w:t xml:space="preserve">En los dos conflictos la Generalidad reivindica competencias de ejecución en el otorgamiento de las subvenciones y en la realización de las demás funciones ejecutivas que la concesión requiera. Pero, naturalmente, esa reivindicación carece de todo significado práctico una vez repartido el crédito presupuestario global en la forma prescrita por las Ordenes recurridas. Este es el agotamiento de efectos que determina la desaparición de la controversia, en cuanto hace perder su sentido a la concreta pretensión conflictual deducida. </w:t>
      </w:r>
    </w:p>
    <w:p w:rsidR="00A12D44" w:rsidRDefault="00A12D44" w:rsidP="00A12D44">
      <w:pPr>
        <w:pStyle w:val="TextoNormal"/>
      </w:pPr>
      <w:r>
        <w:t>«Finalmente, en obediencia a instrucciones superiores, el Abogado del Estado manifiesta, respecto del conflicto núm. 120/88, que "de su redacción (de la Orden de 16 de septiembre de 1987) no se desprende el carácter supracomunitario de las actuaciones que se financian a través de la misma, ni se justifica la competencia de fomento en que pudiera basar su intervención la Administración del Estado"; y sobre el conflicto núm. 1857/88, que "del contenido de las dos Ordenes de 6 de junio de 1988 se desprende que existen títulos a favor del Estado para su promulgación al tratarse de programas y actividades de carácter supracomunitario".» Concluye su alegato el Abogado del Estado con la súplica de que se «declare terminado el conflicto» (sic).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En escrito registrado el 19 de diciembre, formuló sus alegaciones la representación de la Generalidad de Cataluña, para quien, si bien las Ordenes impugnadas contenían normas que habían de regir únicamente durante el tiempo preciso para la concesión de las ayudas dentro de los años 1987 y 1988, careciendo de vigencia en la actualidad, no por ello ha de entenderse desaparecido el objeto de la controversia competencial, puesto que, entre otras razones, el mismo Ministerio ha aprobado con posterioridad disposiciones equi- valentes que, a criterio de la Generalidad, constituyen nuevas e idénticas vulneraciones del orden competencial establecido por la C.E. y el E.A.C. </w:t>
      </w:r>
    </w:p>
    <w:p w:rsidR="00A12D44" w:rsidRDefault="00A12D44" w:rsidP="00A12D44">
      <w:pPr>
        <w:pStyle w:val="TextoNormal"/>
      </w:pPr>
      <w:r>
        <w:t xml:space="preserve">Sin embargo, es preciso tener también en cuenta un elemento distinto, como es la ya abundante y reiterada doctrina del Tribunal en materia de subvenciones, en la que se ha declarado que, salvo muy limitadas excepciones, procede la territorialización y puesta a disposición de las Comunidades Autónomas con competencia en la materia de aquellos </w:t>
      </w:r>
      <w:r>
        <w:lastRenderedPageBreak/>
        <w:t>recursos presupuestados por el Estado con el fin de conceder ayudas en un sector atribuido a la competencia autonómica. Pues bien: el conflicto planteado no difiere esencialmente de muchos otros supuestos ya conocidos por el Tribunal Constitucional en aquellos anteriores pronunciamientos, por lo que, en aplicación de dicha doctrina, y previa satisfacción por parte del Estado de las pretensiones expresadas por la Generalidad al plantear «este conflicto» (sic), «bien podría acabar deduciéndose que en la actualidad habría perdido su virtualidad».</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Reiteradamente ha señalado este Tribunal que el conflicto positivo de competencia implica la existencia actual y presente de una controversia competencial, la cual debe ser considerada presupuesto constante tanto del planteamiento como del ulterior desarrollo del proceso constitucional. Ello de forma que si la controversia viniera a desaparecer en el curso del litigio, éste perdería su objeto (STC 119/1986, entre otras). Mas, en lo que aquí importa, debe señalarse asimismo que la extinción sobrevenida del objeto del proceso conflictual no es nunca el resultado automático del pleno agotamiento de los efectos de la disposición o resolución impugnadas. Como se advierte en el ATC 17/1991, «la pérdida de vigencia material de la resolución o disposición... no conlleva necesariamente la pérdida de objeto del conflicto, que puede subsistir y requerir su resolución mediante Sentencia por parte de este Tribunal». Si así no fuese, es claro que el mero transcurso del tiempo desde la formalización de las demandas de conflicto entrañaría la desaparición sobrevenida de los procesos instados frente a medidas coyunturales instrumentadas a través de las disposiciones y resoluciones recurridas por vulneración del orden de competencias, inutilizando una vía impugnatoria establecida por la propia Constitución [art. 16 1.1 c)] para la tutela de dicho orden. Por consiguiente, sólo cuando haya dejado de existir la disputa com- petencial que opone a las partes de un conflicto cabrá declarar la conclusión del mismo. La falta de pervivencia de tal disputa no obedece, pues, en los casos de agotamiento de efectos de una disposición de alcance temporal, a la carencia de sentido, en semejantes supuestos, de un pronunciamiento del Tribunal sobre la controversia suscitada, sino a una reconsideración por las partes, o por una de ellas, de su posición inicial en el debate acerca de la competencia en cuestión.</w:t>
      </w:r>
    </w:p>
    <w:p w:rsidR="00A12D44" w:rsidRDefault="00A12D44" w:rsidP="00A12D44">
      <w:pPr>
        <w:pStyle w:val="TextoNormal"/>
      </w:pPr>
      <w:r>
        <w:t>De esta manera ha de entenderse nuestra providencia de 26 de noviembre de 1990, y no como lo hace el Ahogado del Estado, para quien la reivindicación competencial de la Generalidad de Cataluña carece de todo «significado práctico» una vez repartido el crédito presupuestario en la forma prescrita por las Ordenes Ministeriales en conflicto, olvidando que, con independencia del agotamiento de efectos repetido, este proceso constitucional se dirige a obtener una declaración acerca de la titularidad de la competencia controvertida (art. 66 LOTC) y que, en consecuencia, mientras subsista la controversia subsistirá el conflicto.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En el conflicto núm. 120/88, lo que ocurre justamente es que tal controversia va no existe, al manifestar la representación estatal en su escrito de alegaciones del 10 de diciembre de 1990 que de la redacción de la disposición impugnada (la Orden de 16 de septiembre de 1987) «no se desprende el carácter supracomunitario de las actuaciones que se financian a través de la misma, ni se justifica la competencia de fomento en que pudiera basar su intervención la Administración del Estado». Esta manifestación -que se realiza </w:t>
      </w:r>
      <w:r>
        <w:lastRenderedPageBreak/>
        <w:t>«en obediencia a instrucciones superiores», se cuida de advertir el Abogado del Estado- entraña un reconocimiento por la parte demandada de no poseer la competencia de titularidad litigiosa en el presente conflicto, el cual ha de darse, pues, por concluido, máxime habida cuenta de que, aun si el proceso debiera terminar por Sentencia y la misma fuera, en hipótesis, estimatoria, ninguna previsión respecto de situaciones de hecho o de derecho creadas al amparo de la Orden recurrida (art. 66, in fine, LOTC) tendría que adoptarse en ese pronunciamiento del Tribunal.</w:t>
      </w:r>
    </w:p>
    <w:p w:rsidR="00A12D44" w:rsidRDefault="00A12D44" w:rsidP="00A12D44">
      <w:pPr>
        <w:pStyle w:val="TextoNormal"/>
      </w:pPr>
    </w:p>
    <w:p w:rsidR="00A12D44" w:rsidRDefault="00A12D44" w:rsidP="00A12D44">
      <w:pPr>
        <w:pStyle w:val="TextoNormal"/>
      </w:pPr>
      <w:r w:rsidRPr="00A12D44">
        <w:rPr>
          <w:rStyle w:val="NumeroAFNegritaCaracter"/>
        </w:rPr>
        <w:t>3</w:t>
      </w:r>
      <w:r>
        <w:t>. Distinto es el caso en el conflicto núm. 1857/88. Aquí el Estado -también parte demandada- sigue sosteniendo la competencia que le asiste para dictar las Ordenes Ministeriales de 6 de junio de 1988, al referirse las mismas a «programas y actividades de carácter supracomunitario». A su vez, la Generalidad afirma la persistencia de la controversia competencial inicialmente planteada, señalando que el Ministerio de Sanidad ha aprobado, con posterioridad a aquellas Ordenes, otras disposiciones equivalentes, las cuales constituyen, a su juicio, nuevas e idénticas vulneraciones del orden de competencias. Por tanto, permaneciendo viva la citada controversia, ha de declararse la subsistencia del conflicto, al margen de que las Ordenes recurridas hayan agotado plenamente sus efectos, según reconocen los contendientes.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lo expuesto, el Pleno del Tribunal acuerda declarar concluido el conflicto positivo de competencia núm. 120/88 y ordena la continuación del procedimiento en relación con el conflicto núm. 1857/88.</w:t>
      </w:r>
    </w:p>
    <w:p w:rsidR="00A12D44" w:rsidRDefault="00A12D44" w:rsidP="00A12D44">
      <w:pPr>
        <w:pStyle w:val="TextoNormal"/>
      </w:pPr>
    </w:p>
    <w:p w:rsidR="00A12D44" w:rsidRDefault="00A12D44" w:rsidP="00A12D44">
      <w:pPr>
        <w:pStyle w:val="TextoNormal"/>
      </w:pPr>
      <w:r>
        <w:t>Publíquese el Acuerdo de conclusión del conflicto núm. 120/88 en el «Boletín Oficial del Estado» y en el «Diario Oficial de la Generalidad de Cataluña» y póngase en conocimiento del Presidente de la Audiencia Nacional.</w:t>
      </w:r>
    </w:p>
    <w:p w:rsidR="00A12D44" w:rsidRDefault="00A12D44" w:rsidP="00A12D44">
      <w:pPr>
        <w:pStyle w:val="TextoNormal"/>
      </w:pPr>
      <w:r>
        <w:t>Madrid, a cuatro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2" w:name="AUTO_1992_31"/>
      <w:r>
        <w:lastRenderedPageBreak/>
        <w:t>AUTO 31/1992, de 4 de febrero de 1992</w:t>
      </w:r>
    </w:p>
    <w:bookmarkEnd w:id="102"/>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ECLI:ES:TC:1992:31A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terminación, por desaparición sobrevenida de la controversia, del conflicto positivo de competencia 1.988/1988</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de 7 de diciembre de 1988, la Generalidad de Cataluña, representada por el Abogado de la misma don José María Bosch Bessa, planteó conflicto positivo de competencia frente al Gobierno de la Nación en relación con los arts. 4.1 c), 4.2 a), segundo párrafo del art. 4.2 b) y la Disposición adicional primera del Real Decreto 886/1988, de 15 de julio («Boletín Oficial del Estado» núm. 187, del 5 de agosto), sobre prevención de accidentes mayores en determinadas actividades industriales. </w:t>
      </w:r>
    </w:p>
    <w:p w:rsidR="00A12D44" w:rsidRDefault="00A12D44" w:rsidP="00A12D44">
      <w:pPr>
        <w:pStyle w:val="TextoNormal"/>
      </w:pPr>
      <w:r>
        <w:t>Admitido a trámite el conflicto por providencia del 19 de diciembre siguiente, formuló alegaciones de oposición, mediante escrito de 26 de enero de 1989 y en la representación que legalmente ostenta, el Abogado del Estado, quien suplicó que en su día se dictaría Sentencia por la que se declarase la pertenencia estatal de la competencia controvertida.</w:t>
      </w:r>
    </w:p>
    <w:p w:rsidR="00A12D44" w:rsidRDefault="00A12D44" w:rsidP="00A12D44">
      <w:pPr>
        <w:pStyle w:val="TextoNormal"/>
      </w:pPr>
    </w:p>
    <w:p w:rsidR="00A12D44" w:rsidRDefault="00A12D44" w:rsidP="00A12D44">
      <w:pPr>
        <w:pStyle w:val="TextoNormal"/>
      </w:pPr>
      <w:r w:rsidRPr="00A12D44">
        <w:rPr>
          <w:rStyle w:val="NumeroAFNegritaCaracter"/>
        </w:rPr>
        <w:t>2</w:t>
      </w:r>
      <w:r>
        <w:t>.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133/1990.</w:t>
      </w:r>
    </w:p>
    <w:p w:rsidR="00A12D44" w:rsidRDefault="00A12D44" w:rsidP="00A12D44">
      <w:pPr>
        <w:pStyle w:val="TextoNormal"/>
      </w:pPr>
    </w:p>
    <w:p w:rsidR="00A12D44" w:rsidRDefault="00A12D44" w:rsidP="00A12D44">
      <w:pPr>
        <w:pStyle w:val="TextoNormal"/>
      </w:pPr>
      <w:r w:rsidRPr="00A12D44">
        <w:rPr>
          <w:rStyle w:val="NumeroAFNegritaCaracter"/>
        </w:rPr>
        <w:t>3</w:t>
      </w:r>
      <w:r>
        <w:t>. Con fecha del 10 de diciembre posterior, evacuó el Abogado del Estado el trámite conferido, interesando del Tribunal, tras examinar los preceptos impugnados, la declaración de terminación del conflicto.</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En escrito registrado el 19 de diciembre formuló sus alegaciones, en representación de la Generalidad de Cataluña, el Abogado de la misma don Ramón Riu Fortuny, quien entiende plenamente subsistente la controversia competencial que dio origen al conflicto. En efecto, si bien en la STC 133/1990 el Tribunal examinó la competencia estatal relativa a la protección civil, «lo hizo -afirma la representación meritada- en términos generales, y </w:t>
      </w:r>
      <w:r>
        <w:lastRenderedPageBreak/>
        <w:t xml:space="preserve">en un nivel de concreción distinto, que no permiten considerar resueltas las cuestiones distintas y más particulares que se plantearon en el conflicto de referencia». </w:t>
      </w:r>
    </w:p>
    <w:p w:rsidR="00A12D44" w:rsidRDefault="00A12D44" w:rsidP="00A12D44">
      <w:pPr>
        <w:pStyle w:val="TextoNormal"/>
      </w:pPr>
      <w:r>
        <w:t>No obstante, «en estos momentos se está desarrollando... un proceso negociador, del que probablemente resulte un acuerdo y una modificación de algunos aspectos del ordenamiento vigente en este sector, así como la desaparición de varias de las controversias competenciales formalizadas en esta materia... Es de esperar, por tanto, que en un plazo razonablemente breve pudiera producirse una avenencia de las partes en este conflicto, que comportase la desaparición de su objeto».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desaparición sobrevenida de la controversia competencial como causa de terminación del conflicto de competencia ha sido admitida por la doctrina de este Tribunal. Así lo recuerda y abunda en ello el ATC 14/1991, según el cual tal desaparición cabe que tenga lugar a consecuencia de la resolución anterior de un recurso de inconstitucionalidad. En efecto,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 (fundamentos jurídicos 1. y 2. ).</w:t>
      </w:r>
    </w:p>
    <w:p w:rsidR="00A12D44" w:rsidRDefault="00A12D44" w:rsidP="00A12D44">
      <w:pPr>
        <w:pStyle w:val="TextoNormal"/>
      </w:pPr>
      <w:r>
        <w:t>Lo propio se reitera en el ATC 108/1991, donde, como en el presente proceso, se trataba de determinar si la doctrina sentada en la STC 133/1990 generaba la desaparición sobrevenida de la controversia competencial suscitada.</w:t>
      </w:r>
    </w:p>
    <w:p w:rsidR="00A12D44" w:rsidRDefault="00A12D44" w:rsidP="00A12D44">
      <w:pPr>
        <w:pStyle w:val="TextoNormal"/>
      </w:pPr>
    </w:p>
    <w:p w:rsidR="00A12D44" w:rsidRDefault="00A12D44" w:rsidP="00A12D44">
      <w:pPr>
        <w:pStyle w:val="TextoNormal"/>
      </w:pPr>
      <w:r w:rsidRPr="00A12D44">
        <w:rPr>
          <w:rStyle w:val="NumeroAFNegritaCaracter"/>
        </w:rPr>
        <w:t>2</w:t>
      </w:r>
      <w:r>
        <w:t>. La Generalidad de Cataluña impugna aquí, en primer lugar, el art. 4.1 e) del Real Decreto 886/1988, precepto que dice como sigue: «Se consideran autoridades competentes a los efectos de este Real Decreto, sin perjuicio de lo establecido en la Ley 2/1985, de 21 de enero, sobre Protección Civil, y demás disposiciones legales de aplicación en relación con el contenido del mismo: 1. El Ministerio del Interior. a través de la Dirección General de Protección Civil, para: ...  e) Conocer y proponer a la Comisión Nacional de Protección Civil la homologación de los Planes Territoriales de Emergencia Exterior de las industrias químicas, que hayan sido elaborados y aprobados por los órganos competentes de las Comunidades Autónomas.»</w:t>
      </w:r>
    </w:p>
    <w:p w:rsidR="00A12D44" w:rsidRDefault="00A12D44" w:rsidP="00A12D44">
      <w:pPr>
        <w:pStyle w:val="TextoNormal"/>
      </w:pPr>
      <w:r>
        <w:t xml:space="preserve">La actora no cuestiona la competencia del Ministerio citado para «conocer» los Planes referidos, sino la de «proponer» a la C.N.P.C. la homologación de los mismos, pues, a su juicio, introduce una facultad discrecional y, en definitiva, un control de tipo jerárquico. En efecto, a la competencia para proponer va ligada la de no proponer. Si va la homologación de los Planes Territoriales atribuida a la Comisión es por sí sola un Control estatal exorbitante de las competencias autonómicas, el R.D. 886/1988 introduce con este precepto un nuevo control jerárquico por parte de órganos estatales, atribuyéndoles unas facultades de tutela que en modo alguno se avienen con el sistema de reparto competencial previsto en los textos fundamentales. No resulta válida, pues. la competencia homologadora </w:t>
      </w:r>
      <w:r>
        <w:lastRenderedPageBreak/>
        <w:t>asignada a la Comisión, cuyo carácter de órgano de composición mixta con que le configura el art. 17.1 de la Ley 2/1985, si bien atenúa tal invalidez, no la desvirtúa, máxime porque las características y composición con que se configura esta Comisión en la Ley mencionada la convierten en un órgano de claro predominio estatal; todo lo cual lleva a la conclusión de que lo realmente querido es establecer un control jerárquico sobre las Comunidades Autónomas no previsto en la Constitución y por lo tanto viciado de inconstitucionalidad.</w:t>
      </w:r>
    </w:p>
    <w:p w:rsidR="00A12D44" w:rsidRDefault="00A12D44" w:rsidP="00A12D44">
      <w:pPr>
        <w:pStyle w:val="TextoNormal"/>
      </w:pPr>
      <w:r>
        <w:t>Ahora bien, el problema competencial planteado por la Generalidad en este extremo puede considerarse superado con arreglo a la doctrina establecida en la STC 133/1990, que resolvió un recurso de inconstitucionalidad y un conflicto de competencia, aquel dirigido contra la Ley 2/1985, de 21 de enero, sobre Protección Civil (L.P.C.). De acuerdo con dicha Ley, tanto los Planes Territoriales como los Especiales aprobados por las Comunidades Autónomas deberán ser homologados por la Comisión Nacional de Protección Civil (arts.  10.1 III y 11 II), consistiendo esa homologación «en la comprobación de que los planes se acomodan al contenido y criterios de la Norma básica» (art.  10.2), esto es, a la dictada por el Gobierno en orden a la fijación de las «directrices esenciales» para la elaboración de los repetidos Planes (art. 8).  En nuestra indicada Sentencia señalábamos a tal respecto que en la medida en que la competencia de homologación se configure como una actividad reglada y de control técnico, dirigida a constatar que los planes contemplen distintos contenidos (un catálogo de recursos movilizables, un inventario de riesgos potenciales y unas directrices sobre su funcionamiento y movilización, que son los contenidos mínimos que exige el art. 9 L.P.C.)  y no a sustituir de entre las distintas opciones posibles aquella seguida en la elaboración del plan, la competencia de mera homologación no entraña invasión competencial alguna (fundamento jurídico 10). Por otro lado, la configuración de la Comisión como un órgano mixto de representación conjunta del Estado y de las Comunidades Autónomas (art. 17 L.P.C.)  coadyuva a garantizar que se preserve esa finalidad.  Estas mismas consideraciones sobre el alcance de la facultad de homologación de la C.N.P.C. deben ser extendidas a los Planes Especiales por sectores de actividad que no excedan del ámbito territorial de la Comunidad Autónoma (art.  11 II L.P.C.), pues es uno mismo el supuesto de hecho y la razón de decidir (ibídem).</w:t>
      </w:r>
    </w:p>
    <w:p w:rsidR="00A12D44" w:rsidRDefault="00A12D44" w:rsidP="00A12D44">
      <w:pPr>
        <w:pStyle w:val="TextoNormal"/>
      </w:pPr>
      <w:r>
        <w:t>De la anterior doctrina se desprende sin dificultad que, correspondiendo válidamente -y en exclusiva, en los supuestos que la Ley señala- a la Comisión la facultad homologadora y traduciéndose ésta en una actividad estrictamente reglada, el art. 4.1 e) del R.D. 866/1988 únicamente cabe que confiera al Ministerio del Interior, al atribuirle la facultad de «proponer» a la C.N.P.C.  la homologación de los Planes Territoriales de Emergencia Exterior de las industrias químicas, una función de mera recepción y transmisión de tales Planes y no, como cree advertir la actora, una facultad discrecional de propuesta, ya que la discrecionalidad, según hemos recordado. ni siquiera caracteriza a los actos de homologación de la Comisión repetida, llamada a ejercer lícitamente sólo un control de naturaleza técnica o formal.</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segundo lugar, la Generalidad de Cataluña impugna el art. 4.2 a) del R.D.  886/1988, que considera «autoridades competentes» a «los órganos competentes de las Comunidades Autónomas para: recibir, evaluar y emplear, en coordinación con los Delegados del Gobierno y Gobernadores Civiles, así como con los Alcaldes, la información a que se refieren los arts. 6, 7, 8 y 9 y la declaración simplificada que deberán presentar los industriales de conformidad con lo dispuesto en este Real Decreto, así como, en su caso, la información a que hace referencia el art. 13 del mismo». La actora sostiene que mediante </w:t>
      </w:r>
      <w:r>
        <w:lastRenderedPageBreak/>
        <w:t>la exigencia de coordinación el Gobierno quiere convertir en compartidas unas competencias que deben corresponder en exclusiva a la Generalidad. Lo que deben hacer las Comunidades Autónomas -afirma- es informar, pero nunca deberán estar obligadas a actuar sus competencias de ejecución «en coordinación con» otros órganos, pues de otro modo no podrían dar un paso sin el visto bueno de las Delegaciones del Gobierno o Gobiernos Civiles respectivos, a quienes se acuerda un derecho a coordinar que no les corresponde. Solamente deberá haber coordinación entre las diferentes Administraciones Públicas en las actuaciones previstas en el precepto recurrido si la Comunidad Autónoma así lo requiere, lo cual parece poco probable que suceda en la fase de tratamiento de la información. Ello no excluye, por supuesto, la abierta y permanente predisposición de la Generalidad a «colaborar» con la Administración del Estado -sin necesidad de que ésta la «coordine»-, facilitando al poder central toda la información que pudiera necesitar o serle simplemente conveniente.</w:t>
      </w:r>
    </w:p>
    <w:p w:rsidR="00A12D44" w:rsidRDefault="00A12D44" w:rsidP="00A12D44">
      <w:pPr>
        <w:pStyle w:val="TextoNormal"/>
      </w:pPr>
      <w:r>
        <w:t>En los términos en que se halla planteado este motivo impugnatorio, la controversia puede considerarse igualmente resuelta por la doctrina establecida en la STC 133/1990. En efecto, además de entender conforme con la Constitución el art. 15.1 L.P.C., que declara que «el Gobierno es el órgano superior de dirección y coordinación de la protección civil», el Tribunal señaló que el ejercicio, por el Ministro del Interior, de «la superior dirección, coordinación e inspección de las acciones y los medios de ejecución de los planes de actuación de protección civil» [art. 16 d) L.P.C.] no puede estimarse fuera de la competencia estatal, en cuanto se refiera a supuestos que excedan del ámbito autonómico. Las facultades autonómicas en materia de protección civil no pueden impedir, por la misma naturaleza del régimen de concurrencia de que se trata, la existencia de unas facultades de coordinación e inspección a cargo del Estado cuando está en juego el interés nacional. Las facultades de dirección, coordinación e inspección «superior» vienen, por tanto, impuestas por la diversidad de las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sólo un límite al ejercicio de las mismas (fundamento jurídico 13).</w:t>
      </w:r>
    </w:p>
    <w:p w:rsidR="00A12D44" w:rsidRDefault="00A12D44" w:rsidP="00A12D44">
      <w:pPr>
        <w:pStyle w:val="TextoNormal"/>
      </w:pPr>
    </w:p>
    <w:p w:rsidR="00A12D44" w:rsidRDefault="00A12D44" w:rsidP="00A12D44">
      <w:pPr>
        <w:pStyle w:val="TextoNormal"/>
      </w:pPr>
      <w:r w:rsidRPr="00A12D44">
        <w:rPr>
          <w:rStyle w:val="NumeroAFNegritaCaracter"/>
        </w:rPr>
        <w:t>4</w:t>
      </w:r>
      <w:r>
        <w:t>. El art. 4.2 b) del R.D. objeto de conflicto, luego de atribuir a los órganos competentes de las Comunidades Autónomas las facultades de «elaborar y aprobar los Planes de Emergencia Exterior de las industrias o polos industriales...  radicados en el territorio de la Comunidad Autónoma respectiva», dispone, en su párrafo 2. , que «a tal fin, se tendrán en cuenta los criterios que establezca la Directriz Básica para la Planificación del Riesgo Químico, que será aprobada por el Gobierno. previo informe de la Comisión Nacional de Protección Civil, en aplicación del art. 11 de la Ley 2/1985, así como las informaciones aportadas por los industriales y por los correspondientes Alcaldes u obtenidas de oficio, en su defecto, por los correspondientes servicios de ¡as Comunidades Autónomas».</w:t>
      </w:r>
    </w:p>
    <w:p w:rsidR="00A12D44" w:rsidRDefault="00A12D44" w:rsidP="00A12D44">
      <w:pPr>
        <w:pStyle w:val="TextoNormal"/>
      </w:pPr>
      <w:r>
        <w:t>La Generalidad de Cataluña sostiene que el Gobierno no es competente para dictar la referida Directriz Básica, aunque tal atribución se encuentre contenida en el art. 8 L.P.C. Sin embargo, el precepto legal ya fue examinado en la STC 133/1990, donde este Tribunal se pronunció en favor de su conformidad constitucional (fundamento jurídico 10).</w:t>
      </w:r>
    </w:p>
    <w:p w:rsidR="00A12D44" w:rsidRDefault="00A12D44" w:rsidP="00A12D44">
      <w:pPr>
        <w:pStyle w:val="TextoNormal"/>
      </w:pPr>
    </w:p>
    <w:p w:rsidR="00A12D44" w:rsidRDefault="00A12D44" w:rsidP="00A12D44">
      <w:pPr>
        <w:pStyle w:val="TextoNormal"/>
      </w:pPr>
      <w:r w:rsidRPr="00A12D44">
        <w:rPr>
          <w:rStyle w:val="NumeroAFNegritaCaracter"/>
        </w:rPr>
        <w:t>5</w:t>
      </w:r>
      <w:r>
        <w:t>. La actora cuestiona, por último, el párrafo 1. de la Disposición adicional.  primera del R.D. 886/1988, en el que se establece que «por parte de los Delegados del Gobierno en las Comunidades Autónomas, se promoverá, sin interferir en su potestad de autoorganiza</w:t>
      </w:r>
      <w:r>
        <w:lastRenderedPageBreak/>
        <w:t>ción, la elaboración por las Comunidades Autónomas de los correspondientes Planes de Emergencia Exterior en los que se prevean las actuaciones coordinadas de las diversas Administraciones Públicas, así como la preparación y empleo de los recursos catalogados como movilizables en tales circunstancias, dependientes de las mismas o de los particulares».</w:t>
      </w:r>
    </w:p>
    <w:p w:rsidR="00A12D44" w:rsidRDefault="00A12D44" w:rsidP="00A12D44">
      <w:pPr>
        <w:pStyle w:val="TextoNormal"/>
      </w:pPr>
      <w:r>
        <w:t>Según la Generalidad, si el precepto transcrito se limitara a hacer referencia a una labor de impulso o promoción sería irrelevante e incluso superfluo. No cabe duda, empero, sobre la primacía «coordinadora» que el Gobierno quiere atribuir a sus Delegados en las Comunidades Autónomas, por lo que de nuevo surge aquí el problema de la supuesta competencia de coordinación anteriormente discutida.</w:t>
      </w:r>
    </w:p>
    <w:p w:rsidR="00A12D44" w:rsidRDefault="00A12D44" w:rsidP="00A12D44">
      <w:pPr>
        <w:pStyle w:val="TextoNormal"/>
      </w:pPr>
      <w:r>
        <w:t>La controversia es, pues, la misma que la suscitada en tomo al art. 4.2 a) del R.D. recurrido en conflicto, siendo igualmente de aplicación a la disputa competencial la doctrina establecida en la STC 133/1990 (fundamento 13) a propósito de los arts. 15.1 y 16 d) de la L.P.C.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todo lo expuesto, y verificada la desaparición sobrevenida de la controversia competencial en el presente proceso, el Pleno del Tribunal acuerda dar por terminado el conflicto positivo de competencia núm. 1988/88, promovido por el Consejo</w:t>
      </w:r>
    </w:p>
    <w:p w:rsidR="00A12D44" w:rsidRDefault="00A12D44" w:rsidP="00A12D44">
      <w:pPr>
        <w:pStyle w:val="TextoNormal"/>
      </w:pPr>
      <w:r>
        <w:t>Ejecutivo de la Generalidad de Cataluña en relación con los arts. 4.1 e), 4.2 a), segundo párrafo del art. 4.2 b) y la Disposición adicional primera del Real Decreto 88611988, de 15 de julio, sobre prevención de accidentes mayores en determinadas</w:t>
      </w:r>
    </w:p>
    <w:p w:rsidR="00A12D44" w:rsidRDefault="00A12D44" w:rsidP="00A12D44">
      <w:pPr>
        <w:pStyle w:val="TextoNormal"/>
      </w:pPr>
      <w:r>
        <w:t>actividades industriales.</w:t>
      </w:r>
    </w:p>
    <w:p w:rsidR="00A12D44" w:rsidRDefault="00A12D44" w:rsidP="00A12D44">
      <w:pPr>
        <w:pStyle w:val="TextoNormal"/>
      </w:pPr>
    </w:p>
    <w:p w:rsidR="00A12D44" w:rsidRDefault="00A12D44" w:rsidP="00A12D44">
      <w:pPr>
        <w:pStyle w:val="TextoNormal"/>
      </w:pPr>
      <w:r>
        <w:t>Publíquese en el «Boletín Oficial del Estado» y en el «Diario Oficial de la Generalidad de Cataluña», y comuníquese al Presidente del Tribunal Supremo.</w:t>
      </w:r>
    </w:p>
    <w:p w:rsidR="00A12D44" w:rsidRDefault="00A12D44" w:rsidP="00A12D44">
      <w:pPr>
        <w:pStyle w:val="TextoNormal"/>
      </w:pPr>
      <w:r>
        <w:t>Madrid, a cuatro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3" w:name="AUTO_1992_32"/>
      <w:r>
        <w:lastRenderedPageBreak/>
        <w:t>AUTO 32/1992, de 4 de febrero de 1992</w:t>
      </w:r>
    </w:p>
    <w:bookmarkEnd w:id="103"/>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ECLI:ES:TC:1992:32A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haber lugar al desistimiento del actor en el conflicto positivo de competencia 2.055/1988</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registrado en este Tribunal el 16 de diciembre de 1988, el Abogado del Estado, en la representación que legalmente ostenta, planteó conflicto positivo de competencia en relación con los arts. 2 y 3 del Decreto 180/1988, de 27 de julio («D.O.G.C» núm. 1028, de 8 de agosto), del Consejo Ejecutivo de la Generalidad de Cataluña, por el que se dictan normas sobre la reglamentación técnico-sanitaria de productos cosméticos. </w:t>
      </w:r>
    </w:p>
    <w:p w:rsidR="00A12D44" w:rsidRDefault="00A12D44" w:rsidP="00A12D44">
      <w:pPr>
        <w:pStyle w:val="TextoNormal"/>
      </w:pPr>
      <w:r>
        <w:t>Admitido a trámite el conflicto por providencia del 19 de diciembre siguiente, formuló alegaciones de oposición, mediante escrito presentado el 26 de enero de 1989, la Generalidad de Cataluña, representada por el Abogado de la misma don Xavier Castrillo Gutiérrez, quien suplicó que se dictara Sentencia en la que se declarase que los preceptos impugnados responden a las competencias de las que constitucional y estatutariamente es titular dicha Comunidad Autónoma.</w:t>
      </w:r>
    </w:p>
    <w:p w:rsidR="00A12D44" w:rsidRDefault="00A12D44" w:rsidP="00A12D44">
      <w:pPr>
        <w:pStyle w:val="TextoNormal"/>
      </w:pPr>
    </w:p>
    <w:p w:rsidR="00A12D44" w:rsidRDefault="00A12D44" w:rsidP="00A12D44">
      <w:pPr>
        <w:pStyle w:val="TextoNormal"/>
      </w:pPr>
      <w:r w:rsidRPr="00A12D44">
        <w:rPr>
          <w:rStyle w:val="NumeroAFNegritaCaracter"/>
        </w:rPr>
        <w:t>2</w:t>
      </w:r>
      <w:r>
        <w:t>.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las SSTC 69/1988 y 80/1988.</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Con fecha del posterior 10 de diciembre, evacuó el Abogado del Estado el trámite conferido, suplicando en su escrito que se tenga al Gobierno por desistido en el presente conflicto y que se dicte Auto que ponga fin al mismo por tal causa. En efecto, las SSTC 69 y 80 de 1988 determinan cuáles son las condiciones esenciales para la puesta en el mercado y el etiquetado de los productos cosméticos. De acuerdo con el contenido de tales Sentencias, ha de entenderse que los arts. 2 y 3 del Decreto recurrido no contravienen el reparto constitucional de competencias entre el Estado y la Generalidad de Cataluña. Por ello, </w:t>
      </w:r>
      <w:r>
        <w:lastRenderedPageBreak/>
        <w:t>el Gobierno ha acordado (y así se acredita en la certificación del acuerdo del Consejo de ¡Ministros que se adjunta) desistir del conflicto planteado.</w:t>
      </w:r>
    </w:p>
    <w:p w:rsidR="00A12D44" w:rsidRDefault="00A12D44" w:rsidP="00A12D44">
      <w:pPr>
        <w:pStyle w:val="TextoNormal"/>
      </w:pPr>
    </w:p>
    <w:p w:rsidR="00A12D44" w:rsidRDefault="00A12D44" w:rsidP="00A12D44">
      <w:pPr>
        <w:pStyle w:val="TextoNormal"/>
      </w:pPr>
      <w:r w:rsidRPr="00A12D44">
        <w:rPr>
          <w:rStyle w:val="NumeroAFNegritaCaracter"/>
        </w:rPr>
        <w:t>4</w:t>
      </w:r>
      <w:r>
        <w:t>. En escrito registrado el 19 de diciembre, formuló sus alegaciones la Generalidad de Cataluña, representada por el Abogado de la misma don Ramón Riu Fortuny, para quien, por efecto de lo ya establecido por el Tribunal en las SSTC 69/1988 y 80/1988 y 74/1989, el conflicto planteado debería considerarse resuelto y, por consiguiente, reconocida la competencia de la Generalidad y la perfecta adecuación al orden constitucional de su Decreto 180/1988.</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tal acto procesal. En el presente caso, y en el escrito de alegaciones mediante el que evacuó el trámite conferido por nuestra providencia de 26 de noviembre de 1990, el Abogado del Estado pide que se tenga al Gobierno de la Nación por desistido en el conflicto en su día promovido, adjuntando al efecto la oportuna certificación del acuerdo adoptado por el Consejo de Ministros de 7 de diciembre de 1990.</w:t>
      </w:r>
    </w:p>
    <w:p w:rsidR="00A12D44" w:rsidRDefault="00A12D44" w:rsidP="00A12D44">
      <w:pPr>
        <w:pStyle w:val="TextoNormal"/>
      </w:pPr>
      <w:r>
        <w:t>Por su parte, la Generalidad de Cataluña considera que el conflicto debería declararse resuelto, en atención a la doctrina contenida en las Sentencias del Tribunal que indica, no advirtiéndose, de otro lado, razones de interés público que aconsejen la prosecución del procedimiento hasta su finalización mediante Sentencia.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acuerda tener por desistido al Gobierno de la Nación del conflicto positivo de competencia núm. 2055/88, promovido en relación con los arts. 2 y 3 del Decreto 180/1988, de 27 de julio, del Consejo Ejecutivo de la</w:t>
      </w:r>
    </w:p>
    <w:p w:rsidR="00A12D44" w:rsidRDefault="00A12D44" w:rsidP="00A12D44">
      <w:pPr>
        <w:pStyle w:val="TextoNormal"/>
      </w:pPr>
      <w:r>
        <w:t>Generalidad de Cataluña, por el que se dictan normas sobre la reglamentación técnico-sanitaria de productos cosméticos.</w:t>
      </w:r>
    </w:p>
    <w:p w:rsidR="00A12D44" w:rsidRDefault="00A12D44" w:rsidP="00A12D44">
      <w:pPr>
        <w:pStyle w:val="TextoNormal"/>
      </w:pPr>
    </w:p>
    <w:p w:rsidR="00A12D44" w:rsidRDefault="00A12D44" w:rsidP="00A12D44">
      <w:pPr>
        <w:pStyle w:val="TextoNormal"/>
      </w:pPr>
      <w:r>
        <w:t>Publíquese en el «Boletín Oficial del Estado» y en el «Diario Oficial de la Generalidad de Cataluña», y póngase en conocimiento del Presidente del Tribunal Superior de Justicia de Cataluña.</w:t>
      </w:r>
    </w:p>
    <w:p w:rsidR="00A12D44" w:rsidRDefault="00A12D44" w:rsidP="00A12D44">
      <w:pPr>
        <w:pStyle w:val="TextoNormal"/>
      </w:pPr>
      <w:r>
        <w:t>Madrid, a cuatro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4" w:name="AUTO_1992_33"/>
      <w:r>
        <w:lastRenderedPageBreak/>
        <w:t>AUTO 33/1992, de 4 de febrero de 1992</w:t>
      </w:r>
    </w:p>
    <w:bookmarkEnd w:id="104"/>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ECLI:ES:TC:1992:33A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Desestimado recurso de súplica contra ATC 315/1991, dictado en el conflicto negativo de competencia 1.748/1991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5" w:name="AUTO_1992_34"/>
      <w:r>
        <w:lastRenderedPageBreak/>
        <w:t>AUTO 34/1992, de 4 de febrero de 1992</w:t>
      </w:r>
    </w:p>
    <w:bookmarkEnd w:id="105"/>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ECLI:ES:TC:1992:34A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acumulación de las cuestiones de inconstitucionalidad 1.902/1991, 1.904/1991 a los recursos de inconstitucionalidad ya acumulados 418/1987 y 421/1987</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6" w:name="AUTO_1992_35"/>
      <w:r>
        <w:lastRenderedPageBreak/>
        <w:t>AUTO 35/1992, de 4 de febrero de 1992</w:t>
      </w:r>
    </w:p>
    <w:bookmarkEnd w:id="106"/>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ECLI:ES:TC:1992:35A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acumulación de las cuestiones de inconstitucionalidad 2.879/1990, 2.161/1991, 2.162/1991 y 2.187/1991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7" w:name="AUTO_1992_36"/>
      <w:r>
        <w:lastRenderedPageBreak/>
        <w:t>AUTO 36/1992, de 4 de febrero de 1992</w:t>
      </w:r>
    </w:p>
    <w:bookmarkEnd w:id="107"/>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ECLI:ES:TC:1992:36A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inadmisión a trámite de la cuestión de inconstitucionalidad 2.341/1991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8" w:name="AUTO_1992_37"/>
      <w:r>
        <w:lastRenderedPageBreak/>
        <w:t>AUTO 37/1992, de 10 de febrero de 1992</w:t>
      </w:r>
    </w:p>
    <w:bookmarkEnd w:id="108"/>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ECLI:ES:TC:1992:37A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1.159/1991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3 de junio de 1991 tuvo entrada en el registro de este Tribunal un escrito de don Antonio Navarro Flores, Procurador de los Tribunales. quien en nombre y representación de la entidad «Grupo Ideas Nuevas. S. A.», interpone recurso de amparo contra el Auto que resuelve del recurso de reposición dictado por el Juzgado de lo Social núm. 1 de Madrid, en proceso de ejecución de Sentencia.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basa en los siguientes antecedentes: </w:t>
      </w:r>
    </w:p>
    <w:p w:rsidR="00A12D44" w:rsidRDefault="00A12D44" w:rsidP="00A12D44">
      <w:pPr>
        <w:pStyle w:val="TextoNormal"/>
      </w:pPr>
      <w:r>
        <w:t xml:space="preserve">a) En el procedimiento 792/88, seguido ante el Juzgado de lo Social núm. 1 de los de Madrid a instancia de don Gonzalo Gabriel Gari contra la empresa «Faca, S. A.» en reclamación de salarios devengados y no percibidos, se dictó Sentencia el 13 de febrero de 1989 por la que se condenaba a la entidad demandada a pagar al actor 787.000 pesetas. </w:t>
      </w:r>
    </w:p>
    <w:p w:rsidR="00A12D44" w:rsidRDefault="00A12D44" w:rsidP="00A12D44">
      <w:pPr>
        <w:pStyle w:val="TextoNormal"/>
      </w:pPr>
      <w:r>
        <w:t xml:space="preserve">Instada por el actor la ejecución, el 10 de marzo de 1989 se dictó Auto acordando la ejecución y decretando el embargo de los bienes de la ejecutada. </w:t>
      </w:r>
    </w:p>
    <w:p w:rsidR="00A12D44" w:rsidRDefault="00A12D44" w:rsidP="00A12D44">
      <w:pPr>
        <w:pStyle w:val="TextoNormal"/>
      </w:pPr>
      <w:r>
        <w:t xml:space="preserve">b) Recibida por el Juzgado certificación registral de la finca de 26 de mayo de 1989, se dictó providencia por la que se decretó el embargo de la finca - registrada a nombre de «Faca, S. A.»- practicándose su anotación en el Registro de la Propiedad el 18 de septiembre de 1989. </w:t>
      </w:r>
    </w:p>
    <w:p w:rsidR="00A12D44" w:rsidRDefault="00A12D44" w:rsidP="00A12D44">
      <w:pPr>
        <w:pStyle w:val="TextoNormal"/>
      </w:pPr>
      <w:r>
        <w:t xml:space="preserve">c) Señalada la práctica de las correspondientes subastas los días 24 de abril, 22 de mayo y 19 de junio de 1990, la adjudicación de los bienes embargados se produjo, en segunda subasta, a favor de don Ignacio Fernández García, quien con posterioridad, mediante comparecencia en el Juzgado, acordó ceder el remate de la finca subastada al Grupo «Ideas Nuevas, S. A.». A continuación, por el órgano judicial se aprobó el remate del bien embargado a favor de la representación del grupo «Ideas Nuevas. S. A.». </w:t>
      </w:r>
    </w:p>
    <w:p w:rsidR="00A12D44" w:rsidRDefault="00A12D44" w:rsidP="00A12D44">
      <w:pPr>
        <w:pStyle w:val="TextoNormal"/>
      </w:pPr>
      <w:r>
        <w:t>d) Por la representación del grupo «Ideas Nuevas, S. A.» se solicitó se otorgara escritura pública por el demandado (art. 1514 C.C.). El órgano judicial, ante la personación en autos de don Macario Martín Alvarez, que alega ser propietario de la finca subastada desde el 7 de noviembre de 1989; de la Caja de Ahorros de Madrid, personada como acreedor posterior al haber concedido un préstamo hipotecario al anterior comprador, y de «Faca, S. A.», que solicita la nulidad de todo lo actuado por defectos en las notificaciones que le impidieron tener conocimiento de la resolución judicial que puso término al proceso de</w:t>
      </w:r>
      <w:r>
        <w:lastRenderedPageBreak/>
        <w:t xml:space="preserve">clarativo y posterior proceso de ejecución, declaró no haber lugar al otorgamiento de la escritura pública solicitado. </w:t>
      </w:r>
    </w:p>
    <w:p w:rsidR="00A12D44" w:rsidRDefault="00A12D44" w:rsidP="00A12D44">
      <w:pPr>
        <w:pStyle w:val="TextoNormal"/>
      </w:pPr>
      <w:r>
        <w:t xml:space="preserve">e) Mediante escrito registrado el 26 de junio de 1990, la representación del «Grupo Ideas Nuevas, S. A.» reiteró su petición de que fuera otorgada a su favor la escritura pública de la finca subastada. Por providencia de 2 de octubre de 1990 se acordó tener por personadas y partes en el procedimiento a don Macario Martín Alvarez, a la Caja de Ahorros de Madrid y a «Faca, S. A.», citando a todas las partes en el procedimiento a una comparecencia ante el Juzgado. </w:t>
      </w:r>
    </w:p>
    <w:p w:rsidR="00A12D44" w:rsidRDefault="00A12D44" w:rsidP="00A12D44">
      <w:pPr>
        <w:pStyle w:val="TextoNormal"/>
      </w:pPr>
      <w:r>
        <w:t xml:space="preserve">f) Celebrada la comparecencia y manifestando todas las partes intervinientes su deseo de llegar a un acuerdo amistoso sobre el objeto sometido a debate, por el Juzgador se concedió un plazo de veinte días para dar oportunidad a que, extrajudicialmente, se lograra la avenencia. Solicitada por todas las partes la prórroga de dicho plazo, la misma se decretó mediante providencia de 1990, apercibiendo el Magistrado que de no llegarse a un acuerdo antes del día 1 de enero de 1991, dictaría la oportuna resolución. </w:t>
      </w:r>
    </w:p>
    <w:p w:rsidR="00A12D44" w:rsidRDefault="00A12D44" w:rsidP="00A12D44">
      <w:pPr>
        <w:pStyle w:val="TextoNormal"/>
      </w:pPr>
      <w:r>
        <w:t xml:space="preserve">g) Mediante comparecencia ante el Juzgado de lo Social el 12 de febrero de 1991, el ejecutante, y previo pago por la Caja de Ahorros de Madrid del importe del principal adeudado y demás gastos derivados del proceso, desiste de la continuación del procedimiento y solicita el archivo de lo actuado. </w:t>
      </w:r>
    </w:p>
    <w:p w:rsidR="00A12D44" w:rsidRDefault="00A12D44" w:rsidP="00A12D44">
      <w:pPr>
        <w:pStyle w:val="TextoNormal"/>
      </w:pPr>
      <w:r>
        <w:t xml:space="preserve">El 13 de marzo de 1991, el ejecutante, mediante comparecencia ante el Juzgado, se reafirma en su voluntad de desistir del procedimiento. </w:t>
      </w:r>
    </w:p>
    <w:p w:rsidR="00A12D44" w:rsidRDefault="00A12D44" w:rsidP="00A12D44">
      <w:pPr>
        <w:pStyle w:val="TextoNormal"/>
      </w:pPr>
      <w:r>
        <w:t xml:space="preserve">Mediante Auto de 14 de marzo de 1991 el juzgador, por aplicación del art. 236 de la L.P.L., tiene por desistido al ejecutante de la acción y ordena el archivo de las actuaciones. </w:t>
      </w:r>
    </w:p>
    <w:p w:rsidR="00A12D44" w:rsidRDefault="00A12D44" w:rsidP="00A12D44">
      <w:pPr>
        <w:pStyle w:val="TextoNormal"/>
      </w:pPr>
      <w:r>
        <w:t>h) Frente a esta resolución se interpuso el correspondiente recurso de reposición resuelto negativamente mediante Auto de 22 de abril de 1991. El Auto de referencia declara que la venta judicial no se ha llegado a aprobar mediante el correspondiente Auto de adjudicación -art. 131.17 de la Ley Hipotecaria, 224 y 233 del Reglamento Hipotecario- y por lo tanto cabe la posibilidad de dejar la subasta sin efecto una vez que se ha producido el pago de lo adeudado y que el ejecutante desiste de la ejecución.</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de amparo se alega la vulneración de los arts. 14 a 29 C.E., si bien del texto de la propia demanda se desprende la invocación concreta del art. 24.1 C.E. </w:t>
      </w:r>
    </w:p>
    <w:p w:rsidR="00A12D44" w:rsidRDefault="00A12D44" w:rsidP="00A12D44">
      <w:pPr>
        <w:pStyle w:val="TextoNormal"/>
      </w:pPr>
      <w:r>
        <w:t>La lesión del derecho a la tutela judicial efectiva se habría producido, según el demandante en amparo, al dejar sin efecto una subasta va celebrada, desposeyendo de la finca al recurrente no obstante haberse aprobado el remate a su favor y haber consignado el precio de la subasta.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28 de octubre de 1991, la Sección acordó conceder al demandante en amparo y al Ministerio Fiscal el plazo común de diez días para que formulasen las alegaciones que estimasen pertinentes en relación con la carencia manifiesta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5</w:t>
      </w:r>
      <w:r>
        <w:t>. En su escrito de alegaciones, el recurrente sostiene que la demanda no carece de contenido constitucional y reitera lo manifestado en el escrito de interposición del recurso de amparo.</w:t>
      </w:r>
    </w:p>
    <w:p w:rsidR="00A12D44" w:rsidRDefault="00A12D44" w:rsidP="00A12D44">
      <w:pPr>
        <w:pStyle w:val="TextoNormal"/>
      </w:pPr>
    </w:p>
    <w:p w:rsidR="00A12D44" w:rsidRDefault="00A12D44" w:rsidP="00A12D44">
      <w:pPr>
        <w:pStyle w:val="TextoNormal"/>
      </w:pPr>
      <w:r w:rsidRPr="00A12D44">
        <w:rPr>
          <w:rStyle w:val="NumeroAFNegritaCaracter"/>
        </w:rPr>
        <w:t>6</w:t>
      </w:r>
      <w:r>
        <w:t>. El Ministerio Fiscal interesa la admisión de la demanda, manifestando que de la aplicación de los preceptos de la Ley y del Reglamento Hipotecario, así como de la situa</w:t>
      </w:r>
      <w:r>
        <w:lastRenderedPageBreak/>
        <w:t>ción de titularidad en que se encuentra el que ahora recurre en amparo, que resulta desposeído de la finca no obstante haberse aprobado el remate a su favor NI haber consignado el precio, unido a la falta de resolución por el Juzgado respecto de las nulidades aducidas, pudiera seguirse lesión del derecho a la tutela judicial efectiva.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Hemos de confirmar la concurrencia de la causa de inadmisión de la demanda, prevista en el art. 50.1 c) LOTC y que fue puesta de manifiesto en nuestra providencia de 28 de octubre de 1991.</w:t>
      </w:r>
    </w:p>
    <w:p w:rsidR="00A12D44" w:rsidRDefault="00A12D44" w:rsidP="00A12D44">
      <w:pPr>
        <w:pStyle w:val="TextoNormal"/>
      </w:pPr>
      <w:r>
        <w:t>La lesión constitucional alegada, referida a la violación de los arts. 14 a 29 C.E., hay que situarla en puridad en el derecho a la tutela judicial efectiva proclamado en el art. 24.1 C.E.</w:t>
      </w:r>
    </w:p>
    <w:p w:rsidR="00A12D44" w:rsidRDefault="00A12D44" w:rsidP="00A12D44">
      <w:pPr>
        <w:pStyle w:val="TextoNormal"/>
      </w:pPr>
      <w:r>
        <w:t>El examen de la demanda permite comprobar que la lesión del derecho ala tutela judicial efectiva invocada se habría producido al dejar sin efecto una subasta ya celebrada, desposeyendo de la finca al recurrente, no obstante haberse aprobado el remate a su favor y haber consignado el precio de la subasta.</w:t>
      </w:r>
    </w:p>
    <w:p w:rsidR="00A12D44" w:rsidRDefault="00A12D44" w:rsidP="00A12D44">
      <w:pPr>
        <w:pStyle w:val="TextoNormal"/>
      </w:pPr>
      <w:r>
        <w:t>Previo el examen de la cuestión, este Tribunal tiene que manifestar que, pese a los distintos intentos de implicación realizados en la demanda para conectar la resolución judicial que dejó sin efecto la subasta con las distintas personaciones en autos realizadas por terceras personas -adquirentes de la finca durante la sustanciación de la ejecución, acreedor posterior y parte del proceso que solicitan la nulidad de lo actuado por defectos en los actos de comunicación efectuados-, el tema central de la vulneración denunciada radica en determinar si al recurrente -cesionario del adjudicatario de la subasta- se le ha causado indefensión al admitirse, con todos sus efectos inherentes, el desistimiento del ejecutante una vez realizada la subasta para con anterioridad al otorgamiento de la escritura pública.</w:t>
      </w:r>
    </w:p>
    <w:p w:rsidR="00A12D44" w:rsidRDefault="00A12D44" w:rsidP="00A12D44">
      <w:pPr>
        <w:pStyle w:val="TextoNormal"/>
      </w:pPr>
    </w:p>
    <w:p w:rsidR="00A12D44" w:rsidRDefault="00A12D44" w:rsidP="00A12D44">
      <w:pPr>
        <w:pStyle w:val="TextoNormal"/>
      </w:pPr>
      <w:r w:rsidRPr="00A12D44">
        <w:rPr>
          <w:rStyle w:val="NumeroAFNegritaCaracter"/>
        </w:rPr>
        <w:t>2</w:t>
      </w:r>
      <w:r>
        <w:t>. Aunque la demanda de amparo se dirige directamente contra el Auto que resuelve el recurso de reposición, hay que entender que lo que se impugna es el Auto de 14 de marzo de 1991 que admite el desistimiento del ejecutante y decreta el archivo de las actuaciones, pues al ser el primero confirmatorio de este último, a éste se le ha de imputar la violación del derecho fundamental invocado.</w:t>
      </w:r>
    </w:p>
    <w:p w:rsidR="00A12D44" w:rsidRDefault="00A12D44" w:rsidP="00A12D44">
      <w:pPr>
        <w:pStyle w:val="TextoNormal"/>
      </w:pPr>
      <w:r>
        <w:t>El órgano judicial entiende, mediante la interpretación y aplicación de preceptos concretos de la L.P.L. y de la Ley y Reglamento Hipotecario. que no obstante la celebración de la subasta y la aprobación del remate, que el desistimiento del ejecutante debe admitirse y por ello decreta el archivo de las actuaciones.</w:t>
      </w:r>
    </w:p>
    <w:p w:rsidR="00A12D44" w:rsidRDefault="00A12D44" w:rsidP="00A12D44">
      <w:pPr>
        <w:pStyle w:val="TextoNormal"/>
      </w:pPr>
      <w:r>
        <w:t>En este punto hay que tener en cuenta que la Ley de Procedimiento Laboral, expresamente regula en su art. 236 que la ejecución se inicia de parte, el art.  241 de la citada Ley ritual recoge los supuestos excepcionales en los que la ejecución de la Sentencia pueden suspenderse, y prevé que así se decrete previa petición del ejecutante -como sucede en el caso que nos ocupa en el que todas las partes solicitaron una prórroga o suspensión de la ejecución para llegar a un acuerdo extrajudicial -regulando la ley que se decretará el archivo de las actuaciones cuando el ejecutante no manifieste, dentro del plazo señalado, si la ejecución ha de seguir adelante, sin que se prevea límite temporal o momento procesal alguno en el que no se admita tal posibilidad.</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De lo anterior se desprende que el objeto de la presente demanda es una cuestión de mera legalidad ordinaria, aserto confirmado por el hecho de que frente a la interpretación judicial legalmente fundada -concreta expresa de preceptos concretos- y razonablemente articulada, por medio de la demanda de amparo se pretende rebatir todos y cada uno de los argumentos esgrimidos por el juzgador desde un punto de vista estrictamente legal, como si el recurso de amparo de un recurso ordinario se tratara.</w:t>
      </w:r>
    </w:p>
    <w:p w:rsidR="00A12D44" w:rsidRDefault="00A12D44" w:rsidP="00A12D44">
      <w:pPr>
        <w:pStyle w:val="TextoNormal"/>
      </w:pPr>
      <w:r>
        <w:t>En definitiva, es la mera discrepancia de los recurrentes con lo resuelto por los Autos impugnados lo que realmente motiva este recurso. Por tanto, al no ser el recurrente de amparo una instancia revisora de lo resuelto por los órganos judiciales por corresponder a éstos la potestad de juzgar (art. 117.3 C.E.)  y no darse las vulneraciones pretendidas, procede inadmitir la demanda de amparo.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diez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09" w:name="AUTO_1992_38"/>
      <w:r>
        <w:lastRenderedPageBreak/>
        <w:t>AUTO 38/1992, de 10 de febrero de 1992</w:t>
      </w:r>
    </w:p>
    <w:bookmarkEnd w:id="109"/>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ECLI:ES:TC:1992:38A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1.730/1991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Jorge Deleito García, Procurador de los Tribunales, en nombre y representación de don Fernando Borrego Gil, mediante escrito presentado en el Registro General de este Tribunal el día 31 de julio de 1991, interpuso recurso de amparo contra la Resolución de 17 de noviembre de 1989 del Centro Provincial de Reclutamiento de Cáceres, por la que se deniega la petición de reducción del período del servicio militar, y contra la desestimación por silencio administrativo del recurso de alzada formulado contra la anterior Resolución ante la Dirección General de Personal del Ministerio de Defensa.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basa, en síntesis, en los siguientes hechos: </w:t>
      </w:r>
    </w:p>
    <w:p w:rsidR="00A12D44" w:rsidRDefault="00A12D44" w:rsidP="00A12D44">
      <w:pPr>
        <w:pStyle w:val="TextoNormal"/>
      </w:pPr>
      <w:r>
        <w:t xml:space="preserve">A) El solicitante de amparo, al cumplir la edad de veintiocho años, pidió que le fuera concedida una reducción del tiempo de permanencia en filas a seis meses de conformidad con el art. 28. 4 de la Ley 19/1984, de 8 de junio, Reguladora del Servicio Militar. Por Resolución de 17 de noviembre de 1989 del Centro Provincial de Reclutamiento de Cáceres se denegó dicha solicitud en virtud de la Disposición transitoria novena del Real Decreto 611/1986, de 21 de marzo, que desarrolla la Ley 19/1984. Contra dicha Resolución fue formulado recurso de alzada ante la Dirección General de Personal del Ministerio de Defensa, que fue desestimado por silencio administrativo. </w:t>
      </w:r>
    </w:p>
    <w:p w:rsidR="00A12D44" w:rsidRDefault="00A12D44" w:rsidP="00A12D44">
      <w:pPr>
        <w:pStyle w:val="TextoNormal"/>
      </w:pPr>
      <w:r>
        <w:t xml:space="preserve">B) Contra las citadas Resoluciones se interpuso recurso contencioso- administrativo, siendo estimado por Sentencia de la Sala de dicha jurisdicción del T.S.J. de Extremadura de 2 de abril de 1990. </w:t>
      </w:r>
    </w:p>
    <w:p w:rsidR="00A12D44" w:rsidRDefault="00A12D44" w:rsidP="00A12D44">
      <w:pPr>
        <w:pStyle w:val="TextoNormal"/>
      </w:pPr>
      <w:r>
        <w:t>Formulado recurso de apelación por el Abogado del Estado, fue estimado por Sentencia de la Sección Séptima de la Sala Tercera del Tribunal Supremo, de 18 de abril de 1991, que revocó la Sentencia de instancia.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Según el demandande, la Disposición transitoria novena del Real Decreto 611/1986 que le ha sido aplicada para denegar la reducción del período del servicio en filas a seis meses, está en contra de lo previsto en el art. 28.4 de la Ley 19/1984, al establecer una limitación no prevista en la citada Ley, conculcándose el principio de igualdad garantizado en el art. 14 C.E. por varios motivos. </w:t>
      </w:r>
    </w:p>
    <w:p w:rsidR="00A12D44" w:rsidRDefault="00A12D44" w:rsidP="00A12D44">
      <w:pPr>
        <w:pStyle w:val="TextoNormal"/>
      </w:pPr>
      <w:r>
        <w:t xml:space="preserve">En primer término por exclusión reglamentaria de un derecho reconocido en la Ley. En segundo lugar, por discriminación injustificada dentro del mismo Reglamento, según la </w:t>
      </w:r>
      <w:r>
        <w:lastRenderedPageBreak/>
        <w:t>clase de prórroga. En tercer lugar, por discriminación injustificada respecto a los objetores de conciencia, pues los que pidieron prórroga de segunda clase el año en que cumplieron veintiséis años de edad y luego solicitaron y fueron reconocidos objetores de conciencia, tienen derecho a la reducción del tiempo de permanencia en el servicio social sustitutorio. Finalmente, debido a que a otros soldados en la misma situación de edad y prórrogas que el demandante, la Administración les concedió la reducción del servicio militar.</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6 de diciembre de 1991, se concedió un plazo común de diez días al solicitante de amparo y al Ministerio Fiscal para la formulación de alegaciones sobre la posible falta de contenido constitucional de la demanda. </w:t>
      </w:r>
    </w:p>
    <w:p w:rsidR="00A12D44" w:rsidRDefault="00A12D44" w:rsidP="00A12D44">
      <w:pPr>
        <w:pStyle w:val="TextoNormal"/>
      </w:pPr>
      <w:r>
        <w:t xml:space="preserve">En su escrito de alegaciones, el solicitante de amparo insiste en que la Administración, al denegar la reducción del tiempo de permanencia en filas, ha violado el principio de igualdad por las razones expuestas en la demanda y que ahora se ratifican. </w:t>
      </w:r>
    </w:p>
    <w:p w:rsidR="00A12D44" w:rsidRDefault="00A12D44" w:rsidP="00A12D44">
      <w:pPr>
        <w:pStyle w:val="TextoNormal"/>
      </w:pPr>
      <w:r>
        <w:t>El Ministerio Fiscal interesa la inadmisión de la demanda por considerar que no se ha producido una desigualdad lesiva del art. 14 C.E. La pretendida legalidad del reglamento ha sido negada por el órgano que correspondo enjuiciarla, juicio de legalidad que no cabe ser revisado en este proceso. Tampoco cabe hablar de desigualdad a consecuencia del incidente en el tiempo de un cambio de normativa. Ni la objeción de conciencia es un supuesto equiparable al servicio militar.</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Carece la demanda de contenido constitucional no dándose ninguna de las lesiones del art. 14 C.E. invocadas, como examinaremos a continuación.</w:t>
      </w:r>
    </w:p>
    <w:p w:rsidR="00A12D44" w:rsidRDefault="00A12D44" w:rsidP="00A12D44">
      <w:pPr>
        <w:pStyle w:val="TextoNormal"/>
      </w:pPr>
      <w:r>
        <w:t>El art. 28.4 de la Ley 19/1984, de 19 de junio, Reguladora del Servicio Militar, dispone que «reglamentariamente se determinará la reducción del período en filas para aquellos que no lo hayan prestado antes de cumplir los veintiocho años de edad». En cumplimiento de este mandato legal, el apartado b) del art. 218 del Real Decreto 611/1986, de 21 de marzo, por el que se aprueba el Reglamento de la Ley 19/1984, reconoce la posibilidad de que la duración del servicio en filas se reduzca a seis meses por tener veintocho o más años de edad, pero dicha disposición no es aplicable para quienes demoren su incorporación a filas por haber disfrutado de prórrogas de segunda clase.  Así.  el art. 90 apartado b) del mencionado Reglamento, subordina la obtención de la prórroga de segunda clase a no cumplir en el año de la solicitud veintiséis años de edad o más, y en el caso de que se solicite con veinticinco años dispone que la incorporación se efectuará obligatoriamente con el primer llamamiento o reemplazo que corresponda. Este precepto hay que ponerlo en relación con el art. 94 que, como excepción a la duración de las prórrogas de segunda clase y de sus ampliaciones, preceptúa que la ampliación solicitada el año en que el interesado cumpla veinticinco años se concederá necesariamente por un año. Finalmente, la Disposición transitoria novena del citado Reglamento establece que «para los que a la entrada en vigor del presente Real Decreto se encuentren disfrutando de prórroga de segunda clase o ampliación de la misma, la edad que figura en la condición b) del art. 90 del Reglamento será de veintisiete años, pero no les será de aplicación la reducción prevista en el apartado b) del art. 218».</w:t>
      </w:r>
    </w:p>
    <w:p w:rsidR="00A12D44" w:rsidRDefault="00A12D44" w:rsidP="00A12D44">
      <w:pPr>
        <w:pStyle w:val="TextoNormal"/>
      </w:pPr>
      <w:r>
        <w:t xml:space="preserve">Al demandante de amparo, al solicitar y concedérsele la última prórroga de segunda clase en el año en que cumplía veintiséis años de edad, excepcionando la limitación a veinticinco años del art. 90, le fue de aplicación la anteriormente mencionada Disposición </w:t>
      </w:r>
      <w:r>
        <w:lastRenderedPageBreak/>
        <w:t>transitoria, y al acogerse a dicha excepción, se le aplicaba automáticamente la exclusión de la posibilidad de reducir el período de permanencia en filas a seis meses.</w:t>
      </w:r>
    </w:p>
    <w:p w:rsidR="00A12D44" w:rsidRDefault="00A12D44" w:rsidP="00A12D44">
      <w:pPr>
        <w:pStyle w:val="TextoNormal"/>
      </w:pPr>
      <w:r>
        <w:t>En la demanda se afirma, como ya se hizo en la vía judicial previa, que existe violación del principio de igualdad por exclusión reglamentaria de un derecho reconocido por la Ley. Tiene razón el Ministerio Fiscal cuando afirma que el tema de si existió o no habilitación legal al respecto para la norma reglamentaria supone un juicio de legalidad que corresponde sólo y en exclusiva a los Tribunales ordinarios y sobre el que no corresponde entrar a este Tribunal Constitucional. Al haber sido adverso a las pretensiones del recurren- te el razonado juicio de legalidad realizado por el órgano competente para ello, cae por su base toda la argumentación de la demanda relativa a la invocada exclusión reglamentaria del derecho reconocido por la ley.</w:t>
      </w:r>
    </w:p>
    <w:p w:rsidR="00A12D44" w:rsidRDefault="00A12D44" w:rsidP="00A12D44">
      <w:pPr>
        <w:pStyle w:val="TextoNormal"/>
      </w:pPr>
    </w:p>
    <w:p w:rsidR="00A12D44" w:rsidRDefault="00A12D44" w:rsidP="00A12D44">
      <w:pPr>
        <w:pStyle w:val="TextoNormal"/>
      </w:pPr>
      <w:r w:rsidRPr="00A12D44">
        <w:rPr>
          <w:rStyle w:val="NumeroAFNegritaCaracter"/>
        </w:rPr>
        <w:t>2</w:t>
      </w:r>
      <w:r>
        <w:t>. Por otro lado, no cabe afirmar que la Disposición transitoria novena del Reglamento introduzca una discriminación contraria al principio constitucional de igualdad, con sagrado en el art. 14 C.E., por ninguno de los motivos invocados por el demandante, pues no son términos de comparación adecuados el tratamiento que reciben a estos efectos los que disfrutan de otras clases de prórrogas, ni los objetores de conciencia, con una regulación específica, ni tampoco afecta al mencionado derecho el hecho de que en algunos supuestos la Administración haya concedido la reducción del servicio militar a personas en las mismas condiciones que el demandante, ya que reiteradamente ha manifestado este Tribunal, el principio de igualdad sólo opera dentro de la legalidad, que es la declarada por el órgano judicial.</w:t>
      </w:r>
    </w:p>
    <w:p w:rsidR="00A12D44" w:rsidRDefault="00A12D44" w:rsidP="00A12D44">
      <w:pPr>
        <w:pStyle w:val="TextoNormal"/>
      </w:pPr>
      <w:r>
        <w:t>Pero es que la Disposición en cuestión no sólo no vulnera el principio de igualdad, sino que tiende a preservarlo, a fin de evitar que, a través de las sucesivas ampliaciones de la prórroga de segunda clase, se pueda obtener arbitrariamente una reducción en la duración del servicio militar respecto a los demás obligados a su cumplimiento.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de amparo.</w:t>
      </w:r>
    </w:p>
    <w:p w:rsidR="00A12D44" w:rsidRDefault="00A12D44" w:rsidP="00A12D44">
      <w:pPr>
        <w:pStyle w:val="TextoNormal"/>
      </w:pPr>
    </w:p>
    <w:p w:rsidR="00A12D44" w:rsidRDefault="00A12D44" w:rsidP="00A12D44">
      <w:pPr>
        <w:pStyle w:val="TextoNormal"/>
      </w:pPr>
      <w:r>
        <w:t>Madrid, a diez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0" w:name="AUTO_1992_39"/>
      <w:r>
        <w:lastRenderedPageBreak/>
        <w:t>AUTO 39/1992, de 10 de febrero de 1992</w:t>
      </w:r>
    </w:p>
    <w:bookmarkEnd w:id="110"/>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ECLI:ES:TC:1992:39A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Desestimando recurso de súplica contra providencia de 5 de diciembre de 1991, dictada en el recurso de amparo 2.427/1991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1" w:name="AUTO_1992_40"/>
      <w:r>
        <w:lastRenderedPageBreak/>
        <w:t>AUTO 40/1992, de 12 de febrero de 1992</w:t>
      </w:r>
    </w:p>
    <w:bookmarkEnd w:id="111"/>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ECLI:ES:TC:1992:40A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991/1991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que tuvo entrada en este Tribunal el día 16 de mayo de 1991, don Luciano Rosch Nadal, en nombre y representación de doña María Duque de Estrada Martorell y de doña María Auxiliadora Zaforteza Duque de Estrada, interpone recurso de amparo contra la Sentencia de la Sala Tercera del Tribunal Supremo, de 25 de marzo de 1991, y contra los Acuerdos del Presidente del Instituto Andaluz de Reforma Agraria (IARA) y del Consejero de Agricultura y Pesca de la Junta de Andalucía.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basa, en síntesis, en los siguientes hechos: </w:t>
      </w:r>
    </w:p>
    <w:p w:rsidR="00A12D44" w:rsidRDefault="00A12D44" w:rsidP="00A12D44">
      <w:pPr>
        <w:pStyle w:val="TextoNormal"/>
      </w:pPr>
      <w:r>
        <w:t xml:space="preserve">a) Por Decreto autonómico 323/1984, la Comarca de la Vega de Córdoba fue declarada de Reforma Agraria, con la consiguiente obligación para los propietarios de fincas de extensión igual o superior a 50 hectáreas de regadío, 300 de secano y 500 de pastos y montes, de declarar los aprovechamientos de los últimos cinco años. </w:t>
      </w:r>
    </w:p>
    <w:p w:rsidR="00A12D44" w:rsidRDefault="00A12D44" w:rsidP="00A12D44">
      <w:pPr>
        <w:pStyle w:val="TextoNormal"/>
      </w:pPr>
      <w:r>
        <w:t xml:space="preserve">b) El 14 de junio de 1985 se publicó en el «Boletín Oficial de la Provincia» la Resolución del Presidente del IARA conteniendo la lista de los titulares de las referidas explotaciones que habían presentado la declaración y la de los que teniendo obligación de declarar no lo habían hecho. En este segundo grupo se encontraba una de las dos recurrentes, doña María Duque de Estrada. </w:t>
      </w:r>
    </w:p>
    <w:p w:rsidR="00A12D44" w:rsidRDefault="00A12D44" w:rsidP="00A12D44">
      <w:pPr>
        <w:pStyle w:val="TextoNormal"/>
      </w:pPr>
      <w:r>
        <w:t xml:space="preserve">c) Contra dicha resolución interpuso doña María Duque de Estrada recurso de alzada argumentando que su finca no alcanzaba la superficie mínima exigida por el Decreto 323/1984, por tener sólo 289 hectáreas. El recurso de alzada fue desestimado por la Consejería de Agricultura y Pesca de la Comunidad Autónoma, de acuerdo con el Informe del IARA en el que se decía que la finca de la recurrente formaba con la de su sobrina una «única explotación agrícola» en el sentido del art. 12 del Reglamento de Reforma Agraria, aun estando formada por dos fincas con titulares independientes. </w:t>
      </w:r>
    </w:p>
    <w:p w:rsidR="00A12D44" w:rsidRDefault="00A12D44" w:rsidP="00A12D44">
      <w:pPr>
        <w:pStyle w:val="TextoNormal"/>
      </w:pPr>
      <w:r>
        <w:t xml:space="preserve">d) Contra dicha resolución interpuso doña María Duque de Estrada recurso contencioso-administrativo que fue estimado por Sentencia de la Sala de lo Contencioso-Administrativo del Tribunal Superior de Justicia de Andalucía (Sevilla), de 3 de febrero de 1989, que anuló los Acuerdos impugnados por existir una infracción del procedimiento consistente en no haber dado audiencia a la titular de una de las fincas integrantes de la explotación agraria a la que dichas resoluciones se refieren. </w:t>
      </w:r>
    </w:p>
    <w:p w:rsidR="00A12D44" w:rsidRDefault="00A12D44" w:rsidP="00A12D44">
      <w:pPr>
        <w:pStyle w:val="TextoNormal"/>
      </w:pPr>
      <w:r>
        <w:lastRenderedPageBreak/>
        <w:t>e) Contra esta Sentencia la Consejería de la Presidencia de la Junta de Andalucía interpuso recurso de apelación que fue estimado en la Sentencia del Tribunal Supremo de 25 de marzo de 1991 que es ahora objeto de recurso de amparo.</w:t>
      </w:r>
    </w:p>
    <w:p w:rsidR="00A12D44" w:rsidRDefault="00A12D44" w:rsidP="00A12D44">
      <w:pPr>
        <w:pStyle w:val="TextoNormal"/>
      </w:pPr>
    </w:p>
    <w:p w:rsidR="00A12D44" w:rsidRDefault="00A12D44" w:rsidP="00A12D44">
      <w:pPr>
        <w:pStyle w:val="TextoNormal"/>
      </w:pPr>
      <w:r w:rsidRPr="00A12D44">
        <w:rPr>
          <w:rStyle w:val="NumeroAFNegritaCaracter"/>
        </w:rPr>
        <w:t>3</w:t>
      </w:r>
      <w:r>
        <w:t>. Las recurrentes estiman que la Sentencia del Tribunal Supremo, en cuanto confirma los Acuerdos del IARA y de la Consejería de Agricultura y Pesca, infringe el art. 24.1 de la Constitución en relación con el 14 de la misma. Se ha lesionado el derecho a la tutela judicial efectiva de doña María Auxiliadora Zaforteza, que no ha podido acudir a los Tribunales contra un acto que le afecta directamente y que no ha sido publicado ni se le ha notificado. En efecto, cuando se publica la lista de afectados por la reforma agraria no aparece ni la explotación ni el nombre de doña María Auxiliadora. Igualmente se ha vulnerado su derecho de defensa porque no ha sido oída en vía administrativa (procedimiento y recurso de alzada) ni en el proceso contencioso, pues ni fue emplazada en el recurso de primera instancia ni se le ha notificado la Sentencia impugnada. En cuanto al art. 14 C.E., se dice que doña María Auxiliadora ha sido discriminada por no aparecer en la lista de afectados por la reforma agraria y que ese trato diferente e injustificado ha sido la causa de la indefensión y de la lesión al derecho a la tutela judicial efectiva.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27 de mayo de 199 1, la Sección acordó, de conformidad con lo dispuesto en el art. 50.5 LOTC, conceder un plazo de diez días al Procurador de las actoras para que dentro de dicho plazo presentase: a) el poder que acredita su representación; b) las copias correspondientes de las Sentencias recurridas, y c) certificación acreditativa de la fecha de notificación de la última Sentencia recurrida. Por escrito presentado el 7 de junio de 1991, el citado Procurador dio cumplimiento a lo proveído.</w:t>
      </w:r>
    </w:p>
    <w:p w:rsidR="00A12D44" w:rsidRDefault="00A12D44" w:rsidP="00A12D44">
      <w:pPr>
        <w:pStyle w:val="TextoNormal"/>
      </w:pPr>
    </w:p>
    <w:p w:rsidR="00A12D44" w:rsidRDefault="00A12D44" w:rsidP="00A12D44">
      <w:pPr>
        <w:pStyle w:val="TextoNormal"/>
      </w:pPr>
      <w:r w:rsidRPr="00A12D44">
        <w:rPr>
          <w:rStyle w:val="NumeroAFNegritaCaracter"/>
        </w:rPr>
        <w:t>5</w:t>
      </w:r>
      <w:r>
        <w:t>. Por providencia de 14 de octubre de 1991, la Sección acordó tener por recibido el precedente escrito del Procurador señor Rosch Nadal y, a tenor de lo dispuesto en el art. 50.3 LOTC, conceder un plazo común de diez días al Ministerio Fiscal y a las solicitantes del amparo, para que dentro de dicho término aleguen lo que estimen pertinente en relación con la posible existencia del motivo de inadmisión previsto en el art. 50.1 c) LOTC, consistente en la falta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En su escrito de alegaciones, presentado el 28 de octubre de 1991,el Ministerio Fiscal pone de manifiesto en primer lugar la concurrencia de la causa de inadmisión prevista en el art. 46.1 a) LOTC, consistente en la falta de legitimación de una de las recurrentes, doña María Duque de Estrada Martorell, porque no acciona un derecho propio sino de su sobrina, ya que la demanda se limita a denunciar la indefensión supuestamente sufrida por su sobrina y no por ella. En consecuencia, no puede ser tenida por parte procesal, ya que, según constante doctrina de este Tribunal, en un recurso de amparo sólo pueden accionarse derechos propios (STC 141/1985). </w:t>
      </w:r>
    </w:p>
    <w:p w:rsidR="00A12D44" w:rsidRDefault="00A12D44" w:rsidP="00A12D44">
      <w:pPr>
        <w:pStyle w:val="TextoNormal"/>
      </w:pPr>
      <w:r>
        <w:t xml:space="preserve">Respecto de la otra recurrente, se advierte también la falta de ligitimación, puesto que no fue parte en el proceso previo en ninguna de sus etapas, pero, sobre todo, que no agoto la vía judicial oportuna. Esto por lo que se refiere a los Acuerdos expropiatorios. En cuanto a la indefensión derivada de su no emplazamiento en el recurso judicial, hay que tener presente que la L.J.C.A. no contiene previsión alguna para el emplazamiento de posibles recurrentes, a diferencia de lo que ocurre con los posibles codemandados. </w:t>
      </w:r>
    </w:p>
    <w:p w:rsidR="00A12D44" w:rsidRDefault="00A12D44" w:rsidP="00A12D44">
      <w:pPr>
        <w:pStyle w:val="TextoNormal"/>
      </w:pPr>
      <w:r>
        <w:lastRenderedPageBreak/>
        <w:t xml:space="preserve">Con independencia de ello, es de apreciar la falta de contenido constitucional del presente recurso de amparo. Respecto de la audiencia en los expedientes administrativos, salvo en los sancionadores, y éste no es el caso, no constituye omisión de relevancia constitucional. Se trata de un defecto que hay que corregir en vía ordinaria; si en ésta se resuelve de modo razonado en Derecho, no cabrá reiterar tal queja en esta sede (ATC 278/1988). En cuanto a la omisión en la vía judicial, resulta difícil aceptar que haya habido por parte de la recurrente un efectivo desconocimiento de estos actos que le haya impedido la defensa de sus derechos o intereses, esto es, una indefensión material. En el presente caso se trata de una sola finca con una explotación única (la STC 182/1987 sostuvo el conocimiento del proceso por vecindad), cuyos titulares son parientes (el parentesco ha sido tenido como factor de exclusión del desconocimiento alegado de un proceso, STC 31/1989). Además, los poderes notariales ponen de relieve que las dos recurrentes otorgaron su representación judicial al mismo Procurador después de los Acuerdos expropiatorios y antes de la reclamación judicial. Por todo ello, no cabe admitir que la recurrente ignorase el expediente expropiatorio y el recurso contencioso-administrativo. </w:t>
      </w:r>
    </w:p>
    <w:p w:rsidR="00A12D44" w:rsidRDefault="00A12D44" w:rsidP="00A12D44">
      <w:pPr>
        <w:pStyle w:val="TextoNormal"/>
      </w:pPr>
      <w:r>
        <w:t>Finalmente, sostiene el Ministerio Fiscal que la alegación de desigualdad está fuera de lugar, pues la omisión del trámite de audiencia constituiría, en su caso, una infracción en sí misma y nunca una discriminación porque en otros casos se hubiera observado.</w:t>
      </w:r>
    </w:p>
    <w:p w:rsidR="00A12D44" w:rsidRDefault="00A12D44" w:rsidP="00A12D44">
      <w:pPr>
        <w:pStyle w:val="TextoNormal"/>
      </w:pPr>
    </w:p>
    <w:p w:rsidR="00A12D44" w:rsidRDefault="00A12D44" w:rsidP="00A12D44">
      <w:pPr>
        <w:pStyle w:val="TextoNormal"/>
      </w:pPr>
      <w:r w:rsidRPr="00A12D44">
        <w:rPr>
          <w:rStyle w:val="NumeroAFNegritaCaracter"/>
        </w:rPr>
        <w:t>7</w:t>
      </w:r>
      <w:r>
        <w:t>. En su escrito de alegaciones, presentado el 30 de octubre de 1991, la representación de las actoras vuelve a reiterar todas y cada una de las omisiones cometidas respecto de doña María Auxiliadora Zaforteza en el expediente administrativo y en el proceso contencioso. Concluye que es evidente que se han lesionado los derechos consagrados en el art. 24.1 C.E. cuando la Sentencia del Tribunal Supremo, recurrida en amparo, declara que su finca estaba sometida a reforma agraria, sin que haya podido ser parte en el proceso en el que recayó la misma.</w:t>
      </w:r>
    </w:p>
    <w:p w:rsidR="00A12D44" w:rsidRDefault="00A12D44" w:rsidP="00A12D44">
      <w:pPr>
        <w:pStyle w:val="TextoNormal"/>
      </w:pPr>
    </w:p>
    <w:p w:rsidR="00A12D44" w:rsidRDefault="00A12D44" w:rsidP="00A12D44">
      <w:pPr>
        <w:pStyle w:val="TextoNormal"/>
      </w:pPr>
      <w:r w:rsidRPr="00A12D44">
        <w:rPr>
          <w:rStyle w:val="NumeroAFNegritaCaracter"/>
        </w:rPr>
        <w:t>8</w:t>
      </w:r>
      <w:r>
        <w:t>. Por providencia de 10 de diciembre de 1991, la Sección acuerda tener por recibidos los escritos de alegaciones del Ministerio Fiscal y de las actoras, y a la vista de lo alegado por el primero, a tenor de lo dispuesto en el art. 46.1 a), en relación con el art. 50.3, ambos de la LOTC, conceder un plazo de diez días a la representación de la recurrente doña María Duque de Estrada Martorell, para que alegue sobre la posible falta de legitimación para interponer ella este recurso de amparo en defensa de los derechos fundamentales no suyos, sino de su sobrina, la señora Zaforteza Duque de Estrada.</w:t>
      </w:r>
    </w:p>
    <w:p w:rsidR="00A12D44" w:rsidRDefault="00A12D44" w:rsidP="00A12D44">
      <w:pPr>
        <w:pStyle w:val="TextoNormal"/>
      </w:pPr>
    </w:p>
    <w:p w:rsidR="00A12D44" w:rsidRDefault="00A12D44" w:rsidP="00A12D44">
      <w:pPr>
        <w:pStyle w:val="TextoNormal"/>
      </w:pPr>
      <w:r w:rsidRPr="00A12D44">
        <w:rPr>
          <w:rStyle w:val="NumeroAFNegritaCaracter"/>
        </w:rPr>
        <w:t>9</w:t>
      </w:r>
      <w:r>
        <w:t>. En el escrito registrado en este Tribunal el 20 de diciembre de 1991, la representación de las recurrentes alega que doña María Duque de Estrada Martorell tiene interés legítimo en que prospere el recurso de amparo de su sobrina, ya que ello afectaría directamente a que su finca estuviese o no afectada por la reforma agraria, ya que por su extensión no lo está, pero podría estarlo de considerarla una sola explotación conjunta con la de su sobrina. Además ha sido parte en los procesos en que se ha producido la vulneración de los derechos fundamentales.</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Examinadas las alegaciones presentadas por el Ministerio Fiscal y las recurrentes, debemos declarar que concurren las causas de inadmisión puestas de manifiesto en nuestras providencias de 14 de octubre y 10 de diciembre de 1991.</w:t>
      </w:r>
    </w:p>
    <w:p w:rsidR="00A12D44" w:rsidRDefault="00A12D44" w:rsidP="00A12D44">
      <w:pPr>
        <w:pStyle w:val="TextoNormal"/>
      </w:pPr>
      <w:r>
        <w:t>Doña María Duque de Estrada Martorell carece de legitimación para interponer el presente recurso de amparo [art. 46.1 a) LOTC]. Como este Tribunal ha declarado, la legitimación para interponer el recurso de amparo constitucional corresponde a la persona directamente afectada (dejando de lado la excepcional legitimación que se atribuye a algunos órganos públicos), y por persona afectada hay que entender al titular del derecho subjetivo vulnerado o presuntamente vulnerado (STC 141/1985). En el presente caso, la titular de los derechos supuestamente vulnerados es sólo y exclusivamente doña María Auxiliadora Zaforteza Duque de Estrada, que no fue parte ni en el procedimiento administrativo ni en el proceso contencioso. La hipotética lesión de los derechos de acceso a los Tribunales y defensa de doña María Auxiliadora Zaforteza Duque de Estrada no afecta a doña María Duque de Estrada, salvo en lo que la denunciada omisión de las debidas notificaciones hubiera podido incidir en la declaración de nulidad del acto administrativo por vicios procedimentales, pero ésta es una cuestión de legalidad ordinaria que ha sido revisada y desestimada en el proceso en el que doña María Duque de Estrada ha sido parte.</w:t>
      </w:r>
    </w:p>
    <w:p w:rsidR="00A12D44" w:rsidRDefault="00A12D44" w:rsidP="00A12D44">
      <w:pPr>
        <w:pStyle w:val="TextoNormal"/>
      </w:pPr>
    </w:p>
    <w:p w:rsidR="00A12D44" w:rsidRDefault="00A12D44" w:rsidP="00A12D44">
      <w:pPr>
        <w:pStyle w:val="TextoNormal"/>
      </w:pPr>
      <w:r w:rsidRPr="00A12D44">
        <w:rPr>
          <w:rStyle w:val="NumeroAFNegritaCaracter"/>
        </w:rPr>
        <w:t>2</w:t>
      </w:r>
      <w:r>
        <w:t>. En cuanto a la otra recurrente, doña María Auxiliadora Zaforteza Duque de Estrada, su demanda carece de contenido constitucional. En cuanto al art. 14 C.E., su queja carece de consistencia, pues de haberse producido indefensión por la omisión del trámite de audiencia ésta sería constitutiva de una infracción en sí misma, pero no de discriminación por el hecho de que respecto de otras personas sí se hubiese cumplido el trámite. Por lo que se refiere al art. 24 C.E., al margen de que resulta poco creíble que la demandante no haya tenido conocimiento efectivo del procedimiento de reforma agraria ni de los ulteriores recursos hasta que ha conocido la Sentencia del Tribunal Supremo que ahora recurre, dado su parentesco con doña María Duque de Estrada Martorell, su demanda carece de contenido constitucional, pues nada ni nadie le ha cerrado el acceso a los Tribunales ni el ejercicio de su derecho a la defensa. En efecto, nada le impide recurrir el acto administrativo desde el momento en que tiene conocimiento del mismo, pues aunque es verdad que la Sentencia del Tribunal Supremo se ha pronunciado sobre el fondo, en cuanto que es desestimatoria, los efectos de cosa juzgada no le alcanzan a ella, que no fue parte en el proceso (art. 86.1 L.J.C.A.). Por esta razón se explica que la recurrente no haya sido emplazada en el proceso contencioso instado por su tía, pues tratándose de copropietarias, al haber sido ejercitada la acción por una de ellas sólo en su propio nombre, resulta innecesaria la presencia de la otra propietaria, toda vez que la eficacia de la Sentencia queda limitada, respecto de los que no fueron parte en el pleito, solamente en lo que les favorece sin que lo adverso les perjudique (art. 86 L.J.C.A.), por lo que no es cierto que haya sufrido indefensión. En último término, lo que se plantea por la recurrente no emplazada es que éste es un supuesto de litisconsorcio necesario activo, planteamiento que debe ser rechazado pues no está previsto ni, por lo tanto, impuesto ni en la L.J.C.A. ni en ninguna ley material. Sólo podría sostenerse que hay litisconsorcio activo necesario si fuese una derivación del art. 24 C.E., lo que no es el caso, pues como se ha visto, el alcance de la cosa juzgada impide hablar de indefensión.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doce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2" w:name="AUTO_1992_41"/>
      <w:r>
        <w:lastRenderedPageBreak/>
        <w:t>AUTO 41/1992, de 12 de febrero de 1992</w:t>
      </w:r>
    </w:p>
    <w:bookmarkEnd w:id="112"/>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ECLI:ES:TC:1992:41A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1.661/1991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3" w:name="AUTO_1992_42"/>
      <w:r>
        <w:lastRenderedPageBreak/>
        <w:t>AUTO 42/1992, de 12 de febrero de 1992</w:t>
      </w:r>
    </w:p>
    <w:bookmarkEnd w:id="113"/>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ECLI:ES:TC:1992:42A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2.155/1991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José Ignacio de Noriega Arquer, en nombre y representación de doña Espe- ranza Martínez-Conde Martínez-Conde, interpone recurso de amparo, con fecha 25 de octubre de 1991, contra la Sentencia de la Sección Sexta de la Sala de lo Contencioso-Administrativo del Tribunal Superior de Justicia de Madrid, de 17 de julio de 1991 (notificada el 1 de octubre), que desestima el recurso interpuesto contra el Acuerdo del Consejo del Departamento de Ecología de la Universidad Complutense de Madrid, de 14 de junio de 1989, que deniega a la recurrente la docencia teórica de Ecología, y contra el Rectorado de la Universidad Complutense, de 5 de octubre de 1989, que desestimó el recurso de reposición contra el anterior.</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los siguientes antecedentes: </w:t>
      </w:r>
    </w:p>
    <w:p w:rsidR="00A12D44" w:rsidRDefault="00A12D44" w:rsidP="00A12D44">
      <w:pPr>
        <w:pStyle w:val="TextoNormal"/>
      </w:pPr>
      <w:r>
        <w:t xml:space="preserve">a) El Consejo del Departamento de Ecología de la Facultad de Ciencias Biológicas de la Universidad Complutense de Madrid. con fecha 14 de junio de 1989 denegó a la ahora recurrente, Profesora titular de Ecología y adscrita al Departamento del mismo nombre, su solicitud para impartir docencia teórica en la asignatura de Ecología en lugar de la de Biología General que venía impartiendo en el primer ciclo de la licenciatura. Tanto el Director del Departamento como el Decano de la Facultad estiman que la recurrente «no tiene preparación en Ecología y no ha impartido nunca clases en esa disciplina». </w:t>
      </w:r>
    </w:p>
    <w:p w:rsidR="00A12D44" w:rsidRDefault="00A12D44" w:rsidP="00A12D44">
      <w:pPr>
        <w:pStyle w:val="TextoNormal"/>
      </w:pPr>
      <w:r>
        <w:t xml:space="preserve">b) Contra dicho Acuerdo interpuso recurso de alzada, desestimado por el Rector de la Universidad Complutense con fecha 5 de octubre de 1989. </w:t>
      </w:r>
    </w:p>
    <w:p w:rsidR="00A12D44" w:rsidRDefault="00A12D44" w:rsidP="00A12D44">
      <w:pPr>
        <w:pStyle w:val="TextoNormal"/>
      </w:pPr>
      <w:r>
        <w:t xml:space="preserve">c) Interpuesto recurso contencioso-administrativo, el Tribunal Superior de Justicia de Madrid lo desestimó, con fecha 17 de julio. Tras señalar que no puede entrar en el juicio sobre la capacidad técnica de la recurrente para la docencia de la mencionada asignatura, y que el art. 103.4 de los Estatutos de la Universidad Complutense establecen, para resolver los conflictos de adjudicaciones entre el profesorado, que «tendrá prioridad el de mayor categoría, dedicación y antigüedad», concluye afirmando que «la libertad de cátedra... no supone que cada profesor de un Departamento tenga derecho a impartir la disciplina que desee de las incluidas en el mismo sin ajustarse a las prioridades establecidas en los Estatutos de la Universidad; por ello no se atenta a la libertad de cátedra al decidir que un profesor no puede impartir clases en una disciplina concreta... cuando hay otros docentes </w:t>
      </w:r>
      <w:r>
        <w:lastRenderedPageBreak/>
        <w:t xml:space="preserve">con,más derecho a ello y la distribución de asignaturas es por otra parte necesaria para el buen funcionamiento del Departamento». </w:t>
      </w:r>
    </w:p>
    <w:p w:rsidR="00A12D44" w:rsidRDefault="00A12D44" w:rsidP="00A12D44">
      <w:pPr>
        <w:pStyle w:val="TextoNormal"/>
      </w:pPr>
      <w:r>
        <w:t>La recurrente considera que es contenido de la libertad de cátedra del art. 20.1 c) C.E. el derecho de cada docente a elegir la asignatura concreta a impartir, dentro de su área de conocimiento, y que esta libertad de los docentes «no puede ser excepcionada en aras de injustificadas apreciaciones subjetivas del Director de un Departamento o del Decano de una Facultad».</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4 de noviembre de 1991, la Sección acordó tener por interpuesto el recurso de amparo y solicitar la remisión íntegra de la Sentencia recurrida. Por nueva providencia de 13 de enero de 1992 la Sección acordó, a tenor de lo dispuesto en el art. 50.3 de la LOTC, conceder un plazo común de diez días al Ministerio Fiscal y a la solicitante del amparo para que aleguen lo que estimen pertinente en relación con la posible existencia de la causa de inadmisión prevista en el art. 50.1 c) LOTC: carecer la demanda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4</w:t>
      </w:r>
      <w:r>
        <w:t>. Con fecha 20 de enero de 1992 se recibe el escrito del Ministerio Fiscal en el que subraya la inconsistencia del planteamiento de la recurrente, ya que la libertad de cátedra exige como presupuesto para su ejercicio y eventual vulneración la cátedra, esto es, el puesto docente. No hay en el presente supuesto obstáculo alguno al desarrollo de la docencia, sino la denegación a que la recurrente explique una determinada asignatura en virtud de la aplicación de las disposiciones organizativas de la enseñanza universitaria. Es, pues, un problema de estricta legalidad ordinaria, sin implicaciones constitucionales; el de si la recurrente tiene derecho o no a desempeñar con preferencia a otros profesores una determinada disciplina académica, que fue resuelto dentro de la legalidad, sin que la recurrente oponga a dicha decisión más que la vulneración constitucional de la libertad de cátedra. Concluye solicitando, dada la manifiesta inconsistencia del recurso, su inadmisión mediante Auto en aplicación del art. 5 1.1 c) LOTC.</w:t>
      </w:r>
    </w:p>
    <w:p w:rsidR="00A12D44" w:rsidRDefault="00A12D44" w:rsidP="00A12D44">
      <w:pPr>
        <w:pStyle w:val="TextoNormal"/>
      </w:pPr>
    </w:p>
    <w:p w:rsidR="00A12D44" w:rsidRDefault="00A12D44" w:rsidP="00A12D44">
      <w:pPr>
        <w:pStyle w:val="TextoNormal"/>
      </w:pPr>
      <w:r w:rsidRPr="00A12D44">
        <w:rPr>
          <w:rStyle w:val="NumeroAFNegritaCaracter"/>
        </w:rPr>
        <w:t>5</w:t>
      </w:r>
      <w:r>
        <w:t>. Con fecha 29 de enero de 1992 se recibe el escrito del demandante, en el que se reafirma en sus alegaciones, de forma que la lesión de la libertad de cátedra se habría pro- *****************FALTA TEXTO ORIGINAL**************************** por el mero hecho de que se niegue a una Profesora titular universitaria impartir docencia en su asignatura, sin causa que justifique tal decisión denegatoria. No se trata por tanto. desde su punto de vista, de una cuestión relativa de mejor derecho a efecto de docencia, sino de un derecho absoluto: todos los Profesores titulares y Catedráticos de una disciplina universitaria tienen como ámbito de su libertad de cátedra el derecho a prestar docencia precisamente en aquella asignatura para la que obtuvieron su habilitación académica.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La pretensión central de la recurrente consiste en considerar que la libertad de cátedra del art. 20.1 c) C.E. implica el derecho de todos los Catedráticos y Profesores titulares de Universidad a ejercer la docencia específicamente en la asignatura para la que han obtenido la habilitación mediante la correspondiente oposición o concurso, y ello, aparentemente, con carácter absoluto, como un derecho que se debe imponer a las necesidades </w:t>
      </w:r>
      <w:r>
        <w:lastRenderedPageBreak/>
        <w:t>derivadas de la organización global del trabajo universitario que compete a los departamentos y de los propios derechos de los alumnos a cursar un ciclo completo de enseñanzas que lleven a la obtención de un título académico.  Frente a esa concepción, el Ministerio Fiscal considera que en modo alguno la recurrente ha sufrido vulneración en su derecho a la libertad de cátedra, no ha existido imposición alguna en su labor docente entendida como transmisión de saberes, sino simplemente la aplicación de una norma organizativa en virtud de la cual no le corresponde docencia en una determinada asignatura, lo que resulta ajeno a la libertad de cátedra y carece de implicaciones constitucionales.</w:t>
      </w:r>
    </w:p>
    <w:p w:rsidR="00A12D44" w:rsidRDefault="00A12D44" w:rsidP="00A12D44">
      <w:pPr>
        <w:pStyle w:val="TextoNormal"/>
      </w:pPr>
    </w:p>
    <w:p w:rsidR="00A12D44" w:rsidRDefault="00A12D44" w:rsidP="00A12D44">
      <w:pPr>
        <w:pStyle w:val="TextoNormal"/>
      </w:pPr>
      <w:r w:rsidRPr="00A12D44">
        <w:rPr>
          <w:rStyle w:val="NumeroAFNegritaCaracter"/>
        </w:rPr>
        <w:t>2</w:t>
      </w:r>
      <w:r>
        <w:t>. Para ponderar la consistencia constitucional de la demanda debe tenerse en cuenta que la libertad de cátedra, en cuanto libertad individual del docente, es una proyección de la libertad ideológica y religiosa y del derecho a difundir libremente los pensamientos, ideas y opciones de los docentes en el ejercicio de su función. Consiste, por tanto, en la posibilidad de expresar las ideas o convicciones que cada Profesor asume como propias en relación a la materia objeto de su enseñanza. En este aspecto, como derecho de cada docente, la libertad de cátedra tiene un contenido predominantemente negativo en cuanto (STC 5/1981) «habilita al docente a resistir cualquier mandato de dar a su enseñanza una orientación ideológica determinada», y es una noción incompatible con la existencia de cualquier doctrina oficial, ya que supone la no sujeción de la actividad docente a cualquier sistema de valores, salvo los consagrados por el propio orden jurídico constitucional.</w:t>
      </w:r>
    </w:p>
    <w:p w:rsidR="00A12D44" w:rsidRDefault="00A12D44" w:rsidP="00A12D44">
      <w:pPr>
        <w:pStyle w:val="TextoNormal"/>
      </w:pPr>
      <w:r>
        <w:t>Sin embargo, en la libertad de cátedra coexiste, junto a esa dimensión personal y de carácter preferentemente negativo, una dimensión institucional y de carácter positivo, de forma que, como han declarado las SSTC 26/1987 y 55/1989, la autonomía universitaria es la dimensión institucional de la libertad académica, que garantiza y completa su dimensión individual, constituida por la libertad de cátedra. De esta forma, la libertad de cátedra, como derecho individual de cada docente, presupone y precisa de la organización de la docencia e investigación atribuida a la propia Universidad en virtud de su autonomía, y, como ha declarado este Tribunal (ATC 457/1989), la libertad de cátedra no desapodera en modo alguno a los centros docentes de las competencias legalmente reconocidas para disciplinar la organización de la docencia», «de forma que las Universidades, en uso de la autonomía que la Constitución les reconoce. puede organizar la prestación de este servicio...  de la forma que juzguen más adecuada» (ATC 817/1985). En definitiva, la autonomía universitaria, una de cuyas plasmaciones es la capacidad de los órganos universitarios de organizar la prestación del servicio público, constituye al mismo tiempo la base y la garantía de la libertad de cátedra.</w:t>
      </w:r>
    </w:p>
    <w:p w:rsidR="00A12D44" w:rsidRDefault="00A12D44" w:rsidP="00A12D44">
      <w:pPr>
        <w:pStyle w:val="TextoNormal"/>
      </w:pPr>
    </w:p>
    <w:p w:rsidR="00A12D44" w:rsidRDefault="00A12D44" w:rsidP="00A12D44">
      <w:pPr>
        <w:pStyle w:val="TextoNormal"/>
      </w:pPr>
      <w:r w:rsidRPr="00A12D44">
        <w:rPr>
          <w:rStyle w:val="NumeroAFNegritaCaracter"/>
        </w:rPr>
        <w:t>3</w:t>
      </w:r>
      <w:r>
        <w:t>. Aplicando la doctrina expuesta al presente supuesto se hace necesario confirmar la causa de inadmisión vertida en nuestra providencia de 13 de enero de 1992, pues, como sostiene el Ministerio Fiscal, la demanda carece manifiestamente de contenido que justifique una decisión en forma de Sentencia por parte del Tribunal Constitucional, conforme a lo establecido en el art.  50.1 c) de su Ley Orgánica.</w:t>
      </w:r>
    </w:p>
    <w:p w:rsidR="00A12D44" w:rsidRDefault="00A12D44" w:rsidP="00A12D44">
      <w:pPr>
        <w:pStyle w:val="TextoNormal"/>
      </w:pPr>
      <w:r>
        <w:t>En efecto, el art. 8 de la L.R.U., tras definir los Departamentos universitarios como los órganos básicos encargados de organizar y desarrollar la investigación y enseñanza, y precisar que agrupa a todos los docentes cuyas especialidades se corresponden con el área, establece, en su párrafo tercero, que a ellos corresponde la articulación y coordinación de las enseñanzas y de las actividades investigadoras de las Universidades. Por su parte, el art. 103 de los Estatutos de la Universidad Complutense de Madrid establece en su párrafo cuarto el procedimiento de resolución de los conflictos de competencias entre el profeso</w:t>
      </w:r>
      <w:r>
        <w:lastRenderedPageBreak/>
        <w:t>rado, otorgando prioridad «al de mayor categoría, dedicación y antigüedad en el cuerpo», todo ello teniendo en cuenta que, según el art. 11 del Real Decreto 898/1985, los Profesores universitarios tendrán la obligación de impartir enseñanzas teóricas y prácticas en cualquier centro de la Universidad en materias de su área de conocimiento que figuren en planes de estudio conducentes a la obtención de títulos académicos.</w:t>
      </w:r>
    </w:p>
    <w:p w:rsidR="00A12D44" w:rsidRDefault="00A12D44" w:rsidP="00A12D44">
      <w:pPr>
        <w:pStyle w:val="TextoNormal"/>
      </w:pPr>
      <w:r>
        <w:t>Resulta, por tanto, evidente que los Departamentos universitarios tienen como una de sus funciones fundamentales garantizarlos derechos de los Profesores en su conjunto y los de los alumnos, en cuanto destinatarios del servicio público educativo. Es igualmente evidente que, en este sentido, una de sus principales actividades es la organización de la docencia en todos sus aspectos, lo que incluye la atribución de puestos docentes concretos, para cada año académico, entre los que se encuentran habilitados para ello, siguiendo ciertos criterios objetivamente predeterminados, como el expresado en relación a la Universidad Complutense.</w:t>
      </w:r>
    </w:p>
    <w:p w:rsidR="00A12D44" w:rsidRDefault="00A12D44" w:rsidP="00A12D44">
      <w:pPr>
        <w:pStyle w:val="TextoNormal"/>
      </w:pPr>
      <w:r>
        <w:t>La recurrente, sin alegar ninguna irregularidad en la aplicación de los criterios objetivos de atribución de puestos docentes, y a pesar de que nunca con anterioridad había ejercido docencia en la asignatura de Ecología, pretende derivar de la libertad de cátedra un derecho incondicionado a ejercer la docencia en aquella asignatura concreta dentro de su área de conocimiento en la que es Profesora titular. Es, sin embargo, evidente que la no concesión de tal plaza a la recurrente no supone vulneración alguna de la libertad de cátedra del art. 20 de la C.E.</w:t>
      </w:r>
    </w:p>
    <w:p w:rsidR="00A12D44" w:rsidRDefault="00A12D44" w:rsidP="00A12D44">
      <w:pPr>
        <w:pStyle w:val="TextoNormal"/>
      </w:pPr>
      <w:r>
        <w:t>Nos encontramos, por el contrario, en un momento lógica y cronológicamente anterior al ejercicio de la libertad de cátedra; la organización docente, competencia de los Departamentos universitarios, tiene el profundo sentido de hacer posible la propia libertad de cátedra del conjunto de los profesores, que según el art. 33.2 L.R.U. tienen «plena libertad docente e investigadora», y armonizarla con la plena y eficaz satisfacción del derecho a la educación de los alumnos, que exige que las disciplinas universitarias sean un conjunto ordenado de saberes que conduzcan a la obtención de un título académico. Es evidente que si admitiésemos la pretensión de la recurrente como contenido de la libertad de cátedra, podría resultar estéril cualquier pretensión organizativa de la docencia y dañado el derecho a la educación de los alumnos universitarios.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doce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4" w:name="AUTO_1992_43"/>
      <w:r>
        <w:lastRenderedPageBreak/>
        <w:t>AUTO 43/1992, de 12 de febrero de 1992</w:t>
      </w:r>
    </w:p>
    <w:bookmarkEnd w:id="114"/>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ECLI:ES:TC:1992:43A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condicionada de la ejecución del acto que origina el recurso de amparo 2.169/1991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5" w:name="AUTO_1992_44"/>
      <w:r>
        <w:lastRenderedPageBreak/>
        <w:t>AUTO 44/1992, de 12 de febrero de 1992</w:t>
      </w:r>
    </w:p>
    <w:bookmarkEnd w:id="115"/>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ECLI:ES:TC:1992:44A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2.174/1991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6" w:name="AUTO_1992_45"/>
      <w:r>
        <w:lastRenderedPageBreak/>
        <w:t>AUTO 45/1992, de 12 de febrero de 1992</w:t>
      </w:r>
    </w:p>
    <w:bookmarkEnd w:id="116"/>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ECLI:ES:TC:1992:45A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parcial de la ejecución del acto que origina el recurso de amparo 2.291/1991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7" w:name="AUTO_1992_46"/>
      <w:r>
        <w:lastRenderedPageBreak/>
        <w:t>AUTO 46/1992, de 12 de febrero de 1992</w:t>
      </w:r>
    </w:p>
    <w:bookmarkEnd w:id="117"/>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ECLI:ES:TC:1992:46A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condicionada de la ejecución del acto que origina el recurso de amparo 2.308/1991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8" w:name="AUTO_1992_47"/>
      <w:r>
        <w:lastRenderedPageBreak/>
        <w:t>AUTO 47/1992, de 12 de febrero de 1992</w:t>
      </w:r>
    </w:p>
    <w:bookmarkEnd w:id="118"/>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ECLI:ES:TC:1992:47A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2.589/1991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Isacio Calleja, Procurador de los Tribunales y de don José Ignacio Azpiroz Martínez, interpone recurso de amparo contra el acto de denegación tácita de la solicitud de pensión de orfandad del Gobierno de Navarra y contra la Sentencia de la Sala Tercera del Tribunal Supremo de 14 de octubre de 1991 que estimando el recurso de apelación de la Comunidad Foral de Navarra revocó la Sentencia del Tribunal Superior de Justicia de Navarra que declaró el derecho del actor a que se le concediera la pensión de orfandad solicitada.</w:t>
      </w:r>
    </w:p>
    <w:p w:rsidR="00A12D44" w:rsidRDefault="00A12D44" w:rsidP="00A12D44">
      <w:pPr>
        <w:pStyle w:val="TextoNormal"/>
      </w:pPr>
    </w:p>
    <w:p w:rsidR="00A12D44" w:rsidRDefault="00A12D44" w:rsidP="00A12D44">
      <w:pPr>
        <w:pStyle w:val="TextoNormal"/>
      </w:pPr>
      <w:r w:rsidRPr="00A12D44">
        <w:rPr>
          <w:rStyle w:val="NumeroAFNegritaCaracter"/>
        </w:rPr>
        <w:t>2</w:t>
      </w:r>
      <w:r>
        <w:t>. En la demanda, por otrosí, el actor solicita la apertura de pieza separada de suspensión de la Sentencia del Tribunal Supremo de 14 de octubre de 1991. La circunstancia de que la Sala de Pamplona accediese en su día a la ejecución provisional de la Sentencia del Tribunal superior de Justicia de Navarra de 13 de febrero de 1990 determina, según la actora, que la ejecución de la Sentencia que ahora se impugna cause un perjuicio difícil de reparar, habida cuenta de la situación económica del recurrente, sin que de la suspensión de la ejecución de dicha Sentencia se derive perturbación grave de los intereses generales ni de los derechos fundamentales o libertades de un tercero. Ha de tenerse en cuenta también que la resolución impugnada se funda en la doctrina de una Sentencia del Tribunal Supremo que ha sido anulada por el Tribunal Constitucional (STC 68/1991) por lo que existe una apariencia de buen derecho que aconseja la suspensión solicitada.</w:t>
      </w:r>
    </w:p>
    <w:p w:rsidR="00A12D44" w:rsidRDefault="00A12D44" w:rsidP="00A12D44">
      <w:pPr>
        <w:pStyle w:val="TextoNormal"/>
      </w:pPr>
    </w:p>
    <w:p w:rsidR="00A12D44" w:rsidRDefault="00A12D44" w:rsidP="00A12D44">
      <w:pPr>
        <w:pStyle w:val="TextoNormal"/>
      </w:pPr>
      <w:r w:rsidRPr="00A12D44">
        <w:rPr>
          <w:rStyle w:val="NumeroAFNegritaCaracter"/>
        </w:rPr>
        <w:t>3</w:t>
      </w:r>
      <w:r>
        <w:t>. La Sección, por providencia de 27 de enero de 1992, acordó admitir a trámite la demanda de amparo de don José Ignacio Azpiroz Martínez y formar la pieza separada de suspensión, así como, a tenor de lo dispuesto en el art. 56 LOTC, conceder un plazo de tres días, al Ministerio Fiscal y al solicitante del amparo, para que dentro de dicho término formulen las alegaciones que estimen pertinentes sobre la suspensión solicitada.</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El Fiscal, en su escrito de 31 de enero de 1992, manifiesta que no procede acceder a la petición de suspensión del actor argumentando que no estamos ante un supuesto en el que la ejecución del acto recurrido haga perder al amparo su finalidad, ya que de otorgarse </w:t>
      </w:r>
      <w:r>
        <w:lastRenderedPageBreak/>
        <w:t>el amparo que reclama no habría impedimento para percibir cuanto indebidamente haya podido dejar de pagársele. La necesidad de que se cumpla un fallo judicial firme y definitivo y el hecho de que ni siquiera se ha alegado que la situación del actor sea tal que la pensión sea vital refuerzan la improcedencia de la suspensión. En cuanto al fumus boni iuris alegado en la demanda, el Fiscal afirma que ha desaparecido con la Sentencia del Tribunal Supremo.</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En su escrito de 31 de enero de 1992, el recurrente insiste en su solicitud de suspensión alegando que el criterio general mantenido por este Tribunal, sobre el interés general que existe en el cumplimiento de las Sentencias de los Tribunales, no es de aplicación cuando existe una apariencia de buen derecho que aconseja la suspensión. En el presente caso se da la circunstancia de que la Sentencia cuya suspensión se pretende se funda en la doctrina de una Sentencia declarada nula por el Tribunal Constitucional (STC 68/1991), lo que da al presente recurso una apariencia de buen derecho que ha de tenerse en cuenta para adoptar la decisión de la suspensión, tal y como ha declarado este Tribunal en su Auto 77/1981, de 8 de julio. </w:t>
      </w:r>
    </w:p>
    <w:p w:rsidR="00A12D44" w:rsidRDefault="00A12D44" w:rsidP="00A12D44">
      <w:pPr>
        <w:pStyle w:val="TextoNormal"/>
      </w:pPr>
      <w:r>
        <w:t xml:space="preserve">El otorgamiento de la suspensión -que supondría el mantenimiento de una pensión cifrada en unas 60.000 ptas.- no causa perjuicio alguno a los intereses generales ni a terceros, máxime si se tiene en cuenta que el efecto "demostración" ha sido quebrado por el legislador foral que ha modificado el art. 8 del Reglamento de Jubilaciones y Pensiones de los funcionarios de la Diputación Foral (Disp. 17ª de la Ley Foral 5/1991, de 26 de febrero). Por el contrario, la no suspensión ocasionaría perjuicios económicos que inciden en su mínimo vital, lo cual ha de ponderarse teniendo en cuenta la cláusula del Estado Social (art. 1.1 C.E.). </w:t>
      </w:r>
    </w:p>
    <w:p w:rsidR="00A12D44" w:rsidRDefault="00A12D44" w:rsidP="00A12D44">
      <w:pPr>
        <w:pStyle w:val="TextoNormal"/>
      </w:pPr>
      <w:r>
        <w:t>Por otrosí solicita el actor que se corrija el error cometido en la providencia de 27 de enero de 1992 al referirse a la Sala de lo Social del Tribunal Superior de Justicia, a efectos de remisión de las actuaciones, en vez de a la Sala de lo Contencioso-Administrativo.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art. 56.1 LOTC permite al Tribunal suspender la ejecución del acto de los poderes públicos por razón del cual se reclame el amparo constitucional, cuando la ejecución hubiere de ocasionar un perjuicio que haría perder al amparo su finalidad. En el presente caso, el recurrente impugna la Sentencia de la Sala de lo Contencioso-Administrativo del Tribunal Supremo que desestimó su recurso contra la denegación tácita de la solicitud de pensión de orfandad. A la resolución impugnada, en el sentido de determinar sí su ejecución haría perder al amparo su finalidad, ha de ceñirse el incidente de suspensión.</w:t>
      </w:r>
    </w:p>
    <w:p w:rsidR="00A12D44" w:rsidRDefault="00A12D44" w:rsidP="00A12D44">
      <w:pPr>
        <w:pStyle w:val="TextoNormal"/>
      </w:pPr>
      <w:r>
        <w:t>En el presente caso, de mantenerse la eficacia de la Sentencia impugnada, la única consecuencia que se derivaría de ello, si en su día se otorgase al actor el amparo que solícita, sería la del retraso en la percepción de la pensión, consecuencia ésta que no sólo no priva al amparo de su finalidad sino que ni siquiera resulta difícil de reparar, ya que la demora de la percepción de la pensión se subsanaría fácilmente recibiendo en su momento el pago de la misma. Por otra parte, aunque el actor alega que la no suspensión ocasionaría perjuicios económicos que inciden en su mínimo vital, no ha acreditado que esté en una situación de necesidad tal que la ejecución de la Sentencia del Tribunal Supremo le prive de su único sustento ocasionándole así un perjuicio que haría perder al amparo su finalidad. Todo lo cual no obsta para que en el caso de que el actor, en el curso de este proceso consti</w:t>
      </w:r>
      <w:r>
        <w:lastRenderedPageBreak/>
        <w:t>tucional, acreditase tal extremo, el Tribunal pudiera hacer uso de la facultad reconocida en el art. 57 de su Ley Orgánica para modificar la suspensión o su denegación.</w:t>
      </w:r>
    </w:p>
    <w:p w:rsidR="00A12D44" w:rsidRDefault="00A12D44" w:rsidP="00A12D44">
      <w:pPr>
        <w:pStyle w:val="TextoNormal"/>
      </w:pPr>
    </w:p>
    <w:p w:rsidR="00A12D44" w:rsidRDefault="00A12D44" w:rsidP="00A12D44">
      <w:pPr>
        <w:pStyle w:val="TextoNormal"/>
      </w:pPr>
      <w:r w:rsidRPr="00A12D44">
        <w:rPr>
          <w:rStyle w:val="NumeroAFNegritaCaracter"/>
        </w:rPr>
        <w:t>2</w:t>
      </w:r>
      <w:r>
        <w:t>. No derivando, pues, de la ejecución de la Sentencia impugnada un perjuicio que pueda privar al recurso de amparo de su finalidad, ha de primar el criterio general de la no suspensión, fundado en el interés en el mantenimiento de la eficacia de las resoluciones judiciales, sin perjuicio de que la demanda pueda tener apariencia de buen derecho, ya que aunque es cierto que este Tribunal ha admitido que el fumus boni iuris constituye un criterio que debe ponderarse a la hora de decidir sobre la suspensión del acto que es objeto de recurso de amparo (ATC 77/1981, de 8 de julio), no lo es menos que dicha ponderación debe llevarse a cabo siempre y cuando se dé el presupuesto de hecho necesario para la adopción de la medida cautelar prevista en el art. 56.1. LOTC, es decir, la irreparabilidad o difícil reparación del perjuicio que la ejecutividad pudiera causar. No dándose el que es requisito esencial para la adopción de la medida cautelar en cuestión (art. 56.1 LOTC) el criterio del fumus boni iuris resulta inoperante.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Sala acuerda no suspender la ejecución de la Sentencia recurrida.</w:t>
      </w:r>
    </w:p>
    <w:p w:rsidR="00A12D44" w:rsidRDefault="00A12D44" w:rsidP="00A12D44">
      <w:pPr>
        <w:pStyle w:val="TextoNormal"/>
      </w:pPr>
    </w:p>
    <w:p w:rsidR="00A12D44" w:rsidRDefault="00A12D44" w:rsidP="00A12D44">
      <w:pPr>
        <w:pStyle w:val="TextoNormal"/>
      </w:pPr>
      <w:r>
        <w:t>Madrid, a doce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19" w:name="AUTO_1992_48"/>
      <w:r>
        <w:lastRenderedPageBreak/>
        <w:t>AUTO 48/1992, de 12 de febrero de 1992</w:t>
      </w:r>
    </w:p>
    <w:bookmarkEnd w:id="119"/>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ECLI:ES:TC:1992:48A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40/1992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0" w:name="AUTO_1992_49"/>
      <w:r>
        <w:lastRenderedPageBreak/>
        <w:t>AUTO 49/1992, de 13 de febrero de 1992</w:t>
      </w:r>
    </w:p>
    <w:bookmarkEnd w:id="120"/>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ECLI:ES:TC:1992:49A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2.840/1990, promovido en causa penal.</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121" w:name="AUTO_1992_50"/>
      <w:r>
        <w:lastRenderedPageBreak/>
        <w:t>AUTO 50/1992, de 18 de febrero de 1992</w:t>
      </w:r>
    </w:p>
    <w:bookmarkEnd w:id="121"/>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ECLI:ES:TC:1992:50A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627/1991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registrado el 21 de marzo de 1991, don Carlos Coll Riera, representado por el Procurador don Eduardo Morales Price y defendido por el Abogado don Carlos Monguilod Agustí, interpuso recurso de amparo contra los Autos emitidos por la Audiencia Provincial (Sección Primera) de Girona, de 15 y 25 de febrero de 1991 (r. 49-87), que decretaron la prisión provisional sin fianza del actor, con el tiempo máximo de no sobrepasar la mitad de las penas impuestas en la Sentencia recaída en el proceso el día 14 de febrero anterior. Se pretende la anulación de las resoluciones judiciales, y que se restablezca al encausado a su situación procesal y personal anterior, de libertad provisional.</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origina en los hechos siguientes: </w:t>
      </w:r>
    </w:p>
    <w:p w:rsidR="00A12D44" w:rsidRDefault="00A12D44" w:rsidP="00A12D44">
      <w:pPr>
        <w:pStyle w:val="TextoNormal"/>
      </w:pPr>
      <w:r>
        <w:t xml:space="preserve">A) El señor Riera fue detenido y reducido a prisión provisional en febrero de 1987 (los días 23 y 25, respectivamente), por decisión del Juzgado de Instrucción núm. 2 de Santa Coloma de Farners (Girona), adoptada en el curso del sumario núm. 5/87, abierto en relación con delitos de asesinato y otros. </w:t>
      </w:r>
    </w:p>
    <w:p w:rsidR="00A12D44" w:rsidRDefault="00A12D44" w:rsidP="00A12D44">
      <w:pPr>
        <w:pStyle w:val="TextoNormal"/>
      </w:pPr>
      <w:r>
        <w:t xml:space="preserve">Fue puesto en libertad provisional por la Audiencia Provincial, mediante Auto de 2 de marzo de 1989, al haberse agotado el plazo de dos años dispuesto por la ley. En él se le impuso la obligación de comparecer ante el Tribunal los días 1 y 15 de cada mes y cuantas veces fuera llamado, fijando domicilio. Obligación que el procesado afirma haber cumplido escrupulosamente, hasta que se acordó de nuevo su prisión. </w:t>
      </w:r>
    </w:p>
    <w:p w:rsidR="00A12D44" w:rsidRDefault="00A12D44" w:rsidP="00A12D44">
      <w:pPr>
        <w:pStyle w:val="TextoNormal"/>
      </w:pPr>
      <w:r>
        <w:t xml:space="preserve">B) Por Sentencia de 14 de febrero de 1991, se impuso al señor Riera nueve condenas por la autoría de diversos delitos y faltas, entre ellos dos delitos de asesinato a los que correspondieron sendas penas de reclusión mayor (respectivamente, 23 años, 4 meses y un día, y 20 años y un día). En la misma fecha en que se notificó esta Sentencia, el día 15 de febrero de 1991, se dictó y notificó el primero de los Autos impugnados, que decretó su prisión provisional sin fianza. El Auto de 25 de febrero de 1991, por su parte, desestimó el recurso de súplica contra el anterior. </w:t>
      </w:r>
    </w:p>
    <w:p w:rsidR="00A12D44" w:rsidRDefault="00A12D44" w:rsidP="00A12D44">
      <w:pPr>
        <w:pStyle w:val="TextoNormal"/>
      </w:pPr>
      <w:r>
        <w:t>El Auto de 15 de febrero razona que existe una laguna en el art. 504 L.E.Crim., donde se regula la situación anterior a la Sentencia, y la posterior a ella cuando el condenado se encuentra en situación de prisión provisional; pero no se hace referencia expresa al supuesto de quien se encuentra en situación de libertad provisional y es condenado a graves penas, que hagan temer que tratará de sustraerse a la acción de la Justicia durante el tiem</w:t>
      </w:r>
      <w:r>
        <w:lastRenderedPageBreak/>
        <w:t xml:space="preserve">po o plazo de interposición del recurso, que debe ser muy amplio, toda vez que se puede esperar hasta la última notificación para el inicio del cómputo de cinco días. La Audiencia salva esta laguna entendiendo que con la Sentencia condenatoria «se crea una situación o fase procesal nueva, en este aspecto de la prisión provisional, y que si se dan los requisitos que estable¿e el art. 503 L.E.Crim., puede y debe acordarse la prisión provisional sin necesidad de esperar la interposición del recurso de casación, por existir el temor fundado de que la persona condenada ... pueda aprovechar el plazo que tiene para interponer el recurso de casación para darse a la fuga, una vez conocidas las graves penas que se le impone». Por lo cual acordó la prisión provisional sin fianza del actuado, fijando como tiempo máximo a no sobrepasar la mitad de las penas impuestas, expidiendo los mandamientos correspondientes. </w:t>
      </w:r>
    </w:p>
    <w:p w:rsidR="00A12D44" w:rsidRDefault="00A12D44" w:rsidP="00A12D44">
      <w:pPr>
        <w:pStyle w:val="TextoNormal"/>
      </w:pPr>
      <w:r>
        <w:t>C) En el Auto de 25 de febrero de 1985, que desestimó el recurso de súplica interpuesto por el inculpado, la Sala razonó que había acordado la prisión provisional, no como prolongación de una prisión anterior, sino ex novo; por ello no cabía aceptar los motivos argüidos en el recurso, pues los plazos máximos fijados por la Ley, y su prolongación, hay que entenderlos referidos a la necesidad de garantizar la presencia del acusado en el juicio oral, y en cambio el plazo que no tiene límite determinado cuantitativamente, sino que se calcula en atención a la pena impuesta, esto es, la mitad de la misma, tiene por finalidad garantizar el cumplimiento de las penas impuestas, si la Sentencia deviene firme.</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recurso de amparo razona que las resoluciones judiciales impugnadas han vulnerado varios principios constitucionales: el de libertad personal (art. 17.1), el de limitación temporal de la prisión provisional (art. 17.4), y el de tutela judicial (art. 24.1). Ello tanto por razones formales como una principal de fondo: </w:t>
      </w:r>
    </w:p>
    <w:p w:rsidR="00A12D44" w:rsidRDefault="00A12D44" w:rsidP="00A12D44">
      <w:pPr>
        <w:pStyle w:val="TextoNormal"/>
      </w:pPr>
      <w:r>
        <w:t xml:space="preserve">A) En el plano formal alega que el Auto de prisión carecía de pie de recursos (art. 284.4 L.O.P.J.) y que fue dictado sin audiencia previa del inculpado (art. 24.1 C.E.). También señala que la medida se adoptó cuando todavía no constaba haberse recurrido en casación la Sentencia condenatoria (art. 504.5 L.E.Crim.). </w:t>
      </w:r>
    </w:p>
    <w:p w:rsidR="00A12D44" w:rsidRDefault="00A12D44" w:rsidP="00A12D44">
      <w:pPr>
        <w:pStyle w:val="TextoNormal"/>
      </w:pPr>
      <w:r>
        <w:t xml:space="preserve">B) En cuanto al fondo, la demanda razona que no es posible legalmente acordar de nuevo la prisión provisional, una vez agotado el plazo máximo sin haber sido prorrogada, estando la Sentencia de instancia recurrida en casación y habiendo atendido escrupulosamente las llamadas y presentaciones ante el Tribunal competente. No hay laguna legal en el art. 504 L.E.Crim.: la prisión provisional es siempre igual, sea cual sea la fase del procedimiento en que se acuerde, antes o después de la Sentencia de instancia. </w:t>
      </w:r>
    </w:p>
    <w:p w:rsidR="00A12D44" w:rsidRDefault="00A12D44" w:rsidP="00A12D44">
      <w:pPr>
        <w:pStyle w:val="TextoNormal"/>
      </w:pPr>
      <w:r>
        <w:t xml:space="preserve">Esta tesis se desarrolla en varios puntos. La situación del inculpado era la de libertad, lisa y llanamente, no la de libertad condicional, porque se había agotado previamente el plazo máximo de prisión provisional sin haber sido prolongada, de conformidad con lo dispuesto por el art. 504 L.E.Crim. Libertad que solamente se encontraba limitada por la expectativa de una potencial pena en el futuro, y al mero atendimiento de las llamadas del Juez o Tribunal a que alude al apartado 1 del art. 504 L.E.Crim. Al haber cumplido escrupulosamente con todas las presentaciones requeridas. faltaba el presupuesto para acordar una nueva prisión provisional. Esta medida es en sí misma ajena a la fase del procedimiento en que se acuerde, resultando indiferente que se hubiera dictado Sentencia, que no era firme al encontrarse recurrida en casación. Cuando el legislador permite, en el párrafo 5 del art. 504 L.E.Crim., que el límite máximo de prisión provisional se fije por referencia a la mitad de la pena impuesta, una vez que se ha dictado condena pero no es aún firme, habla de que «... la prisión provisional podrá prolongarse»; lo que sólo puede materializarse si no se hubieran agotado los plazos ordinarios señalados por el mismo precepto. La </w:t>
      </w:r>
      <w:r>
        <w:lastRenderedPageBreak/>
        <w:t>resolución recurrida conculca el derecho a la libertad y a la seguridad personales, pues la situación de prisión provisional debe tener carácter excepcional, no pudiendo constituirse en una ejecución anticipada de la pena, como trasluce la Ley (arts. 503, 504, 520 y concs. L.E.Crim.), la Recomendación del Consejo de Europa núm. 80, de 27 de junio de 1980, y la jurisprudencia constitucional (SSTC 41/1982, 28/1985, etc.).</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La Sección, por providencia de 11 de abril de 1991, requirió al Procurador señor Morales para que presentara el poder que acredita su representación en el plazo de diez días, en virtud del art. 50.5 LOTC, toda vez que la comparecencia apud acta ante órganos judiciales ordinarios carece de efecto ante la jurisdicción constitucional. El siguiente día 24 fue presentado el poder acreditativo de la representación por el Procurador, solicitando su desglose y devolución, previo testimonio suficiente en Autos. </w:t>
      </w:r>
    </w:p>
    <w:p w:rsidR="00A12D44" w:rsidRDefault="00A12D44" w:rsidP="00A12D44">
      <w:pPr>
        <w:pStyle w:val="TextoNormal"/>
      </w:pPr>
      <w:r>
        <w:t>Por providencia de 10 de diciembre de 1991, se abrió trámite de alegaciones, en virtud del art. 50.3 LOTC, acerca de la eventual carencia de contenido de la demanda que justifique una decisión por parte del Tribunal [art. 50.1 c) LOTC].</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Fiscal informó el siguiente día 26 de diciembre en favor de la inadmisión. Entiende que deben quedar al margen del análisis los arts. 29.1 y 24.1 C.E., por tratarse de invocaciones retóricas carentes de toda argumentación autónoma, y carecer el primero de ellos de toda relación con el caso presente. De la lectura de los Autos impugnados se desprende con claridad la interpretación del Derecho que ha determinado la decisión del Tribunal: a) La gravedad de las penas impuestas aconseja replantear la situación de libertad del ya condenado, por el temor fundado de que se sustraiga a la acción de la justicia; b) Hallándose el penado en situación de libertad no puede hablarse técnicamente de prolongación de prisión, por lo que no existe necesidad de oír al inculpado. Los plazos del art. 504 comienzan, pues, a contar de nuevo; c) La ratio subyacente en la nueva privación de libertad no del inculpado en el juicio, ya celebrado, sino el es ya el aseguramiento de la presencia cumplimiento de las penas, que podría eludirse con una eventual fuga. </w:t>
      </w:r>
    </w:p>
    <w:p w:rsidR="00A12D44" w:rsidRDefault="00A12D44" w:rsidP="00A12D44">
      <w:pPr>
        <w:pStyle w:val="TextoNormal"/>
      </w:pPr>
      <w:r>
        <w:t>Estos argumentos impiden hablar de privación ilegal de libertad, ni de extensión de los plazos de prisión preventiva más allá de lo permitido por los arts. 503 y 504 L.E.Crim. La discrepancia del recurrente no puede prosperar, porque discute la interpretación de la legalidad ordinaria, que no afecta al derecho fundamental del art. 17 C.E. Lo decisivo es que se ordene la prisión por causa legalmente prevista, y por medio de resolución motivada y razonable, que impide igualmente que padezca el art. 24 C.E. (ATC 1042/1987).</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La parte actora evacuó sus alegaciones por escrito, registrado el 28 de diciembre de 1991. Tras entender salvado el error numérico padecido en la providencia que abrió el trámite, que debería haberse referido al art. 50.2 c) (sic), e indicar que sería deseable que se hubiese señalado, sin automatismos, las razones por las que se puede concluir la falta de contenido del recurso de amparo, afirma -con los debidos respetos y con absoluta humildad- que sí tiene un contenido acreedor de un pronunciamiento de fondo por parte de este Tribunal. </w:t>
      </w:r>
    </w:p>
    <w:p w:rsidR="00A12D44" w:rsidRDefault="00A12D44" w:rsidP="00A12D44">
      <w:pPr>
        <w:pStyle w:val="TextoNormal"/>
      </w:pPr>
      <w:r>
        <w:t>La temática planteada entra de lleno en un problema de indudables consecuencias generales, que incide en uno de los principales derechos consagrados por la Carta Magna, y dejaría sin resolver una cuestión a la que se ven abocadas todas las personas que han pasado por una situación de prisión provisional. Siendo necesario un pronunciamiento definiti</w:t>
      </w:r>
      <w:r>
        <w:lastRenderedPageBreak/>
        <w:t>vo del Tribunal Constitucional que aclare el alcance del art. 504 L.E.Crim., en los supuestos como el presente.</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actor en el presente proceso constitucional solicita amparo contra los Autos que han decretado su prisión provisional, mientras pende el recurso de casación interpuesto contra la Sentencia que le ha condenado como autor de varios delitos, que acarrean dos penas de reclusión menor, junto con otras de prisión, arresto y multas. Su defensa alega que el inculpado ya había sido sometido a prisión provisional durante el transcurso de la causa, agotando entonces los plazos legales máximos, que no fueron prolongados. Desde que fue puesto en libertad ha comparecido siempre que ha sido llamado judicialmente, cumpliendo escrupulosamente el deber que consigna el párrafo 1 del art. 504 L.E.Crim. Por lo que su prisión, ya se justifique como una continuación de la primera, ya como una nueva, carece de todo apoyo legal y, por ende, vulnera el derecho fundamental a la libertad personal (art. 17, apartados 1 y 4, de la Constitución).</w:t>
      </w:r>
    </w:p>
    <w:p w:rsidR="00A12D44" w:rsidRDefault="00A12D44" w:rsidP="00A12D44">
      <w:pPr>
        <w:pStyle w:val="TextoNormal"/>
      </w:pPr>
      <w:r>
        <w:t>Es indudable que, tal y como informa el Ministerio Fiscal, la demanda de amparo carece de contenido que justifique su admisión, de conformidad con lo dispuesto por el art. 50, apartado 1, letra c), de nuestra Ley Orgánica; por lo que no procede que se lleve a cabo su plena sustanciación procesal, y se someta al conocimiento de la Sala.</w:t>
      </w:r>
    </w:p>
    <w:p w:rsidR="00A12D44" w:rsidRDefault="00A12D44" w:rsidP="00A12D44">
      <w:pPr>
        <w:pStyle w:val="TextoNormal"/>
      </w:pPr>
    </w:p>
    <w:p w:rsidR="00A12D44" w:rsidRDefault="00A12D44" w:rsidP="00A12D44">
      <w:pPr>
        <w:pStyle w:val="TextoNormal"/>
      </w:pPr>
      <w:r w:rsidRPr="00A12D44">
        <w:rPr>
          <w:rStyle w:val="NumeroAFNegritaCaracter"/>
        </w:rPr>
        <w:t>2</w:t>
      </w:r>
      <w:r>
        <w:t>. Es cierto que en el sistema vigente, establecido por la Ley de Enjuiciamiento Criminal de 1882, no cabe reducir a nadie a prisión hasta que la Sentencia que imponga la condena privativa de libertad devenga firme [art.  988.2 y concs.: 861.bis a), 990.2, 798]. Unicamente es posible ordenar la ejecución provisional de los pronunciamientos sobre responsabilidad civil, y sólo desde la reforma introducida en 1988 (art. 989, redactado por la Ley Orgánica 7/1988, de 28 de diciembre). Por lo que mientras no expire el plazo de recurso contra el fallo condenatorio, o no sea resuelto si se llega a interponer, los órganos de la justicia criminal han de limitarse a ejercer su potestad de prisión provisional, cuya regulación principal se contiene en los arts. 503 y 504 L.E.Crim. A este respecto es esencial el párrafo 5 de este último precepto, que dispone: «Una vez condenado el inculpado, la prisión provisional podrá prolongarse hasta el límite de la mitad de la pena impuesta en la Sentencia, cuando ésta hubiera sido recurrida.»</w:t>
      </w:r>
    </w:p>
    <w:p w:rsidR="00A12D44" w:rsidRDefault="00A12D44" w:rsidP="00A12D44">
      <w:pPr>
        <w:pStyle w:val="TextoNormal"/>
      </w:pPr>
      <w:r>
        <w:t>Lo que en el presente asunto está en entredicho no es directamente la duración de la prisión provisional, sino la fundamentación material de la medida adoptada. Es evidente que no se trata de la prolongación de una previa prisión provisional, que sería inaceptable una vez agotado el plazo máximo legal (STC 40/1987), pues el inculpado se encontraba en situación de libertad provisional.  Es igualmente evidente que en la causa concurrían las circunstancias previstas por el art. 503 L.E.Crim., pues una vez recaída Sentencia condenatoria por ocho delitos, entre ellos dos de asesinato castigados con más de veinte años de reclusión mayor cada tino, había constancia de la existencia de un hecho que presenta los caracteres de delito (art. 503.1), aparecían motivos bastantes para creer responsable criminalmente al afectado (núm. 3 del mismo artículo) y la pena era superior a la de prisión menor (núm. 2). El nervio de la impugnación consiste en negar que este último factor pueda ser considerado, una vez agotada la prisión provisional dictada durante el sumario; y sin que pueda admitirse una nueva decisión de prisión provisional, dado que no se había pro- ducido incomparecencia alguna (art.  504.1), ni que la medida pueda acogerse a nue</w:t>
      </w:r>
      <w:r>
        <w:lastRenderedPageBreak/>
        <w:t>vos plazos máximos de prisión más largos, puesto que no se trata de la prolongación de una prisión existente en el momento de dictarse en instancia la condena (art. 504.5).</w:t>
      </w:r>
    </w:p>
    <w:p w:rsidR="00A12D44" w:rsidRDefault="00A12D44" w:rsidP="00A12D44">
      <w:pPr>
        <w:pStyle w:val="TextoNormal"/>
      </w:pPr>
    </w:p>
    <w:p w:rsidR="00A12D44" w:rsidRDefault="00A12D44" w:rsidP="00A12D44">
      <w:pPr>
        <w:pStyle w:val="TextoNormal"/>
      </w:pPr>
      <w:r w:rsidRPr="00A12D44">
        <w:rPr>
          <w:rStyle w:val="NumeroAFNegritaCaracter"/>
        </w:rPr>
        <w:t>3</w:t>
      </w:r>
      <w:r>
        <w:t>. Esta alegación es manifiestamente insuficiente para fundar la pretensión de amparo. Su apoyo en el derecho fundamental a la libertad personal, que enuncia el art. 17 de la Constitución, ha de ser apreciado desde la doctrina declarada en la STC 108/1984, que otorgó el amparo instado contra la denegación a cancelar una fianza de libertad provisional, tras una Sentencia absolutoria que se encontraba pendiente de recurso de casación. Allí se sostuvo que las medidas cautelares relativas a la libertad del imputado en un proceso penal han de ser adoptadas por resolución fundada en Derecho, que cuando no es reglada debe basarse en un juicio de razonabilidad acerca de la finalidad perseguida y las circunstancias concurrentes; toda medida desproporcionada o irrazonable no sería propiamente cautelar, sino que tendría un carácter punitivo en cuanto al exceso (fundamento jurídico 2. b). Esa misma Sentencia reconoció que, una vez dictado el fallo por el Tribunal de instancia, es posible mantener medidas que cumplan una función cautelar y, especialmente, recordó que tanto el art. 5.3 del Convenio de Roma como el art. 9.3 del Pacto Internacional de Derechos Civiles y Políticos admiten que se impongan garantías «en orden a la com- parecencia para la ejecución del fallo que pueda dictarse eventualmente en casación, si se estimara el recurso» (fundamento jurídico 4. ).</w:t>
      </w:r>
    </w:p>
    <w:p w:rsidR="00A12D44" w:rsidRDefault="00A12D44" w:rsidP="00A12D44">
      <w:pPr>
        <w:pStyle w:val="TextoNormal"/>
      </w:pPr>
      <w:r>
        <w:t>La solución, desde estos parámetros, deviene evidente, pues no parece dudoso que, cuando ha recaído Sentencia condenatoria, imponiendo una pluralidad de penas de una extraordinaria gravedad varias de ellas, por delitos independientes, resulta razonable y proporcionado acordar la prisión provisional del condenado inicialmente en la instancia.</w:t>
      </w:r>
    </w:p>
    <w:p w:rsidR="00A12D44" w:rsidRDefault="00A12D44" w:rsidP="00A12D44">
      <w:pPr>
        <w:pStyle w:val="TextoNormal"/>
      </w:pPr>
    </w:p>
    <w:p w:rsidR="00A12D44" w:rsidRDefault="00A12D44" w:rsidP="00A12D44">
      <w:pPr>
        <w:pStyle w:val="TextoNormal"/>
      </w:pPr>
      <w:r w:rsidRPr="00A12D44">
        <w:rPr>
          <w:rStyle w:val="NumeroAFNegritaCaracter"/>
        </w:rPr>
        <w:t>4</w:t>
      </w:r>
      <w:r>
        <w:t>. Que el sometido a proceso no haya dejado de comparecer a ningún llamamiento judicial (como prevé el art. 504.1 L.E.Crim.)  resulta entonces irrelevante.  Lo determinante es la gravedad de las penas impuestas, aun sin firmeza, tal y como previene el núm. 2 del art. 503 L.E.Crim., que justifican sobradamente el temor judicial de que el afectado tratará de sustraerse a la acción de la justicia.  Sin que resulte inipertinente recordar que este Tribunal confirmó, en la STC 56/1987 (fundamento jurídico 4. in fine), el fundamento de una prisión provisional decretada contra un acusado de asesinato, siendo en aquel caso suficiente un solo delito, y que la acusación hubiera sido plasmada en el escrito de calificación del Fiscal.</w:t>
      </w:r>
    </w:p>
    <w:p w:rsidR="00A12D44" w:rsidRDefault="00A12D44" w:rsidP="00A12D44">
      <w:pPr>
        <w:pStyle w:val="TextoNormal"/>
      </w:pPr>
      <w:r>
        <w:t>Asimismo, que el acusado haya consumado dos años de prisión provisional durante la instrucción de la causa también resulta indiferente, pues al recaer condena por Sentencia, aun cuando no firme, los plazos legales máximos son ampliados hasta la mitad de las penas impuestas (art. 504.5), en términos que cubren holgadamente la situación del actor. Sin que resulte convincente la lectura sesgada que hace su defensa del verbo «prolongar», empleado en dicho precepto.  Porque lo que realiza la Ley es prolongar el tiempo máximo de prisión provisional tasado en el anterior párrafo 4 de este art. 504. Plazo más amplio, que puede ser consumido prorrogando la situación de prisión existente en el momento en que se dicte la Sentencia condenatoria o, como en este caso, decretando una nueva resolución cautelar de prisión. La cual, como toda medida de aseguramiento, ha de adaptarse permanentemente a las sucesivas circunstancias por las que atraviese el proceso (art. 539 L.E.Crim. y ATC 94/1982, fundamento jurídico 3. ).</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5</w:t>
      </w:r>
      <w:r>
        <w:t>. Por último, es indudable que las tachas formales alegadas en el recurso contra el Auto de prisión carecen de fundamento. Es obvio que la omisión de indicación de los recursos procedentes no le causó indefensión, pues se encontraba defendido por profesionales letrados que debían saber, y supieron, ejercer los medios de impugnación adecuados (STC 146/1988, fundamentos jurídicos 2. y 3. ). Y es igualmente evidente que la audiencia al interesado, previa a la adopción del acuerdo de someterlo provisionalmente a prisión, no era legalmente preceptiva por no tratarse de prórroga de la prisión provisional, como afirma el Ministerio Fiscal. Y tampoco lo era constitucionalmente, porque conllevaba un riesgo notorio de frustrar la finalidad perseguida por la propia medida de prisión provisional, de asegurar que el condenado en la instancia no iba a sustraerse de la acción de la justicia; y la audiencia no hubiera incrementado las posibilidades de hacerse oír que ofrecía el recurso de súplica, efectivamente interpuesto y resuelto en los días inmediatamente siguientes.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dieciocho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2" w:name="AUTO_1992_51"/>
      <w:r>
        <w:lastRenderedPageBreak/>
        <w:t>AUTO 51/1992, de 18 de febrero de 1992</w:t>
      </w:r>
    </w:p>
    <w:bookmarkEnd w:id="122"/>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ECLI:ES:TC:1992:51A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966/1991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en fecha 11 de mayo de 1991, el Procurador de los Tribunales don Luis Suárez Migoyo, en nombre y representación de don Javier Rovira Llor, interpone recurso de amparo contra la Sentencia de 13 de noviembre de 1987, dictada por la Sección Tercera de lo Penal de la Audiencia Nacional, y contra la de 18 de marzo de 1991 de la Sala Segunda del Tribunal Supremo, que desestimó el recurso de casación formulado contra la primera.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en síntesis, los siguientes hechos: </w:t>
      </w:r>
    </w:p>
    <w:p w:rsidR="00A12D44" w:rsidRDefault="00A12D44" w:rsidP="00A12D44">
      <w:pPr>
        <w:pStyle w:val="TextoNormal"/>
      </w:pPr>
      <w:r>
        <w:t xml:space="preserve">A) El recurrente en amparo fue condenado por la Sección Tercera de la Audiencia Nacional, en Sentencia de fecha 13 de noviembre de 1987, como autor-responsable de los delitos de asesinato, depósito de armas de guerra, asociación ilícita, utilización pública de nombre supuesto y falsificación de documento público, a diversas penas privativas de libertad. </w:t>
      </w:r>
    </w:p>
    <w:p w:rsidR="00A12D44" w:rsidRDefault="00A12D44" w:rsidP="00A12D44">
      <w:pPr>
        <w:pStyle w:val="TextoNormal"/>
      </w:pPr>
      <w:r>
        <w:t>B) Entendiendo el actor, al igual que otros condenados, que la citada resolución judicial vulneraba el derecho fundamental de presunción de inocencia consagrado en el art. 24.2 de la C.E., interpuso recurso de casación contra la misma, que fue desestimado -en lo que respecta al actual demandante de amparo- por Sentencia de fecha 18 de marzo de 1991, que se afirma notificada al siguiente día 17 de abril.</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representación del demandante invoca la vulneración del derecho fundamental a la presunción de inocencia (art. 24.2 C.E.). que entiende infringido por las dos Sentencias recaídas en la causa. Alega en tal sentido el actor que no se practicó en el proceso prueba que pueda considerarse «de cargo», esto es, que, practicada con las debidas garantías, acreditase la culpabilidad del recurrente por ser de carácter inculpatorio para el mismo. Y ello porque las Sentencias se fundamentaron, por un lado, en las declaraciones del inculpado y actual recurrente prestadas en las dependencias policiales y ratificadas a presencia judicial en la fase sumarial, pero que son abiertamente contradictorias con las que luego prestó en el acto del juicio; igual sucede con las declaraciones de los restantes procesados y, finalmente, en lo que respecta a las pruebas que se practicaron por comisión rogatoria en instancia (integradas por fotografías, armas entregadas por la policía francesa, documentación, informe de balística, manifestaciones de testigos e informes periciales), éstas </w:t>
      </w:r>
      <w:r>
        <w:lastRenderedPageBreak/>
        <w:t xml:space="preserve">no son válidas tampoco por no haberse reproducido en el plenario. Por todo ello, entiende el actor que ninguna de las pruebas puede considerarse de cargo y en consecuencia la Sentencia condenatoria y la de casación que la confirman lesionan el derecho fundamental a ser presumido inocente. </w:t>
      </w:r>
    </w:p>
    <w:p w:rsidR="00A12D44" w:rsidRDefault="00A12D44" w:rsidP="00A12D44">
      <w:pPr>
        <w:pStyle w:val="TextoNormal"/>
      </w:pPr>
      <w:r>
        <w:t>En virtud de todo ello, suplica de este Tribunal se dicte Sentencia por la que, otorgando el amparo pedido, se declare la nulidad de la Sentencia dictada por la Audiencia Nacional y de la del Tribunal Supremo, reconociendo expresamente el derecho del recurrente a la presunción de inocencia.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28 de octubre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En fecha 6 de noviembre de 1991 se recibe el escrito de alegaciones del Ministerio Fiscal; en él interesa la inadmisión del recurso de amparo por concurrir la causa que prevé el art. 50.1 c) de la LOTC. Señala el Ministerio Fiscal que la única cuestión que suscita el presente recurso consiste en determinar si la Sentencia condenatoria dictada por la Audiencia Nacional y la que la confirma de la Sala Segunda del Tribunal Supremo vulneran el derecho a la presunción de inocencia contenido en el art. 24.2 de la Constitución, como pretende el recurrente, o si, por el contrario. esas resoluciones se pronunciaron habiéndose desarrollado en el juicio oral actividad probatoria suficiente para destruir la presunción de inocencia, por lo que la demanda carecería de transcendencia constitucional, como pone de manifiesto la Sala en su providencia de 28 de octubre último. </w:t>
      </w:r>
    </w:p>
    <w:p w:rsidR="00A12D44" w:rsidRDefault="00A12D44" w:rsidP="00A12D44">
      <w:pPr>
        <w:pStyle w:val="TextoNormal"/>
      </w:pPr>
      <w:r>
        <w:t xml:space="preserve">Pues bien, el Ministerio Público indica que, conforme viene declarando con reiteración este Tribunal, el derecho a la presunción de inocencia se asienta en dos ideas esenciales: de un lado, en el principio de libre valoración de la prueba en el proceso que corresponde a los Jueces y Tribunales; y de otro, en que los medios de prueba válidos para desvirtuar la presunción de inocencia son los utilizados en el juicio oral y los preconstituidos de imposible o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juicio oral en condiciones que permitan a la defensa del acusado someterlas a contradicción. Por todo ello, la valoración de las pruebas corresponde únicamente al órgano judicial; y al Tribunal de casación sólo corresponde comprobar si existió en la instancia actividad probatoria suficiente para destruir la presunción iuris tantum de inocencia. </w:t>
      </w:r>
    </w:p>
    <w:p w:rsidR="00A12D44" w:rsidRDefault="00A12D44" w:rsidP="00A12D44">
      <w:pPr>
        <w:pStyle w:val="TextoNormal"/>
      </w:pPr>
      <w:r>
        <w:t>Esta es la labor que desarrolló la Sala Segunda del Tribunal Supremo cuando entró a conocer del recurso de casación interpuesto por el recurrente en amparo. Analiza el Tribunal Supremo con detalle toda la prueba de cargo practicada en el juicio oral; afirma que ante la policía, con asistencia letrada, hizo el demandante una precisa descripción de su intervención en los hechos, coincidente con las declaraciones de los demás co-procesados y con el resto de las pruebas existentes en la causa. Estas manifestaciones las ratificó íntegramente ante el Juez, con asistencia letrada, coincidiendo con la versión de los demás co-</w:t>
      </w:r>
      <w:r>
        <w:lastRenderedPageBreak/>
        <w:t>procesados y también declaró en el juicio oral. Todos los testimonios -agrega la Sentencia del Tribunal Supremo- fueron sometidos a contradicción en el acto del juicio, por lo que el Tribunal de instancia pudo determinar los hechos probados apreciando conjuntamente las declaraciones prestadas en el juicio oral y sus contradicciones con las efectuadas con anterioridad. Concluye, en virtud de todo ello, el Ministerio Fiscal que, en realidad, lo que trata de combatirse en el recurso de amparo es la interpretación efectuada por la Audiencia Nacional del material probatorio y, en definitiva, de las pruebas practicadas en el acto del juicio oral, y no la inexistencia de actividad probatoria. No se niega, por tanto, la existencia de actividad probatoria de cargo, lo que se impugna es la valoración de las pruebas efectuadas por el órgano judicial; pero como ha dicho este Tribunal la presunción de inocencia garantiza al acusado que no será condenado sin pruebas practicadas con todas las garantías procesales, pero no que sean valoradas por el Tribunal en uso de la potestad de libre apreciación que le confiere el art. 741 L.E.Crim. Por todo ello, el Fiscal estima que procede dictar Auto por el que se declare la inadmisibilidad del recurso de amparo formulado por concurrir la causa prevista en el art, 50.1 c) LOTC.</w:t>
      </w:r>
    </w:p>
    <w:p w:rsidR="00A12D44" w:rsidRDefault="00A12D44" w:rsidP="00A12D44">
      <w:pPr>
        <w:pStyle w:val="TextoNormal"/>
      </w:pPr>
    </w:p>
    <w:p w:rsidR="00A12D44" w:rsidRDefault="00A12D44" w:rsidP="00A12D44">
      <w:pPr>
        <w:pStyle w:val="TextoNormal"/>
      </w:pPr>
      <w:r w:rsidRPr="00A12D44">
        <w:rPr>
          <w:rStyle w:val="NumeroAFNegritaCaracter"/>
        </w:rPr>
        <w:t>6</w:t>
      </w:r>
      <w:r>
        <w:t>. En fecha 14 de noviembre de 1991 se recibe el escrito de alegaciones de la representación del demandante en el que se reiteran todos los extremos recogidos en el escrito de demanda, y concretamente insiste en que sus declaraciones policiales y sumariales son abiertamente contrarias con las efectuadas en el juicio oral así como que no existió prueba alguna que acreditase la agravante de alevosía impuesta al mismo, para terminar suplicando se admita a trámite el recurso de amparo interpuesto y su resolución conforme a lo solicitado en aquel escrito inicial.</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presente demanda de amparo carece de contenido que justifique una decisión sobre su fondo por parte de este Tribunal Constitucional como ya se advirtió en la providencia de fecha 28 de octubre de 1991.</w:t>
      </w:r>
    </w:p>
    <w:p w:rsidR="00A12D44" w:rsidRDefault="00A12D44" w:rsidP="00A12D44">
      <w:pPr>
        <w:pStyle w:val="TextoNormal"/>
      </w:pPr>
      <w:r>
        <w:t>Con independencia de las pruebas integradas en la comisión rogatoria, cuya reproducción en el acto del juicio encuentra serios obstáculos por tratarse en definitiva de prueba preconstituida de difícil reiteración, es lo cierto que, como se expresa tanto en la Sentencia de la Audiencia Nacional como en la del Tribunal Supremo, la convicción de culpabilidad se asienta en este supuesto no sólo en dichas pruebas, sino también y esencialmente en la valoración de las declaraciones del propio encausado y de los restantes coprocesados, siendo todas ellas sometidas a contradicción en el acto del juicio oral, conforme expresamente indica la Sentencia del Tribunal Supremo en su fundamento jurídico único.</w:t>
      </w:r>
    </w:p>
    <w:p w:rsidR="00A12D44" w:rsidRDefault="00A12D44" w:rsidP="00A12D44">
      <w:pPr>
        <w:pStyle w:val="TextoNormal"/>
      </w:pPr>
    </w:p>
    <w:p w:rsidR="00A12D44" w:rsidRDefault="00A12D44" w:rsidP="00A12D44">
      <w:pPr>
        <w:pStyle w:val="TextoNormal"/>
      </w:pPr>
      <w:r w:rsidRPr="00A12D44">
        <w:rPr>
          <w:rStyle w:val="NumeroAFNegritaCaracter"/>
        </w:rPr>
        <w:t>2</w:t>
      </w:r>
      <w:r>
        <w:t>. Este Tribunal ha señalado con reiteración y en la recientemente STC 80/1991 que la contradicción entre las declaraciones prestadas por los acusados en las dependencias policiales, y en este supuesto también a presencia judicial en el sumario, y las ulteriormente efectuadas en el acto del juicio, no constituye sino un elemento de juicio que el Tribunal Penal puede ponderar en conciencia, en relación con los restantes medios de prueba y en el ejercicio, en fin, de la facultad de valoración de la misma que a la jurisdicción ordinaria corresponde, criterio plenamente aplicable al supuesto que ahora nos ocupa. Ha de reiterarse asimismo que el hecho de que en esa ponderación la Sala atribuyese mayor o menor verosimilitud alas declaraciones prestadas en el juicio, tras su contraste con las inicialmen</w:t>
      </w:r>
      <w:r>
        <w:lastRenderedPageBreak/>
        <w:t>te efectuadas, constituye cuestión que escapa del ámbito propio y del contenido esencial del derecho fundamental a la presunción de inocencia, que se asienta precisamente en el principio de la libre valoración de la prueba por los Jueces y Tribunales; valoración que no puede ser revisada en esta sede constitucional.</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y en atención a la manifiesta carencia de contenido constitucional en la pretensión,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dieciocho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3" w:name="AUTO_1992_52"/>
      <w:r>
        <w:lastRenderedPageBreak/>
        <w:t>AUTO 52/1992, de 18 de febrero de 1992</w:t>
      </w:r>
    </w:p>
    <w:bookmarkEnd w:id="123"/>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ECLI:ES:TC:1992:52A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1.999/1991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en fecha 5 de octubre de 1991, la Procuradora de los Tribunales doña Dolores Guirón Arjonilla en nombre y representación de don Antonio Romero Rodas, interpone recurso de amparo contra las Sentencias de 14 de marzo de 1990 y 9 de mayo de 1991 dictadas, respectivamente, por la Sala de lo Contencioso-Administrativo del Tribunal Superior de Justicia de Madrid y Sala Tercera del Tribunal Supremo, en proceso especial de la Ley 62/1978 sobre Protección de Derechos Fundamentales.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en síntesis, los siguientes hechos: </w:t>
      </w:r>
    </w:p>
    <w:p w:rsidR="00A12D44" w:rsidRDefault="00A12D44" w:rsidP="00A12D44">
      <w:pPr>
        <w:pStyle w:val="TextoNormal"/>
      </w:pPr>
      <w:r>
        <w:t xml:space="preserve">A) El actual recurrente de amparo fue citado el día 13 de julio de 1988 por la Unidad de Inspección núm. 1 de la Administración de Hacienda de Moratalaz (Madrid), a fin de comprobar su situación tributaría en relación con diversos tributos de los Impuestos sobre la Renta de las Personas Físicas y Extraordinario sobre el Patrimonio de los ejercicios 1983 a 1986, ambos inclusive. </w:t>
      </w:r>
    </w:p>
    <w:p w:rsidR="00A12D44" w:rsidRDefault="00A12D44" w:rsidP="00A12D44">
      <w:pPr>
        <w:pStyle w:val="TextoNormal"/>
      </w:pPr>
      <w:r>
        <w:t xml:space="preserve">Al dorso de esta citación se relacionaron una serie de documentos de los que se solicitaba aportación, entre los que figuraban los movimientos de cuentas bancarias, expresándose la entidad correspondiente y el número de cuenta. </w:t>
      </w:r>
    </w:p>
    <w:p w:rsidR="00A12D44" w:rsidRDefault="00A12D44" w:rsidP="00A12D44">
      <w:pPr>
        <w:pStyle w:val="TextoNormal"/>
      </w:pPr>
      <w:r>
        <w:t xml:space="preserve">B) Contra los anteriores requerimientos formuló el actor recurso contencioso especial (de la Ley 62/1978 sobre Protección de Derechos Fundamentales y Libertades Públicas) ante el Tribunal Superior de Justicia de Madrid. La Sala de lo Contencioso-Administrativo del citado Tribunal dictó Sentencia en fecha 14 de marzo de 1990, por la que desestimó el recurso. </w:t>
      </w:r>
    </w:p>
    <w:p w:rsidR="00A12D44" w:rsidRDefault="00A12D44" w:rsidP="00A12D44">
      <w:pPr>
        <w:pStyle w:val="TextoNormal"/>
      </w:pPr>
      <w:r>
        <w:t>Interpuesto recurso de apelación contra la anterior Sentencia, en el que se alegaba además de la vulneración del derecho a la intimidad, también la del derecho a obtener tutela judicial efectiva (art. 24.1 C.E.), la Sala Tercera del Tribunal Supremo desestimó igualmente el recurso de apelación por Sentencia de fecha 9 de mayo de 1991 que se afirma notificada el día 17 de septiembre de 1991.</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representación del demandante invoca la vulneración de los derechos fundamentales consagrados en los arts. 18 y 24 de la Constitución, esto es, del derecho al honor e intimidad personal y del derecho a obtener tutela judicial efectiva. El recurrente centra su </w:t>
      </w:r>
      <w:r>
        <w:lastRenderedPageBreak/>
        <w:t xml:space="preserve">primera queja en la consideración de que, en virtud de la doctrina sentada por la STC 110/1984, si bien con carácter general se entiende que el conocimiento de los movimientos de las cuentas bancarias por parte de la Administración Tributaria no lesiona el mencionado derecho fundamental, aquella investigación encuentra sus límites en los requisitos que se señalan en dicha resolución y, entre ellos, que la autorización para que la Administración pueda actuar ha de proceder de ciertos órganos que se enumeran taxativamente en la Ley; y en este supuesto concreto, sin embargo, la actuación administrativa se realizó por órgano incompetente, puesto que, conforme al art. 111 de la Ley General Tributaria, la actuación requería de la previa autorización del Director general o, en su caso, del Delegado de Hacienda competente. En segundo lugar alega el actor que tanto la Sentencia del Tribunal Superior de Justicia como la del Tribunal Supremo son incongruentes en el sentido de omitir un pronunciamiento sobre la anterior cuestión. Así -continúa el recurrente- ambas resoluciones, con el pretexto de que se trata de cuestión de simple legalidad ordinaria, omiten un pronunciamiento sobre esa cuestión de fondo planteada por el actor. </w:t>
      </w:r>
    </w:p>
    <w:p w:rsidR="00A12D44" w:rsidRDefault="00A12D44" w:rsidP="00A12D44">
      <w:pPr>
        <w:pStyle w:val="TextoNormal"/>
      </w:pPr>
      <w:r>
        <w:t>En virtud de todo ello, suplica de este Tribunal dicte Sentencia por la que, otorgando el amparo pedido, se declare la nulidad de «los requerimientos efectuados por la Administración Tributaria para la aportación de los movimientos de cuentas bancarias».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28 de octubre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A12D44" w:rsidRDefault="00A12D44" w:rsidP="00A12D44">
      <w:pPr>
        <w:pStyle w:val="TextoNormal"/>
      </w:pPr>
    </w:p>
    <w:p w:rsidR="00A12D44" w:rsidRDefault="00A12D44" w:rsidP="00A12D44">
      <w:pPr>
        <w:pStyle w:val="TextoNormal"/>
      </w:pPr>
      <w:r w:rsidRPr="00A12D44">
        <w:rPr>
          <w:rStyle w:val="NumeroAFNegritaCaracter"/>
        </w:rPr>
        <w:t>5</w:t>
      </w:r>
      <w:r>
        <w:t>. En fecha 21 de noviembre de 1991 se recibe el escrito de alegaciones del Ministerio Fiscal; en él interesa la inadmisión del recurso de amparo por concurrir la causa que prevé al art. 50.1 c) de la LOTC. Comienza por señalar el Ministerio Público que la queja del demandante se centra no tanto en la solicitud de determinados documentos (requeridos por la Delegación de Hacienda), concretamente sobre movimientos de cuentas bancarias, como en la incompetencia del funcionario actuante para requerírselos; se trataba de un Subinspector de Hacienda, mientras que -a juicio del recurrente- debía haberlo hecho el Delegado de Hacienda. El recurso contra tales requerimientos - planteados primero ante el Tribunal Superior de Justicia de Madrid y después ante el Tribunal Supremo por la vía de la Ley 62/1978- fue desestimado en ambas instancias judiciales por entender que la cuestión carecía de relevancia constitucional al tratarse de materia de legalidad ordinaria. Pues bien, el Fiscal sostiene que, independientemente de que la cuestión planteada pudiera ser considerada como de legalidad ordinaria, la demanda carece, en efecto, de contenido constitucional; y ello porque los preceptos legales alegados como infringidos no son aplicables al supuesto de hecho que, en realidad, nos ocupa. Así, como pone de relieve la Sentencia de la Sala Tercera del Tribunal Supremo, el art. 111 de la Ley General Tributaria hace referencia a la exigencia directa por parte de la Administración Tributaria a las entidades bancarias de los datos necesarios para sus actividades investigadoras. En tales casos sí que debe ser el Delegado de Hacienda quien oficie a los bancos para que directamente le suministren el material probatorio legalmente procedente. Pero en el supuesto del presente recurso de amparo el requerimiento no se efectúa a las entidades bancarias, sino directa</w:t>
      </w:r>
      <w:r>
        <w:lastRenderedPageBreak/>
        <w:t>mente al contribuyente interesado. Y en tales casos no se establece rango alguno en la autoridad tributaria que puede realizar la solicitud de datos. En realidad -añade el Ministerio Fiscal- la distinción aparece ya en la STC 110/1984 al señalar que «lo que se le impone (al contribuyente) es el deber de aportar los datos que puedan ayudar a la investigación. En el caso presente, además, se solicitan unos datos al contribuyente que, si no los aporta voluntariamente, se pedirán directamente a las Entidades de crédito». Pues bien, tal exigencia -concluye la Sentencia citada- no vulnera ni el art. 24.2, ni el 14, ni el 18.1 de la Constitución (derecho a la intimidad). El problema se encuentra por tanto ya resuelto por este Tribunal en términos generales y en los concretos aspectos que aquí interesan no puede olvidarse que el art. 37 del Reglamento de Inspección de Tributos desarrolla el art. 111 de la L.G.T., aclarando que se trata de exigencias directas de la Administración Tributaria a las entidades bancarias y no directamente al particular, como sucede en este caso; sólo en el supuesto de que este último no atendiese al requerimiento efectuado, entraría en juego la necesaria intervención del Delegado de Hacienda. Hasta entonces, al requerimiento le son aplicables los arts. 109 y 110 de la Ley General Tributaria que, sin exigir que actúe ningún órgano en especial faculta a la Administración Tributaria para requerir la colaboración documental precisa para su labor inspectora. En consecuencia, el Fiscal entiende que procede se dicte Auto de inadmisión del recurso, por carecer manifiestamente la demanda de contenido que justifique una decisión sobre el fondo por parte del Tribunal Constitucional.</w:t>
      </w:r>
    </w:p>
    <w:p w:rsidR="00A12D44" w:rsidRDefault="00A12D44" w:rsidP="00A12D44">
      <w:pPr>
        <w:pStyle w:val="TextoNormal"/>
      </w:pPr>
    </w:p>
    <w:p w:rsidR="00A12D44" w:rsidRDefault="00A12D44" w:rsidP="00A12D44">
      <w:pPr>
        <w:pStyle w:val="TextoNormal"/>
      </w:pPr>
      <w:r w:rsidRPr="00A12D44">
        <w:rPr>
          <w:rStyle w:val="NumeroAFNegritaCaracter"/>
        </w:rPr>
        <w:t>6</w:t>
      </w:r>
      <w:r>
        <w:t>. En fecha 3 de noviembre de 1991 se recibe el escrito de alegaciones de la representación del demandante de amparo. En él reitera que no se trata de dilucidar si la Administración Tributaria al conocer los datos de las cuentas bancarias vulnera el derecho a la intimidad personal del actor, porque, sobre esta cuestión ya se ha pronunciado la STC 110/1984. Es la ausencia de autorización del Delegado de Hacienda o Director General respectivo lo que se cuestiona en este caso como determinante de la ilegalidad cometida, y que el funcionario requirente no estuviese facultado para solicitar la colaboración documental que instó del actor. Esta misma exigencia -continúa- se infiere de la propia STC 110/1984 a la que se aludió anteriormente, y al no pronunciarse los tribunales ordinarios sobre tal cuestión, se produce asimismo la lesión del art. 24.1 de la C.E., porque no se resolvió sobre cuestión esencial planteada reiteradamente en la causa. En virtud de todo ello, el demandante concluye suplicando se admita a trámite el recurso de amparo interpuesto y su resolución conforme a lo solicitado en aquel escrito inicial.</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presente demanda de amparo carece de contenido que justifique una decisión sobre su fondo por parte de este Tribunal Constitucional, como ya se apuntó en la providencia de 28 de octubre de 1991.</w:t>
      </w:r>
    </w:p>
    <w:p w:rsidR="00A12D44" w:rsidRDefault="00A12D44" w:rsidP="00A12D44">
      <w:pPr>
        <w:pStyle w:val="TextoNormal"/>
      </w:pPr>
      <w:r>
        <w:t xml:space="preserve">En primer lugar, plantea el recurrente la eventual vulneración del derecho a la intimidad consagrado en el art. 18.1 C.E., pero no como consecuencia directa del requerimiento de que fue objeto por la Administración Tributaria para mostrar los movimientos de sus cuentas bancarias, sino en un aspecto mucho más concreto y aceptando previamente que la actividad que se acaba de describir no produce por sí sola la vulneración señalada, de conformidad con la doctrina de este Tribunal sentada en la STC 11O/1984. Es precisamente esta última resolución, o más concretamente, algunas de las consideraciones que se hacen en su fundamentación jurídica, lo que determina que el recurrente entienda lesionado en </w:t>
      </w:r>
      <w:r>
        <w:lastRenderedPageBreak/>
        <w:t>este supuesto su derecho a la intimidad por la actuación de la Administración Tributaria. Así, alega que en la referida Sentencia se establece un límite esencial a la citada actuación administrativa, cual es el cumplimiento de una serie de requisitos, entre los que se encuentra la válida competencia del órgano administrativo actuante. Como quiera que -en su razonamiento- el órgano no fue el competente, porque a tenor de lo dispuesto en el art. 111.3 de la Ley General Tributaria debería haberse autorizado la actuación por el Director General o, en su caso, el Delegado de Hacienda respectivo, se produjo la lesión del derecho fundamental que consagra el art.  18 C.E., pese a la doctrina sentada por la referida Sentencia.</w:t>
      </w:r>
    </w:p>
    <w:p w:rsidR="00A12D44" w:rsidRDefault="00A12D44" w:rsidP="00A12D44">
      <w:pPr>
        <w:pStyle w:val="TextoNormal"/>
      </w:pPr>
      <w:r>
        <w:t>Pues bien, la lesión que se invoca ha de ser descartada por dos motivos esenciales. Ante todo, porque, conforme indica el Ministerio Público en su escrito de alegaciones y razonó también el Tribunal Supremo en su resolución, no existe tal vicio de incompetencia, y, por tanto, la cuestión de legalidad ordinaria discutida por el demandante es cuando menos «dudosa», según señaló el citado Tribunal Supremo en su Sentencia. Así, la exigencia de autorización previa a que se refiere el recurrente aparece vinculada en el propio precepto legal -art. 111 L.G.T.- a los supuestos en que el requerimiento se efectúa a terceras personas (en este caso a la correspondiente entidad bancaria) que, como se señala al inicio del mismo precepto, no podrán ampararse para su incumplimiento en el denominado secreto bancario. Por el contrario, cuando el requerimiento se efectúa directamente al particular, el supuesto se encuentra contemplado en los arts. 109 y, sobre todo, 110 de la citada L.G.T. y, tales casos, la investigación o comprobación documental a cuya colaboración se encuentra obligado el sujeto pasivo en virtud de tales normas, no requiere de autorización específica alguna. Además, por otra parte, tampoco cabe deducir de la fundamentación jurídica de la STC 11O/1984 una consecuencia tan extrema como la que pretende el recurrente. Es cierto que en la citada resolución se alude a que la investigación de los movimientos bancarios por la Inspección Tributaria no constituye una facultad ilimitada, sino sometida por la ley a determinados requisitos y, entre ellos, que la autorización -cuando se exige legalmente- ha de proceder de ciertos órganos determinados. Pero esta afirmación, analizada en el contexto en que fue vertida, esto es, en respuesta a la alegación efectuada en aquella ocasión respecto a la facultad total e ilimitada de investigación tributaria que -se afirmó- podía llegar a hacer desaparecer la «vida privada» del contribuyente, no implica que cualquier irregularidad afectante a uno de los requisitos que la propia Ley establece en el ejercicio de tal actuación administrativa, produzca sin más y por sí sólo la lesión del derecho a la intimidad. Por todo ello, y porque como se ha indicado no existió propiamente en este caso vicio de incompetencia que afectase a la actuación de la Administración Tributaria, no cabe advertir vulneración alguna del derecho fundamental que consagra el art. 18.1 de la Constitución.</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En estrecha relación con esa primera lesión denunciada, invoca también el actor la vulneración del derecho a obtener tutela judicial efectiva (art. 24.1 C.E.). porque los dos órganos judiciales evitaron pronunciarse sobre la anterior cuestión planteada en ambas instancias. Sin embargo, la simple lectura de las resoluciones judiciales permite constatar que no se omitió una respuesta judicial a la cuestión planteada por el recurrente. Lo que hacen los órganos judiciales es responder que, en el ámbito propio y restringido del pro- cedimiento contencioso especial de la Ley 62/1978, la cuestión de competencia que promueve el actor es de legalidad ordinaria y, en virtud de ello, estimando que no lesiona el derecho fundamental invocado, desestiman ambos la pretensión del recurrente. No puede </w:t>
      </w:r>
      <w:r>
        <w:lastRenderedPageBreak/>
        <w:t>mantenerse, por tanto, que no exista respuesta judicial motivada a la cuestión debatida, en el ámbito propio del procedimiento en que se planteó.</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y en atención a la manifiesta carencia de contenido constitucional en la pretensión,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dieciocho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4" w:name="AUTO_1992_53"/>
      <w:r>
        <w:lastRenderedPageBreak/>
        <w:t>AUTO 53/1992, de 19 de febrero de 1992</w:t>
      </w:r>
    </w:p>
    <w:bookmarkEnd w:id="124"/>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ECLI:ES:TC:1992:53A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1.684/1991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5" w:name="AUTO_1992_54"/>
      <w:r>
        <w:lastRenderedPageBreak/>
        <w:t>AUTO 54/1992, de 20 de febrero de 1992</w:t>
      </w:r>
    </w:p>
    <w:bookmarkEnd w:id="125"/>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ECLI:ES:TC:1992:54A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1.984/1991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3 de octubre de 1991, don Luis Suárez Mingoyo, Procurador de los Tribunales, interpuso, en nombre y representación de doña Natividad Fernández Suárez y cuatro personas más, recurso de amparo contra Sentencia del Juzgado de lo Social de Avilés de 17 de abril de 1991, confirmada por Sentencia del T.S.J. de Astucias de, 12 de septiembre de 1991.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relata los siguientes antecedentes: </w:t>
      </w:r>
    </w:p>
    <w:p w:rsidR="00A12D44" w:rsidRDefault="00A12D44" w:rsidP="00A12D44">
      <w:pPr>
        <w:pStyle w:val="TextoNormal"/>
      </w:pPr>
      <w:r>
        <w:t xml:space="preserve">a)Las recurrentes obtuvieron plaza como auxiliares administrativos de las Instituciones Sanitarias de la Seguridad Social, estando sometidas al Estatuto de personal no sanitario de la Seguridad Social (Orden de 5 de julio de 1971, con sucesivas reformas). La Orden de 28 de mayo de, 1984 creó la función administrativa de las Instituciones Sanitarias de la Seguridad Social en el que se integraba tanto personal estatutario -como las actoras- como personal funcionario. Sin embargo, mientras aquél se clasificaba inexorablemente en el grupo de Auxiliar administrativo -«sin ninguna posibilidad de acceder a alguno de los grupos superiores en atención a la titulación académica que pudiera ostentar»- a los que se integraban desde cuerpos funcionariales se les atribuían posibilidades de reclasificación siempre que reunieran determinados requisitos (Disposición transitoria primera, núms. 1 y 2). </w:t>
      </w:r>
    </w:p>
    <w:p w:rsidR="00A12D44" w:rsidRDefault="00A12D44" w:rsidP="00A12D44">
      <w:pPr>
        <w:pStyle w:val="TextoNormal"/>
      </w:pPr>
      <w:r>
        <w:t xml:space="preserve">b) Con posterioridad, la Orden de 19 de junio de 1986 integra al personal de hospitales clínicos en los regímenes estatutarios de la Seguridad Social. En su art. 3.4 permite solicitar la integración en clase y grupo superior al efectivamente poseído, siempre que se prestaran funciones de categoría superior en determinadas condiciones. </w:t>
      </w:r>
    </w:p>
    <w:p w:rsidR="00A12D44" w:rsidRDefault="00A12D44" w:rsidP="00A12D44">
      <w:pPr>
        <w:pStyle w:val="TextoNormal"/>
      </w:pPr>
      <w:r>
        <w:t>c) Las actoras vienen realizando tareas de categoría superior a las de auxiliar administrativo, lo que, sin embargo, no les autoriza a pedir la reclasificación -al no provenir de hospitales clínicos-. Solicitaron por ello del INSALUD su reclasificación -lo que les fue denegado por silencio administrativo-, acudiendo posteriormente a la Jurisdicción Social. Las demandas fueron desestimadas por Sentencia del Juzgado de lo Social de Avilés de 17 de abril de 1991, confirmada en suplicación por la Sala de lo Social del T.S.J. de Asturias en Sentencia de 12 de septiembre de 1991.</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xml:space="preserve">. La demanda de amparo se dirige contra estas resoluciones, invocando el art. 14 C.E. La aplicación de las disposiciones citadas más arriba implica «que el personal que siempre tuvo la condición de estatutario sea discriminado frente al que se integra en el mismo régimen estatutario procedente de hospitales clínicos, donde tenían la condición de personal laboral, puesto que se ve relevado y privado de las posibilidades de promoción profesional que se ofrece a éstos en el momento de su integración». Tal diferencia de trato no viene justificada. Al contrario, contradice lo que se afirma en la exposición de motivos de la Orden de 19 de junio de 1986. </w:t>
      </w:r>
    </w:p>
    <w:p w:rsidR="00A12D44" w:rsidRDefault="00A12D44" w:rsidP="00A12D44">
      <w:pPr>
        <w:pStyle w:val="TextoNormal"/>
      </w:pPr>
      <w:r>
        <w:t>Ello resulta contrario al principio de igualdad. El Tribunal Constitucional - resolución de 16 de septiembre de 1991- ha descartado ya que existiera lesión del art. 14 C.E. por la diferencia de trato establecida entre los estatutarios y los que venían del funcionariado que «habían accedido a sus cargos cumpliendo determinadas exigencias superiores a las del personal estatutario»-. En este caso, sin embargo, tales diferencias no existen, toda vez que lo que se compara es al personal estatutario con el personal procedente de hospitales clínicos que se integra ahora. No valen, pues, las razones que se adujeron entonces para justificar la desigualdad. Mientras el primero accedió por concurso, el segundo tiene la condición de personal laboral. El personal laboral no sufre «merma alguna en sus derechos y expectativas laborales». Al contrario, el cambio supone mayores garantías. Además, el régimen estatutario es el normal, «por lo que no se ve la razón para que quienes se encuentran fuera de este régimen sean objeto de mejor trato jurídico al integrarse que quienes desde un principio están adscritos a él».</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13 de enero de 1991, la Sección Cuarta acordó conceder a las demandantes de amparo y al Ministerio Fiscal plazo común de diez días para la formulación de alegaciones sobre la posible concurrencia de la causa de inadmisión del art. 50.1 c) LOTC.</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En sus alegaciones, la representación de las recurrentes reitera sustancialmente las vertidas en la demanda de amparo. </w:t>
      </w:r>
    </w:p>
    <w:p w:rsidR="00A12D44" w:rsidRDefault="00A12D44" w:rsidP="00A12D44">
      <w:pPr>
        <w:pStyle w:val="TextoNormal"/>
      </w:pPr>
      <w:r>
        <w:t>El Ministerio Fiscal, por su parte, interesa la inadmisión de la demanda de amparo. Tras reseñar brevemente los antecedentes Y el contenido de las Sentencias impugnadas, afirma que «existe un término de comparación inadecuado para probar la desigualdad, y por ende una justificación objetiva y razonable de la diferencia de trato» al pretenderse la comparación de personal sometido, antes de la integración, a regímenes jurídicos distintos-.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demanda carece manifiestamente de contenido que justifique una decisión sobre el fondo por parte de este Tribunal, por lo que ha de ser inadmitida en aplicación del art. 50.1 c) LOTC. La cuestión suscitada por las recurrentes es absolutamente ajena al derecho a la igualdad, toda vez que ni son comparables las situaciones que se pretenden comparar ni, en el hipotético caso de que se pudiera hacer esta operación, podría admitirse la existencia de desigualdad, toda vez que el trato diferente vendría justificado objetiva y razonablemente.</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No es posible comparar la situación de las actoras -personal estatutario ab initio- con la del personal estatutario que se integra procedente de los hospitales clínicos. Este último es, antes de la integración, personal laboral y, en cuanto tal, mantiene derechos que el personal estatutario no tiene. La situación de partida es, en definitiva, distinta, lo que imposibilita la comparación, toda vez que la aparente diferencia de trato arranca del diferente régimen jurídico a que queda sometida la clasificación profesional de los tra- bajadores y del personal estatutario: mientras los primeros pueden ser normalmente reclasificados por aplicación del art. 23.1 E.T. -norma claramente evocada en el art. 3.4 g) de la Orden de 19 de junio de 1986-, los segundos, según reiterada jurisprudencia de los Tribunales ordinarios, no disponen de esa posibilidad -al no ser aplicable aquel precepto-. En este contexto, que la reclasificación prevista en la Orden que se reputa discriminatoria quede reservada a quien fue personal laboral y ahora se integra y no se extiende a quien no tenía aquella condición en el momento de la integración es cuestión ajena al art. 14 C.E., toda vez que éste no autoriza, según reiterada jurisprudencia de este Tribunal, comparaciones entre las distintas situaciones derivadas de la pertenencia a diferentes cuerpos de funcionarios (por todas, STC 77/1990) o entre las situaciones de los trabajadores y del personal funcionarial o estatutario (por ejemplo, STC 56/1988).</w:t>
      </w:r>
    </w:p>
    <w:p w:rsidR="00A12D44" w:rsidRDefault="00A12D44" w:rsidP="00A12D44">
      <w:pPr>
        <w:pStyle w:val="TextoNormal"/>
      </w:pPr>
    </w:p>
    <w:p w:rsidR="00A12D44" w:rsidRDefault="00A12D44" w:rsidP="00A12D44">
      <w:pPr>
        <w:pStyle w:val="TextoNormal"/>
      </w:pPr>
      <w:r w:rsidRPr="00A12D44">
        <w:rPr>
          <w:rStyle w:val="NumeroAFNegritaCaracter"/>
        </w:rPr>
        <w:t>3</w:t>
      </w:r>
      <w:r>
        <w:t>. En cualquier caso, la Orden de 19 de junio de 1986 es una norma de claro carácter transitorio (Disposición final primera y Orden de 5 de septiembre siguiente) que responde, en su conjunto, a una finalidad legítima como es la de suprimir la diversidad de estatutos jurídicos del personal que presta sus servicios en las Instituciones Sanitarias de la Seguridad Social. Y, atendida esta finalidad, la medida que las actoras reputan discriminatoria, esto es, la reclasificación del personal que se convierte en estatutario y no del que ab initio reunía esta condición, resulta adecuada a esta finalidad en términos de razonabilidad y proporcionalidad. Lo que intenta el art. 3.4 g) de la Orden y otros preceptos de la misma es que el proceso de integración de los hospitales clínicos (arts. 1 y 8), no se vea obstaculizado por la falta de reconocimiento de las expectativas que, por aplicación de la legislación laboral, pueda detentar el personal que se intenta transformar en estatutario. En este contexto, tutelar, transitoriamente y por una vez, las expectativas que personal laboral pudiera tener antes de la integración para salvaguardar la efectividad de este proceso aparece justificado en términos objetivos. y razonables, pues no cabe duda de que la Administración Pública dispone de un cierto margen para organizar la gestión de su personal, en especial cuando se trata de resolver situaciones particulares que precisen, por razones de transitoriedad o especialidad, la adecuación o actualización de regímenes jurídicos y retributivos (STC 57/1990).</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veinte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6" w:name="AUTO_1992_55"/>
      <w:r>
        <w:lastRenderedPageBreak/>
        <w:t>AUTO 55/1992, de 20 de febrero de 1992</w:t>
      </w:r>
    </w:p>
    <w:bookmarkEnd w:id="126"/>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ECLI:ES:TC:1992:55A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2.245/1991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8 de noviembre de 1991, don Isacio Calleja García, interpuso, en nombre y representación de la Federación Cántabra de Fútbol, recurso de amparo contra Auto del Juzgado de lo Social núm. 1 de Santander de 2 de agosto de 1991, confirmado en queja por Auto de la Sala de lo Social del T.S.J. de Cantabria de 30 de septiembre de 1991.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relata los siguientes antecedentes: </w:t>
      </w:r>
    </w:p>
    <w:p w:rsidR="00A12D44" w:rsidRDefault="00A12D44" w:rsidP="00A12D44">
      <w:pPr>
        <w:pStyle w:val="TextoNormal"/>
      </w:pPr>
      <w:r>
        <w:t xml:space="preserve">a) La recurrente fue condenada por Sentencia del Juzgado de lo Social núm. 1 de Santander, dictada en reclamación de rescisión promovida contra ella por dos de sus empleados, al pago a éstos de determinadas indemnizaciones. </w:t>
      </w:r>
    </w:p>
    <w:p w:rsidR="00A12D44" w:rsidRDefault="00A12D44" w:rsidP="00A12D44">
      <w:pPr>
        <w:pStyle w:val="TextoNormal"/>
      </w:pPr>
      <w:r>
        <w:t xml:space="preserve">b) Notificada esta Sentencia, la recurrente interpuso recurso de suplicación «acompañando resguardo del depósito de la suma de 25.000 pesetas, y exponiendo la imposibilidad, por falta de liquidez económica, de depositar el importe total de la condena...; expresamente se ofreció aval sobre los intereses de demora de dicha cantidad por un plazo de dos meses, tiempo que previsiblemente podría durar la sustanciación del recurso, entendiendo que así se actuaría inocuamente respecto de los actores». </w:t>
      </w:r>
    </w:p>
    <w:p w:rsidR="00A12D44" w:rsidRDefault="00A12D44" w:rsidP="00A12D44">
      <w:pPr>
        <w:pStyle w:val="TextoNormal"/>
      </w:pPr>
      <w:r>
        <w:t>c) El Juzgado de lo Social núm. 1 de Santander dictó Auto de 2 de agosto de 1991 teniendo el recurso por no anunciado por falta del requisito de consignación del principal. Tal Auto fue confirmado, en reposición, por otro de 19 de agosto siguiente y finalmente, en queja, por Auto del T.S.J. de Cantabria de 39 de septiembre de 1991.</w:t>
      </w:r>
    </w:p>
    <w:p w:rsidR="00A12D44" w:rsidRDefault="00A12D44" w:rsidP="00A12D44">
      <w:pPr>
        <w:pStyle w:val="TextoNormal"/>
      </w:pPr>
    </w:p>
    <w:p w:rsidR="00A12D44" w:rsidRDefault="00A12D44" w:rsidP="00A12D44">
      <w:pPr>
        <w:pStyle w:val="TextoNormal"/>
      </w:pPr>
      <w:r w:rsidRPr="00A12D44">
        <w:rPr>
          <w:rStyle w:val="NumeroAFNegritaCaracter"/>
        </w:rPr>
        <w:t>3</w:t>
      </w:r>
      <w:r>
        <w:t>. La demanda de amparo se dirige contra estos Autos, a los que imputa lesión del derecho a la tutela judicial efectiva. Ante la colisión entre éste y lo dispuesto en los arts. 192.2 y 227 L.P.L. debe darse primacía a la tutela judicial efectiva, «pues en caso contrario se supeditaría la tutela judicial a la liquidez o solvencia económica del recurrente en el momento de anunciar el recurso». Es de destacar, por lo demás. que la recurrente «ha ofrecido la posibilidad de que judicialmente se fijen cautelas suficientes, de manera que siendo inocuas para los trabajadores posibiliten el acceso al recurso de la empresa».</w:t>
      </w:r>
    </w:p>
    <w:p w:rsidR="00A12D44" w:rsidRDefault="00A12D44" w:rsidP="00A12D44">
      <w:pPr>
        <w:pStyle w:val="TextoNormal"/>
      </w:pPr>
    </w:p>
    <w:p w:rsidR="00A12D44" w:rsidRDefault="00A12D44" w:rsidP="00A12D44">
      <w:pPr>
        <w:pStyle w:val="TextoNormal"/>
      </w:pPr>
      <w:r w:rsidRPr="00A12D44">
        <w:rPr>
          <w:rStyle w:val="NumeroAFNegritaCaracter"/>
        </w:rPr>
        <w:t>4</w:t>
      </w:r>
      <w:r>
        <w:t>. En providencia de 13 de enero de 1992, la Sección Cuarta de este Tribunal acordó, de conformidad con lo dispuesto en el art. 50.3 LOTC, conceder a la demandante de am</w:t>
      </w:r>
      <w:r>
        <w:lastRenderedPageBreak/>
        <w:t>paro y al Ministerio Fiscal plazo común de diez días para la formulación de alegaciones sobre la posible concurrencia de la causa de inadmisibilidad del art. 50.1 c) LOTC.</w:t>
      </w:r>
    </w:p>
    <w:p w:rsidR="00A12D44" w:rsidRDefault="00A12D44" w:rsidP="00A12D44">
      <w:pPr>
        <w:pStyle w:val="TextoNormal"/>
      </w:pPr>
    </w:p>
    <w:p w:rsidR="00A12D44" w:rsidRDefault="00A12D44" w:rsidP="00A12D44">
      <w:pPr>
        <w:pStyle w:val="TextoNormal"/>
      </w:pPr>
      <w:r w:rsidRPr="00A12D44">
        <w:rPr>
          <w:rStyle w:val="NumeroAFNegritaCaracter"/>
        </w:rPr>
        <w:t>5</w:t>
      </w:r>
      <w:r>
        <w:t>. La representación de la organización recurrente insiste en sus alegaciones en que las resoluciones impugnadas impiden el acceso al recurso de suplicación por el solo hecho de carecer de liquidez para afrontar la consignación. Se destaca asimismo que se ofrecieron al Juzgado «otras medidas cautelares que, siendo bastante para asegurar las resultas de recurso de suplicación, fueran inocuas para los trabajadores», quedando «expresamente abierta la posibilidad al Juzgado de que, en aplicación del principio pro operario, pudiera adoptar otras complementarias que, facilitando el acceso al recurso, salvaguardasen los legítimos intereses de los trabajadores». Pudo acordar en concreto que «continuase vigente la relación laboral o que la Federación abonase las cantidades que correspondiese percibir como salarios, en definitiva, primando la tutela judicial efectiva». Existiría, pues, una colisión entre el derecho a la tutela judicial efectiva y el contenido de la norma adjetiva aplicado por los órganos judiciales, lo que justificaría la inadmisión a trámite.</w:t>
      </w:r>
    </w:p>
    <w:p w:rsidR="00A12D44" w:rsidRDefault="00A12D44" w:rsidP="00A12D44">
      <w:pPr>
        <w:pStyle w:val="TextoNormal"/>
      </w:pPr>
    </w:p>
    <w:p w:rsidR="00A12D44" w:rsidRDefault="00A12D44" w:rsidP="00A12D44">
      <w:pPr>
        <w:pStyle w:val="TextoNormal"/>
      </w:pPr>
      <w:r w:rsidRPr="00A12D44">
        <w:rPr>
          <w:rStyle w:val="NumeroAFNegritaCaracter"/>
        </w:rPr>
        <w:t>6</w:t>
      </w:r>
      <w:r>
        <w:t>. El Ministerio Fiscal interesa, en sus alegaciones, la inadmisión a trámite de la demanda. Tras recapitular los antecedentes y la jurisprudencia constitucional en materia de requisitos de acceso a los recursos legalmente establecidos, concluye que las resoluciones judiciales no han vulnerado el art. 24.1 C.E. La recurrente, que no litigaba acogida al beneficio de pobreza, no ha consignado ni ofrecido los medios sustitutorios previstos en el art. 227 L.P.L. La oferta de avalar los intereses es, por otra parte, «insuficiente e insus- tancial» respecto de la ratio de aquel precepto.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Tras las alegaciones de la parte y del Ministerio Fiscal, es preciso confirmar la concurrencia de la causa de inadmisión puesta de manifiesto en nuestra providencia del pasado 13 de enero, toda vez que la demanda carece manifiestamente de contenido que justifique una decisión sobre el fondo de la misma por parte de este Tribunal.</w:t>
      </w:r>
    </w:p>
    <w:p w:rsidR="00A12D44" w:rsidRDefault="00A12D44" w:rsidP="00A12D44">
      <w:pPr>
        <w:pStyle w:val="TextoNormal"/>
      </w:pPr>
    </w:p>
    <w:p w:rsidR="00A12D44" w:rsidRDefault="00A12D44" w:rsidP="00A12D44">
      <w:pPr>
        <w:pStyle w:val="TextoNormal"/>
      </w:pPr>
      <w:r w:rsidRPr="00A12D44">
        <w:rPr>
          <w:rStyle w:val="NumeroAFNegritaCaracter"/>
        </w:rPr>
        <w:t>2</w:t>
      </w:r>
      <w:r>
        <w:t>. Son ya numerosos los pronunciamientos de este Tribunal que se han ocupado de la consignación de la cantidad objeto de la condena, tradicionalmente establecida como requisito para la admisión de los recursos laborales de suplicación o casación. En ellos se ha descartado que esta exigencia sea contraria al art. 14 C.E. ni, por lo que ahora interesa, al art. 24.1 C.E. En este sentido, el requisito de la consignación no impone, en principio, una carga excesiva para quien pretende recurrir en suplicación o casación a la vista de las finalidades que cumple en la ordenación del proceso laboral - asegurar la ejecución de la Sentencia, reducir el planteamiento de recursos meramente dilatorios que retrasen injustificadamente el abono al trabajador-, de las cantidades reconocidas en la instancia y garantizar la irrenunciabilidad de los derechos del trabajador. La adecuación de la consignación para recurrir al derecho a la tutela judicial efectiva ha sido extensamente razonada en la STC 3/1983, a la que nos remitimos, y posteriormente reiterada en numerosas resoluciones (por ejemplo, SSTC 78/1983, 109/1983, 20/1984 y AATC 106/1983, 175/1983, 236/1986, 310/1983, 763/1984, 170/1986, 1112/1986, 1113/1986, 1251/1987 y 122/1988).</w:t>
      </w:r>
    </w:p>
    <w:p w:rsidR="00A12D44" w:rsidRDefault="00A12D44" w:rsidP="00A12D44">
      <w:pPr>
        <w:pStyle w:val="TextoNormal"/>
      </w:pPr>
      <w:r>
        <w:lastRenderedPageBreak/>
        <w:t>La jurisprudencia de este Tribunal ha insistido, por otra parte, en la posibilidad de ofrecer medios alternativos a la consignación en metálico, siempre que quien pretenda recurrir en casación o suplicación acredite la existencia de imposibilidad de realizar la consignación en metálico y los medios ofrecidos puedan considerarse equivalentes en cuanto a su eficacia.  Corresponde, sin embargo, a los órganos judiciales valorar razonadamente la concurrencia de aquella circunstancia y la suficiencia de éstos. Valoración que sólo es susceptible de ser revisada en amparo en los casos de inexistencia de razonamiento o arbitrariedad (SSTC 9/1983, 14/1983 y 46/1983) -que no aparece cuando el recurrente se limitó a alegar dificultades genéricas para efectuar la consignación (STC 100/1983) ni ofreció un medio garantía que no alcanza su efectividad (STC 76/1985)-.</w:t>
      </w:r>
    </w:p>
    <w:p w:rsidR="00A12D44" w:rsidRDefault="00A12D44" w:rsidP="00A12D44">
      <w:pPr>
        <w:pStyle w:val="TextoNormal"/>
      </w:pPr>
      <w:r>
        <w:t>Conviene no olvidar, en fin, que el Legislador ha recogido la doctrina constitucional en la nueva Ley de Procedimiento Laboral aprobada en 1990. La consignación en metálico, según el art. 227 del nuevo texto, puede ser sustituida «por el aseguramiento mediante aval bancario, en el que deberá hacerse constar la responsabilidad solidaria del avalista». Por otra parte, el art. 192.3 L.P.L. ha previsto la posibilidad de subsanar defectos en la cuantía de la consignación, si bien la infracción frontal de este deber conduce a la inadmisión del recurso (art. 192.2 L.P.L.). Y han sido precisamente estas normas, de cuya constitucionalidad no puede dudarse, las que se han aplicado a la ahora recurrente.</w:t>
      </w:r>
    </w:p>
    <w:p w:rsidR="00A12D44" w:rsidRDefault="00A12D44" w:rsidP="00A12D44">
      <w:pPr>
        <w:pStyle w:val="TextoNormal"/>
      </w:pPr>
    </w:p>
    <w:p w:rsidR="00A12D44" w:rsidRDefault="00A12D44" w:rsidP="00A12D44">
      <w:pPr>
        <w:pStyle w:val="TextoNormal"/>
      </w:pPr>
      <w:r w:rsidRPr="00A12D44">
        <w:rPr>
          <w:rStyle w:val="NumeroAFNegritaCaracter"/>
        </w:rPr>
        <w:t>3</w:t>
      </w:r>
      <w:r>
        <w:t>. A la vista de la doctrina constitucional reseñada y de los preceptos legales aplicados, no cabe duda de que la demanda que ahora se enjuicia carece manifiestamente de contenido que justifique su admisión a trámite. De entrada, los órganos judiciales se han limitado a aplicar razonadamente normas con rango de Ley que, como menos visto, se limitan a objetivar y generalizar reiterada doctrina de este Tribunal. Y dado que, a la vista de ésta, no puede siquiera sospecharse que el art. 227 L.P.L. sea inconstitucional por contrario al art.  24.1 C.E., mal puede imputarse lesión del derecho fundamental a la tutela judicial efectiva a las resoluciones impugnadas.</w:t>
      </w:r>
    </w:p>
    <w:p w:rsidR="00A12D44" w:rsidRDefault="00A12D44" w:rsidP="00A12D44">
      <w:pPr>
        <w:pStyle w:val="TextoNormal"/>
      </w:pPr>
      <w:r>
        <w:t>En efecto, aplicando razonada y razonablemente las normas que regulan la consignación para recurrir en la nueva Ley de Procedimiento Laboral, resulta difícil si no imposible que un órgano judicial infrinja el art. 24.1 C.E. en la interpretación que este Tribunal le ha dado en relación con la cuestión que nos ocupa. De hecho, en el concreto supuesto que ahora se resuelve no existe en modo alguno lesión del citado derecho fundamental. De un lado, la entidad recurrente se ha limitado a alegar como dificultades la «carencia de liquidez».  Alegación que los órganos judiciales han inatendido motivadamente -lo que resulta ajustado al art. 24.1 C.E., como ya se ha señalado-. De otro, su oferta de medidas alternativas, rechazada también razonadamente por los órganos judiciales, aparece insuficiente dada la finalidad que cumple la consignación legalmente establecida. Desde luego, el aval ofrecido por la recurrente por «los intereses de demora de la cantidad a que resultó condenada» nada tiene que ver con tal finalidad -y en ello se han extendido ya las resoluciones impugnadas-. Pero es que otras posibilidades argumentadas en las alegaciones vertidas en el trámite del art. 50.3 LOTC -continuidad en el mantenimiento de las percepciones salariales- tampoco satisfacen de forma suficiente la finalidad de la consignación, pues ésta, entre otras cosas, busca asegurar el cumplimiento de la condena -siendo ajena a esta idea la eventual percepción de salarios de sustanciación-. En consecuencia, nada puede objetarse desde el punto de vista constitucional a las resoluciones judiciales que han inadmitido el recurso de suplicación interpuesto sin cumplimiento de los requisitos legales.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veinte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7" w:name="AUTO_1992_56"/>
      <w:r>
        <w:lastRenderedPageBreak/>
        <w:t>AUTO 56/1992, de 21 de febrero de 1992</w:t>
      </w:r>
    </w:p>
    <w:bookmarkEnd w:id="127"/>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ECLI:ES:TC:1992:56A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2.182/1991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registrado en este Tribunal el 30 de octubre de 1991, el Procurador don Elías López Arevalillo, obrando en nombre y representación de la entidad deportiva Club de Baloncesto Atlético de Madrid-Villalba, interpuso recurso de amparo contra los actos y omisiones del Juzgado de Primera Instancia núm. 2 de los de Collado Villalba (Madrid) en los procedimientos de juicio de, menor cuantía núms. 285 y 286 de 1991. </w:t>
      </w:r>
    </w:p>
    <w:p w:rsidR="00A12D44" w:rsidRDefault="00A12D44" w:rsidP="00A12D44">
      <w:pPr>
        <w:pStyle w:val="TextoNormal"/>
      </w:pPr>
    </w:p>
    <w:p w:rsidR="00A12D44" w:rsidRDefault="00A12D44" w:rsidP="00A12D44">
      <w:pPr>
        <w:pStyle w:val="TextoNormal"/>
      </w:pPr>
      <w:r>
        <w:t xml:space="preserve">La demanda trae causa de los hechos que a continuación se relatan: </w:t>
      </w:r>
    </w:p>
    <w:p w:rsidR="00A12D44" w:rsidRDefault="00A12D44" w:rsidP="00A12D44">
      <w:pPr>
        <w:pStyle w:val="TextoNormal"/>
      </w:pPr>
    </w:p>
    <w:p w:rsidR="00A12D44" w:rsidRDefault="00A12D44" w:rsidP="00A12D44">
      <w:pPr>
        <w:pStyle w:val="TextoNormal"/>
      </w:pPr>
      <w:r>
        <w:t xml:space="preserve">A) El 20 de junio de 1991, y por el Juzgado de Primera Instancia núm. 2 de Villalba, se admitió a trámite, la demanda de juicio de menor cuantía formulada por don Justo Miguel Medrano y otros contra el representante legal del Club de Baloncesto Atlético de Madrid-Villalba (C.B.A.M.V.), registrándose con el núm. 285/91. La demanda versaba sobre, anulación; de, convocatoria de la reunión de la Junta Directiva realizada el 1 de junio anterior y para el siguiente 3 de junio. En el mismo día se, admitió igualmente la demanda deducida contra dicha entidad por don Pedro Luis Pascual Barroso, registrándose con el núm. 286/91. Mediante Auto del 25 de julio, acordó el Juzgado acumular ambos procedimientos, así como alzar la suspensión decretada en los mismos, emplazar al demandado en legal forma y citar a las partes a la comparecencia prevista en el art. 1428 de la L.E.C. para el siguiente 27 de junio. Contra este Auto la aquí actora interpuso recurso de apelación, en el que suplicaba la suspensión de la comparecencia señalada aduciendo: a) emplazamiento defectuoso y desconocimiento de la medida cautelar solicitada por los demandantes: b)incompetencia del Juzgado para adoptar tal medida. </w:t>
      </w:r>
    </w:p>
    <w:p w:rsidR="00A12D44" w:rsidRDefault="00A12D44" w:rsidP="00A12D44">
      <w:pPr>
        <w:pStyle w:val="TextoNormal"/>
      </w:pPr>
    </w:p>
    <w:p w:rsidR="00A12D44" w:rsidRDefault="00A12D44" w:rsidP="00A12D44">
      <w:pPr>
        <w:pStyle w:val="TextoNormal"/>
      </w:pPr>
      <w:r>
        <w:t xml:space="preserve">En el día de la repetida comparecencia, el Juez admite la petición de desistimiento formulada por la representación del señor Pascual Barroso, y «habiendo quedado sin efecto la acumulación decretada mediante el Auto de 25 de junio de 1991, y comprobando que la diligencia de emplazamiento no se ha efectuado... sino en la forma legal al Delegado del Club en esta localidad, procede no admitir el recurso contra el Auto dado que carece va de contenido Y celebrar la comparecencia que para el día de hoy al objeto de oír a las partes respecto a la medida cautelar solicitada fue fijada en su día». A continuación defendieron los contendientes sus respectivas posiciones. </w:t>
      </w:r>
    </w:p>
    <w:p w:rsidR="00A12D44" w:rsidRDefault="00A12D44" w:rsidP="00A12D44">
      <w:pPr>
        <w:pStyle w:val="TextoNormal"/>
      </w:pPr>
    </w:p>
    <w:p w:rsidR="00A12D44" w:rsidRDefault="00A12D44" w:rsidP="00A12D44">
      <w:pPr>
        <w:pStyle w:val="TextoNormal"/>
      </w:pPr>
      <w:r>
        <w:lastRenderedPageBreak/>
        <w:t xml:space="preserve">Mediante escrito del mismo 27 de junio, el C.B.A.M.V. se dirigió al Juzgado interesando que «declare, de oficio, la nulidad de todas las actuaciones practicadas hasta la fecha en los procedimientos núms. 285/91 y 286/91, previa audiencia de las partes». Por Auto del 28 de junio, el Juez resolvió suspender provisionalmente los acuerdos adoptados en la reunión de la Junta Directiva del C.B.A.M.V. celebrada el 3 de junio y fijar como fianza previa a cargo de los demandantes, para responder de los eventuales daños y perjuicios que pudieron irrogarse, la suma de 1.000.000 de pesetas. El 1 de julio se dictó providencia en la que, cumplido el requisito de prestación de Fianza, se acordaba dar ejecutividad a la suspensión provisional decretada y remitir telegrama al efecto al Presidente o representante legal del C.B.A.M.V. </w:t>
      </w:r>
    </w:p>
    <w:p w:rsidR="00A12D44" w:rsidRDefault="00A12D44" w:rsidP="00A12D44">
      <w:pPr>
        <w:pStyle w:val="TextoNormal"/>
      </w:pPr>
    </w:p>
    <w:p w:rsidR="00A12D44" w:rsidRDefault="00A12D44" w:rsidP="00A12D44">
      <w:pPr>
        <w:pStyle w:val="TextoNormal"/>
      </w:pPr>
      <w:r>
        <w:t xml:space="preserve">Según la entidad actora, en su escrito de demanda de amparo contra el Auto (sic) de 1 de julio interpuso recurso de reposición. Asimismo, el 4 de julio presentó un escrito pidiendo el alzamiento de las medidas acordadas en el Auto de 28 de junio y ofreciendo fianza o aval bancario suficiente para respaldar los daños y perjuicios que pudieran ocasionarse a los demandantes. Igualmente, formuló recurso de apelación contra el Auto de 28 de junio. También presentó un escrito de sustitución del Procurador hasta entonces actuante y otro pidiendo copias de las demandas de menor cuantía núms. 285/91 y 286/91. Por providencia del 5 de julio, el Juez denegó el cambio de Procurador, al no ratificar el sustituto los escritos presentados. Efectuada esta ratificación, el Juez, sin embargo, no dio curso a los recursos interpuestos. </w:t>
      </w:r>
    </w:p>
    <w:p w:rsidR="00A12D44" w:rsidRDefault="00A12D44" w:rsidP="00A12D44">
      <w:pPr>
        <w:pStyle w:val="TextoNormal"/>
      </w:pPr>
    </w:p>
    <w:p w:rsidR="00A12D44" w:rsidRDefault="00A12D44" w:rsidP="00A12D44">
      <w:pPr>
        <w:pStyle w:val="TextoNormal"/>
      </w:pPr>
      <w:r>
        <w:t xml:space="preserve">El 19 de julio se dicta nuevo Auto, contra el que la actora formula recurso de apelación, que se tuvo por interpuesto el 6 de septiembre, sin que desde entonces se haya sabido más de dicho recurso. </w:t>
      </w:r>
    </w:p>
    <w:p w:rsidR="00A12D44" w:rsidRDefault="00A12D44" w:rsidP="00A12D44">
      <w:pPr>
        <w:pStyle w:val="TextoNormal"/>
      </w:pPr>
    </w:p>
    <w:p w:rsidR="00A12D44" w:rsidRDefault="00A12D44" w:rsidP="00A12D44">
      <w:pPr>
        <w:pStyle w:val="TextoNormal"/>
      </w:pPr>
      <w:r>
        <w:t xml:space="preserve">El 16 de julio se da traslado a la actora de la demanda 285/91 para su contestación, lo que tuvo lugar el 19 de julio. </w:t>
      </w:r>
    </w:p>
    <w:p w:rsidR="00A12D44" w:rsidRDefault="00A12D44" w:rsidP="00A12D44">
      <w:pPr>
        <w:pStyle w:val="TextoNormal"/>
      </w:pPr>
    </w:p>
    <w:p w:rsidR="00A12D44" w:rsidRDefault="00A12D44" w:rsidP="00A12D44">
      <w:pPr>
        <w:pStyle w:val="TextoNormal"/>
      </w:pPr>
      <w:r>
        <w:t xml:space="preserve">El 2 de septiembre de 1991 se dicta Auto, frente al que, el 9 de septiembre, se interpone también recurso de apelación, del que nada se conoce al presente. </w:t>
      </w:r>
    </w:p>
    <w:p w:rsidR="00A12D44" w:rsidRDefault="00A12D44" w:rsidP="00A12D44">
      <w:pPr>
        <w:pStyle w:val="TextoNormal"/>
      </w:pPr>
    </w:p>
    <w:p w:rsidR="00A12D44" w:rsidRDefault="00A12D44" w:rsidP="00A12D44">
      <w:pPr>
        <w:pStyle w:val="TextoNormal"/>
      </w:pPr>
      <w:r>
        <w:t xml:space="preserve">B) Con anterioridad a todas estas resoluciones y recursos, el 30 de junio tuvo lugar una Asamblea General Extraordinaria del C.B.A.M.V., en la que se aprobó una moción de censura contra la Junta Directiva, que fue sustituida por otra presidida por don Vicente Carretero García, la cual fue reconocida por Resolución del 24 de julio de la Dirección General de Deportes de la Consejería de Educación de la Comunidad de Madrid, Resolución confirmada en alzada por la de 31 de julio. Contra ambas interpuso don Jesús Gil y Gil recurso contencioso- administrativo. </w:t>
      </w:r>
    </w:p>
    <w:p w:rsidR="00A12D44" w:rsidRDefault="00A12D44" w:rsidP="00A12D44">
      <w:pPr>
        <w:pStyle w:val="TextoNormal"/>
      </w:pPr>
    </w:p>
    <w:p w:rsidR="00A12D44" w:rsidRDefault="00A12D44" w:rsidP="00A12D44">
      <w:pPr>
        <w:pStyle w:val="TextoNormal"/>
      </w:pPr>
      <w:r>
        <w:t xml:space="preserve">Pues bien: mediante providencia del Juzgado de fecha 30 de julio, se da cuenta del citado reconocimiento, requiriéndose al señor Carretero para que pruebe la firmeza del mismo. Frente a esta providencia la aquí actora formuló recurso de reposición. Días antes, el 20 de julio, el Juez cita a las partes para la comparecencia que habrá de celebrarse el 3 de septiembre. En esta comparecencia se halla presente don Vicente Carretero, quien pide el allanamiento en el procedimiento, manifestándose la aquí actora en contra de su reconocimiento como Presidente, puesto que la Resolución de la Comunidad Autónoma había sido impugnada. El Juez suspendió el acto por diez días a fin de que el señor Carretero </w:t>
      </w:r>
      <w:r>
        <w:lastRenderedPageBreak/>
        <w:t xml:space="preserve">justificara la revocación de los poderes a la Procuradora de la repetida entidad actora, cuestión aducida en la comparecencia. </w:t>
      </w:r>
    </w:p>
    <w:p w:rsidR="00A12D44" w:rsidRDefault="00A12D44" w:rsidP="00A12D44">
      <w:pPr>
        <w:pStyle w:val="TextoNormal"/>
      </w:pPr>
    </w:p>
    <w:p w:rsidR="00A12D44" w:rsidRDefault="00A12D44" w:rsidP="00A12D44">
      <w:pPr>
        <w:pStyle w:val="TextoNormal"/>
      </w:pPr>
      <w:r>
        <w:t>La actora presentó el 13 de septiembre un escrito alegando que la Resolución de 24 de julio de la Comunidad de Madrid no era firme. Por providencia del 23 de septiembre, se ordena poner en conocimiento de la Procuradora de la entidad actora que su poder había sido revocado el 31 de julio expresamente ante Notario, y además tácitamente, al haberse personado en forma por el demandado, el 20 de septiembre, otro Procurador. Contra esta providencia interpuso la aquí actora recurso de reposición, el cual le fue devuelto mediante providencia de 30 de septiembre, declarando no haber lugar a admitir el escrito presentado por la Procuradora referida por haberle sido revocado el poder.</w:t>
      </w:r>
    </w:p>
    <w:p w:rsidR="00A12D44" w:rsidRDefault="00A12D44" w:rsidP="00A12D44">
      <w:pPr>
        <w:pStyle w:val="TextoNormal"/>
      </w:pPr>
    </w:p>
    <w:p w:rsidR="00A12D44" w:rsidRDefault="00A12D44" w:rsidP="00A12D44">
      <w:pPr>
        <w:pStyle w:val="TextoNormal"/>
      </w:pPr>
      <w:r w:rsidRPr="00A12D44">
        <w:rPr>
          <w:rStyle w:val="NumeroAFNegritaCaracter"/>
        </w:rPr>
        <w:t>2</w:t>
      </w:r>
      <w:r>
        <w:t>. En la parte de su escrito de demanda dedicada a la fundamentación jurídica del recurso de amparo, la actora aduce como vulnerados los derechos a la tutela judicial efectiva y a un proceso sin dilaciones indebidas. Menciona también la violación del art. 14 C.E. (no citado en el suplico) y alude asimismo (sólo en el suplico) al derecho a la defensa. En el petitum se solicita que el tribunal declare la nulidad de todas las actuaciones procesales habidas en los procedimientos de juicio de menor cuantía núms. 285/91 y 286/91 desde la emisión del Auto de 25 de junio de 1991, interesándose igualmente, por medio de otrosí, la suspensión de dichos procedimientos.</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15 de noviembre de 1991, la Sección acordó tener por interpuesto el presente recurso, así como, dado el cambio operado en la composición de la Junta Directiva de la entidad actora y la eventualidad de que tal órgano rector, atendidas las circunstancias concurrentes en este caso, ignorase la existencia de la acción ejercitada, poner la misma en conocimiento del actual Presidente del Club demandante, don Vicente Carretero García, representado en el procedimiento judicial de que trae causa el recurso de amparo por el Procurador don Damián Bartolomé Garretas, a fin de que en el plazo de diez días manifestara lo que estimase oportuno sobre el mantenimiento del recurso entablado.</w:t>
      </w:r>
    </w:p>
    <w:p w:rsidR="00A12D44" w:rsidRDefault="00A12D44" w:rsidP="00A12D44">
      <w:pPr>
        <w:pStyle w:val="TextoNormal"/>
      </w:pPr>
    </w:p>
    <w:p w:rsidR="00A12D44" w:rsidRDefault="00A12D44" w:rsidP="00A12D44">
      <w:pPr>
        <w:pStyle w:val="TextoNormal"/>
      </w:pPr>
      <w:r w:rsidRPr="00A12D44">
        <w:rPr>
          <w:rStyle w:val="NumeroAFNegritaCaracter"/>
        </w:rPr>
        <w:t>4</w:t>
      </w:r>
      <w:r>
        <w:t>. Mediante escrito registrado el 4 de diciembre siguiente, el Procurador don Roberto Granizo Palomeque, actuando en nombre y representación del Club de Baloncesto Collado-Villalba (antes Club de Baloncesto Atlético de Madrid- Villalba), manifestó venir a apartarse y desistir del recurso interpuesto, según acuerdo adoptado el 2 de diciembre anterior por la Junta Directiva de la citada entidad, que asimismo adjuntaba.</w:t>
      </w:r>
    </w:p>
    <w:p w:rsidR="00A12D44" w:rsidRDefault="00A12D44" w:rsidP="00A12D44">
      <w:pPr>
        <w:pStyle w:val="TextoNormal"/>
      </w:pPr>
    </w:p>
    <w:p w:rsidR="00A12D44" w:rsidRDefault="00A12D44" w:rsidP="00A12D44">
      <w:pPr>
        <w:pStyle w:val="TextoNormal"/>
      </w:pPr>
      <w:r w:rsidRPr="00A12D44">
        <w:rPr>
          <w:rStyle w:val="NumeroAFNegritaCaracter"/>
        </w:rPr>
        <w:t>5</w:t>
      </w:r>
      <w:r>
        <w:t>. Por providencia del 16 de diciembre, resolvió la Sección otorgar un plazo común de cinco días al Ministerio Fiscal y al Procurador señor López Arevalillo para que alegasen lo que estimaran procedente sobre el desistimiento interesado por el Procurador señor Granizo en la representación en que comparece y las atribuciones otorgadas en el poder presentado.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Ministerio Fiscal evacuó el trámite conferido mediante escrito registrado el 20 de diciembre, en el que estimó procedente dictar Auto por el que se acuerde tener por desistido del presente recurso de amparo al C.B.A.M.V. La petición de desistimiento del Club de Baloncesto Collado-Vilalba -afirma el Fiscal- se efectúa por medio de representación con poder suficiente para ello, en el que aparece expresamente facultado el Procurador para </w:t>
      </w:r>
      <w:r>
        <w:lastRenderedPageBreak/>
        <w:t>desistir del proceso ya iniciado, sin que de ello se derive perjuicio de parte ni daño para el interés general o público. Aunque el recurso se ha promovido a nombre del C.B.A.M.V., de la documentación aportada aparece que se trata de la misma asociación deportiva ahora denominada Club de Baloncesto Collado-Villalba, de la que es Presidente don Vicente Carretero García, que en virtud de las facultades otorgadas en los Estatutos confiere poder general para pleitos, con facultad expresa para desistir, al Procurador don Roberto Granizo Palomeque.</w:t>
      </w:r>
    </w:p>
    <w:p w:rsidR="00A12D44" w:rsidRDefault="00A12D44" w:rsidP="00A12D44">
      <w:pPr>
        <w:pStyle w:val="TextoNormal"/>
      </w:pPr>
    </w:p>
    <w:p w:rsidR="00A12D44" w:rsidRDefault="00A12D44" w:rsidP="00A12D44">
      <w:pPr>
        <w:pStyle w:val="TextoNormal"/>
      </w:pPr>
      <w:r w:rsidRPr="00A12D44">
        <w:rPr>
          <w:rStyle w:val="NumeroAFNegritaCaracter"/>
        </w:rPr>
        <w:t>7</w:t>
      </w:r>
      <w:r>
        <w:t xml:space="preserve">. El 27 de diciembre presentó su escrito de alegaciones el Procurador señor López Arevalillo, aduciendo que la cuestión planteada por el Procurador señor Granizo es el fondo del presente recurso de amparo, ya que la presidencia de la entidad deportiva se encuentra en litigio, habiéndose impugnado «por esta parte» la Asamblea General Extraordinaria de socios del C. B.A.M.V. celebrada el 30 de junio de 1991. Asimismo, se encuentra recurrida la Resolución del Director general de Deportes de la Comunidad de Madrid de 24 de julio de 1991, por la que se reconoce a la Junta Directiva salida de la moción de censura. Dicha Junta, que dice representar el señor Granizo. «no es firme y en consecuencia, mientras no exista Sentencia que la confirme como tal, existen dos Juntas Directivas presididas por don Jesús Gil y Gil y la otra por el señor don Vicente Carretero García, y la preeminencia de una de ellas depende de las resoluciones judiciales pertinentes que se produzcan». </w:t>
      </w:r>
    </w:p>
    <w:p w:rsidR="00A12D44" w:rsidRDefault="00A12D44" w:rsidP="00A12D44">
      <w:pPr>
        <w:pStyle w:val="TextoNormal"/>
      </w:pPr>
    </w:p>
    <w:p w:rsidR="00A12D44" w:rsidRDefault="00A12D44" w:rsidP="00A12D44">
      <w:pPr>
        <w:pStyle w:val="TextoNormal"/>
      </w:pPr>
      <w:r>
        <w:t xml:space="preserve">De otra parte, es necesario hacer constar que el que firma, como Presidente en funciones (don Juan Concepción), la certificación del Acuerdo adjuntado al escrito de desistimiento no es el señor Carretero, sino otro que no está habilitado para ello. De modo que, ¿hasta qué punto es válido el desistimiento por carecer de poderes válidos para ello el que lo ejerce? </w:t>
      </w:r>
    </w:p>
    <w:p w:rsidR="00A12D44" w:rsidRDefault="00A12D44" w:rsidP="00A12D44">
      <w:pPr>
        <w:pStyle w:val="TextoNormal"/>
      </w:pPr>
    </w:p>
    <w:p w:rsidR="00A12D44" w:rsidRDefault="00A12D44" w:rsidP="00A12D44">
      <w:pPr>
        <w:pStyle w:val="TextoNormal"/>
      </w:pPr>
      <w:r>
        <w:t>Tras efectuar otras consideraciones, la representación indicada concluye con la súplica de que siga adelante el recurso de amparo planteado, desestimando el Tribunal el desistimiento presentado por el Procurador señor Granizo, «por no hacerlo en nuestro nombre y representar otros intereses distintos a los de esta parte, sin perjuicio de que pueda constituirse en parte de este recurso...».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preciso ante todo poner de relieve que el presente recurso de amparo ha sido interpuesto por el Procurador don Elías López Arevalillo en nombre de la entidad deportiva Club de Baloncesto Atlético de Madrid-Villalba, y no de los directivos de la citada entidad, cuya válida persistencia o no en el cargo que ostentaron en la misma -cuestión que compete decidir a los órganos judiciales ordinarios- en nada cabe que influya ahora para denegar la solicitud de desistimiento que se examina.</w:t>
      </w:r>
    </w:p>
    <w:p w:rsidR="00A12D44" w:rsidRDefault="00A12D44" w:rsidP="00A12D44">
      <w:pPr>
        <w:pStyle w:val="TextoNormal"/>
      </w:pPr>
    </w:p>
    <w:p w:rsidR="00A12D44" w:rsidRDefault="00A12D44" w:rsidP="00A12D44">
      <w:pPr>
        <w:pStyle w:val="TextoNormal"/>
      </w:pPr>
      <w:r w:rsidRPr="00A12D44">
        <w:rPr>
          <w:rStyle w:val="NumeroAFNegritaCaracter"/>
        </w:rPr>
        <w:t>2</w:t>
      </w:r>
      <w:r>
        <w:t>. El poder para pleitos conferido al Procurador citado, en cuya virtud asumía la representación de la actora en este proceso, fue otorgado el 27 de junio de 1991 por don</w:t>
      </w:r>
    </w:p>
    <w:p w:rsidR="00A12D44" w:rsidRDefault="00A12D44" w:rsidP="00A12D44">
      <w:pPr>
        <w:pStyle w:val="TextoNormal"/>
      </w:pPr>
      <w:r>
        <w:t>Enrique Cerezo Torres en nombre del C.B.A.M.V., facultada especialmente para tal otorgamiento por Acuerdo de su Junta Directiva en su sesión del 24 de junio anterior, según certificación expedida por el Secretario de la entidad, don Lázaro Albarracín Martí</w:t>
      </w:r>
      <w:r>
        <w:lastRenderedPageBreak/>
        <w:t>nez, con el visto bueno del Presidente de la misma, don Jesús Gil y Gil. Ahora bien, la Directiva del Club, a resultas de la moción de censura aprobada en la Asamblea General Extraordinaria de 30 de junio de 1991, fue sustituida por otra presidida por don Vicente Carretero García, la cual fue reconocida por resolución del siguiente 24 de julio de la Dirección General de Deportes de la Consejería de Educación de la Comunidad de Madrid, resolución confirmada en alzada por la de 31 de julio.</w:t>
      </w:r>
    </w:p>
    <w:p w:rsidR="00A12D44" w:rsidRDefault="00A12D44" w:rsidP="00A12D44">
      <w:pPr>
        <w:pStyle w:val="TextoNormal"/>
      </w:pPr>
      <w:r>
        <w:t>La nueva Junta Directiva de la sociedad demandante -ahora denominada Club de Baloncesto Collado-Villalba-, en su reunión del 2 de diciembre de 1991, acordó, según consta en la certificación firmada por su Secretario, don Fernando García López, con el visto bueno del Presidente en funciones, don Juan Concepción, desistir del recurso interpuesto e instruir al efecto al Procurador señor Granizo. Este dispone de la facultad de desistir, contenida en la escritura de poder general para pleitos otorgada el 25 de octubre de 1991 por don Vicente Carretero en su calidad de Presidente del Club.</w:t>
      </w:r>
    </w:p>
    <w:p w:rsidR="00A12D44" w:rsidRDefault="00A12D44" w:rsidP="00A12D44">
      <w:pPr>
        <w:pStyle w:val="TextoNormal"/>
      </w:pPr>
    </w:p>
    <w:p w:rsidR="00A12D44" w:rsidRDefault="00A12D44" w:rsidP="00A12D44">
      <w:pPr>
        <w:pStyle w:val="TextoNormal"/>
      </w:pPr>
      <w:r w:rsidRPr="00A12D44">
        <w:rPr>
          <w:rStyle w:val="NumeroAFNegritaCaracter"/>
        </w:rPr>
        <w:t>3</w:t>
      </w:r>
      <w:r>
        <w:t>. Así las cosas, la petición de desistimiento formulada por la actora debe ser atendida, ya que la misma aparece revestida de los requisitos que establece la legislación a que se remite, con carácter supletorio, el art. 80 de la LOTC; entre ellos la facultad para desistir conferida por la entidad recurrente al Procurador don Roberto Granizo. De otro lado, y como observa el Ministerio Fiscal, no se aprecia que de la decisión a adoptar se derive perjuicio de parte ni daño para el interés general o público, pues, en cuanto a lo primero, siendo única la personalidad de la sociedad actora y habiéndose formulado el recurso de amparo solamente por ella, ningún perjuicio se puede originar a quienes en este momento, y mientras los Tribunales no resuelvan otra cosa, carecen de la condición de directivos de dicha sociedad. Es procedente, en consecuencia, sancionar afirmativamente la voluntad de desistir expresada, poniéndose fin al presente proceso.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su virtud, la Sección acuerda tener por desistido de la demanda al Club de Baloncesto Collado-Villalba (antes Club de Baloncesto Atlético de Madrid- Villalba) y el archivo de las actuaciones.</w:t>
      </w:r>
    </w:p>
    <w:p w:rsidR="00A12D44" w:rsidRDefault="00A12D44" w:rsidP="00A12D44">
      <w:pPr>
        <w:pStyle w:val="TextoNormal"/>
      </w:pPr>
    </w:p>
    <w:p w:rsidR="00A12D44" w:rsidRDefault="00A12D44" w:rsidP="00A12D44">
      <w:pPr>
        <w:pStyle w:val="TextoNormal"/>
      </w:pPr>
      <w:r>
        <w:t>Madrid, a veintiuno de febrero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8" w:name="AUTO_1992_57"/>
      <w:r>
        <w:lastRenderedPageBreak/>
        <w:t>AUTO 57/1992, de 24 de febrero de 1992</w:t>
      </w:r>
    </w:p>
    <w:bookmarkEnd w:id="128"/>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ECLI:ES:TC:1992:57A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457/1992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29" w:name="AUTO_1992_58"/>
      <w:r>
        <w:lastRenderedPageBreak/>
        <w:t>AUTO 58/1992, de 2 de marzo de 1992</w:t>
      </w:r>
    </w:p>
    <w:bookmarkEnd w:id="129"/>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ECLI:ES:TC:1992:58A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1.838/1991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22 de agosto de 1991 se presentó en el Registro General de este Tribunal por el Procurador de los Tribunales don Luciano Rosch Nadal amparo a nombre de don Rafael Méndez de la Cruz, contra Auto dictado por el Juzgado de Instrucción núm. 4 de los de Jerez de la Frontera, de 7 de diciembre de 1990, en sede de las diligencias previas 986/90, que se siguen en el mismo por un presunto delito contra la propiedad intelectual, por entender que se vulnera el derecho a la inviolabilidad del domicilio, a la tutela efectiva de Jueces y Tribunales en el ejercicio de los derechos e intereses legítimos del recurrente, y a la presunción de inocencia, regulados en los arts. 18.2, 24.1 y 24.2 C.E., Auto, ratificado posteriormente por el propio Juzgado de Instrucción en resolución de 21 de enero de 1991, desestimatorio de recurso de reforma, y por la Sección Primera de la Audiencia Provincial de Cádiz a través de Autos de 10 de junio de 1990 y 23 de julio de 1991, resolutorios respectivamente de los recursos de queja y súplica, interpuestos igualmente por el hoy recurrente en amparo.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basa, en síntesis, en los siguientes hechos: </w:t>
      </w:r>
    </w:p>
    <w:p w:rsidR="00A12D44" w:rsidRDefault="00A12D44" w:rsidP="00A12D44">
      <w:pPr>
        <w:pStyle w:val="TextoNormal"/>
      </w:pPr>
      <w:r>
        <w:t xml:space="preserve">a) Por Auto de 4 de diciembre de 1990 el Juzgado de Instrucción núm. 4 de Jérez de la Frontera emitió, en el seno de las diligencias indeterminadas 619/90, mandamiento de entrada y registro en uno de los locales en los que el recurrente, titular de una empresa relacionada con vídeos, ejerce su actividad comercial. </w:t>
      </w:r>
    </w:p>
    <w:p w:rsidR="00A12D44" w:rsidRDefault="00A12D44" w:rsidP="00A12D44">
      <w:pPr>
        <w:pStyle w:val="TextoNormal"/>
      </w:pPr>
      <w:r>
        <w:t xml:space="preserve">b) A raíz del registro efectuado por la Guardia Civil, al parecer auxiliada por terceras personas, se procede a la incautación de numeroso material que, puesto a disposición judicial, aún no ha sido ordenado, a fin de separar lo que resulte de interés de lo que sea irrelevante para la causa. </w:t>
      </w:r>
    </w:p>
    <w:p w:rsidR="00A12D44" w:rsidRDefault="00A12D44" w:rsidP="00A12D44">
      <w:pPr>
        <w:pStyle w:val="TextoNormal"/>
      </w:pPr>
      <w:r>
        <w:t xml:space="preserve">c) Confeccionado el pertinente atestado y presentado al Juzgado, éste, con fecha 7 de diciembre siguiente, abre las diligencias previas 986/90, por un presunto delito contra la propiedad intelectual contra el ahora recurrente. </w:t>
      </w:r>
    </w:p>
    <w:p w:rsidR="00A12D44" w:rsidRDefault="00A12D44" w:rsidP="00A12D44">
      <w:pPr>
        <w:pStyle w:val="TextoNormal"/>
      </w:pPr>
      <w:r>
        <w:t>d) El ahora demandante insta la nulidad de este Auto mediante un recurso de reforma que, desestimado, le lleva hasta la queja ante la Audiencia y la súplica contra la denegación de la queja.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demanda concluye con el petitum, cuyo tenor literal es como sigue: </w:t>
      </w:r>
    </w:p>
    <w:p w:rsidR="00A12D44" w:rsidRDefault="00A12D44" w:rsidP="00A12D44">
      <w:pPr>
        <w:pStyle w:val="TextoNormal"/>
      </w:pPr>
      <w:r>
        <w:lastRenderedPageBreak/>
        <w:t>«(que) se otorgue a mi principal el amparo solicitado, decretando la nulidad de la diligencia de entrada, registro, incautación, clausura y precintado llevada a cabo en el local sito en Jerez de la Frontera, calle Cuesta del Espíritu Santo, núms. 4 y 6, y en su consecuencia del Auto de incoación de diligencias previas núm. 986/90, que en base al mismo se incoaron así como de los Autos de fecha 10 de junio [de 1990] y 23 de julio de 1991, dictados por la audiencia Provincial de Cádiz; y reconociendo a don Rafael Méndez de la Cruz y a la entidad «Cauce, S.A.» que representa el derecho a la inviolabilidad del domicilio, a la tutela efectiva de los Jueces y Tribunales y a la presunción de inocencia, que tales actos han lesionado, se restablezca al mismo en la integridad de su derecho, ordenando la devolución al recurrente de todos los efectos que le fueron incautados por los miembros de la Guardia Civil, levantándose la orden de clausura que pesa sobre el local en cuestión, y haciéndosele entrega de la posesión de éste, así como se declare el derecho que ostenta a reclamar por la vía ordinaria, que legalmente corresponda a ser cumplido y cabalmente indemnizado en cuantos daños y perjuicios se le hayan ocasionado por tales actos con precisión de cuantas personas y entidades públicas y privadas sean solidaria o mancomunadamente responsables de la reparación íntegra de tales daños y perjuicios; todo ello con intervención del Ministerio Fiscal y audiencia o intervención de cuantas personas sean directa o indirectamente afectadas.»</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El actor fundamenta su queja constitucional menciondo tres órdenes de lesiones, a saber, la de la inviolabilidad domiciliaria, la de la tutela judicial efectiva y la de la presunción de inocencia. </w:t>
      </w:r>
    </w:p>
    <w:p w:rsidR="00A12D44" w:rsidRDefault="00A12D44" w:rsidP="00A12D44">
      <w:pPr>
        <w:pStyle w:val="TextoNormal"/>
      </w:pPr>
      <w:r>
        <w:t xml:space="preserve">La primera se entiende producida, toda vez que el registro practicado por la Guardia Civil en su local de negocio, pese a contar con mandamiento judicial no estuvo presenciado, como es preceptivo, por el Secretario judicial ni por testigos. Ante esta violación, reiteradamente denunciada, se sigue la violación de los demás derechos mencionados. Ello es así toda vez que no pudo estar presente en el registro el Letrado de designación del ahora recurrente, puesto que fue expulsado de la práctica de la citada diligencia, confeccionándose un acta consecuente a tal registro e incautación de material inexacta por defecto, dado que no figuran datos de legal y obligada transcripción. Además, se consignó en la citada acta que los agentes se sirvieron de un perito, no siendo esta persona más que el Letrado de la parte denunciante. </w:t>
      </w:r>
    </w:p>
    <w:p w:rsidR="00A12D44" w:rsidRDefault="00A12D44" w:rsidP="00A12D44">
      <w:pPr>
        <w:pStyle w:val="TextoNormal"/>
      </w:pPr>
      <w:r>
        <w:t xml:space="preserve">En segundo lugar, estas circunstancias han producido, además, la lesión del derecho a la tutela judicial efectiva, puesto que, junto a la investigación criminal de que el interesado es objeto, su local ha sido cerrado y precintado y, hasta la fecha, ninguno de los objetos incautados -no sólo las películas, sino también otros enseres e instrumentos- ha sido devuelto, privándosele de sus derechos sobre los mismos e impidiéndosele el ejercicio de su actividad profesional. Esta indefensión se ve incrementada ante la negativa de la Audien- cia a decretar la nulidad de actuaciones, puesto que, a fin de cuentas, lo actuado se basa en una diligencia practicada con graves defectos legales. </w:t>
      </w:r>
    </w:p>
    <w:p w:rsidR="00A12D44" w:rsidRDefault="00A12D44" w:rsidP="00A12D44">
      <w:pPr>
        <w:pStyle w:val="TextoNormal"/>
      </w:pPr>
      <w:r>
        <w:t xml:space="preserve">Finalmente, la presunción de inocencia ha sido igualmente vulnerada, dado que una actuación administrativa -la entrada y registro practicados en su local por la Guardia Civil- no se ha ajustado a los parámetros legales, constitucionalmente declarados aplicables a la misma. Ello conlleva dos consecuencias: a) que los Jueces y Tribunales no están legitimados para una actuación del poder punitivo del Estado sin existencia de prueba apta para una convicción, fruto del razonamiento lógico, sobre la culpabilidad de quien es sujeto pasivo del proceso; b) que, de darse tal prueba, si en su obtención ha existido infracción de </w:t>
      </w:r>
      <w:r>
        <w:lastRenderedPageBreak/>
        <w:t>los derechos fundamentales, aquélla deviene ilícita y, en consecuencia, su valoración está prohibida.</w:t>
      </w:r>
    </w:p>
    <w:p w:rsidR="00A12D44" w:rsidRDefault="00A12D44" w:rsidP="00A12D44">
      <w:pPr>
        <w:pStyle w:val="TextoNormal"/>
      </w:pPr>
    </w:p>
    <w:p w:rsidR="00A12D44" w:rsidRDefault="00A12D44" w:rsidP="00A12D44">
      <w:pPr>
        <w:pStyle w:val="TextoNormal"/>
      </w:pPr>
      <w:r w:rsidRPr="00A12D44">
        <w:rPr>
          <w:rStyle w:val="NumeroAFNegritaCaracter"/>
        </w:rPr>
        <w:t>5</w:t>
      </w:r>
      <w:r>
        <w:t>. Por proveído de la Sección, de 12 de diciembre de 1991, se acordó requerir al demandante para que justificara fehacientemente la fecha de notificación de la última resolución recaída y haber invocado debidamente los derechos presuntamente vulnerados.</w:t>
      </w:r>
    </w:p>
    <w:p w:rsidR="00A12D44" w:rsidRDefault="00A12D44" w:rsidP="00A12D44">
      <w:pPr>
        <w:pStyle w:val="TextoNormal"/>
      </w:pPr>
    </w:p>
    <w:p w:rsidR="00A12D44" w:rsidRDefault="00A12D44" w:rsidP="00A12D44">
      <w:pPr>
        <w:pStyle w:val="TextoNormal"/>
      </w:pPr>
      <w:r w:rsidRPr="00A12D44">
        <w:rPr>
          <w:rStyle w:val="NumeroAFNegritaCaracter"/>
        </w:rPr>
        <w:t>6</w:t>
      </w:r>
      <w:r>
        <w:t>. El 7 de enero de 1992 se presentó en el Registro de este Tribunal las referidas acreditaciones.</w:t>
      </w:r>
    </w:p>
    <w:p w:rsidR="00A12D44" w:rsidRDefault="00A12D44" w:rsidP="00A12D44">
      <w:pPr>
        <w:pStyle w:val="TextoNormal"/>
      </w:pPr>
    </w:p>
    <w:p w:rsidR="00A12D44" w:rsidRDefault="00A12D44" w:rsidP="00A12D44">
      <w:pPr>
        <w:pStyle w:val="TextoNormal"/>
      </w:pPr>
      <w:r w:rsidRPr="00A12D44">
        <w:rPr>
          <w:rStyle w:val="NumeroAFNegritaCaracter"/>
        </w:rPr>
        <w:t>7</w:t>
      </w:r>
      <w:r>
        <w:t>. Por nueva resolución de 27 de enero de 1992, la Sección acordó abrir el trámite previsto en el art. 50.3 LOTC, confiriendo al recurrente y al Ministerio Fiscal un término común de diez días para que alegaran lo que tuvieren por conveniente sobre el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8</w:t>
      </w:r>
      <w:r>
        <w:t xml:space="preserve">. El 6 de febrero de 1992 tuvo entrada en el Registro de este Tribunal el escrito de alegaciones del Ministerio Fiscal. </w:t>
      </w:r>
    </w:p>
    <w:p w:rsidR="00A12D44" w:rsidRDefault="00A12D44" w:rsidP="00A12D44">
      <w:pPr>
        <w:pStyle w:val="TextoNormal"/>
      </w:pPr>
      <w:r>
        <w:t xml:space="preserve">Tras establecer la secuencia de hechos relevantes, el Ministerio Público pone de manifiesto que la resolución impugnada, pese a imputarle la violación de la inviolabilidad domiciliaria, no es en la que se autoriza la entrada en los locales del interesado, sino por la que se abren las diligencias penales. En decir, se impugna tan sólo el Auto por el que se acordó iniciar actuaciones penales, resolución que en modo alguno puede vulnerar el derecho a la inviolabilidad del domicilio. </w:t>
      </w:r>
    </w:p>
    <w:p w:rsidR="00A12D44" w:rsidRDefault="00A12D44" w:rsidP="00A12D44">
      <w:pPr>
        <w:pStyle w:val="TextoNormal"/>
      </w:pPr>
      <w:r>
        <w:t xml:space="preserve">Otro motivo de amparo que se aduce es la vulneración del derecho a la tutela judicial efectiva consagrado en el art. 24.1 C.E., con el mismo fundamento que el anterior. La decisión judicial de incoar diligencias previas tiene por base un atestado, dice el recurrente, presentado por la Guardia Civil que se elaboró a partir de una diligencia de entrada y registro en la que no observaron las prescripciones que establece la L.E. Crim. A lo que cabe, pues, replicar del mismo modo que en el apartado anterior. Cualquiera que sea la forma por la que el órgano judicial adquiere conocimiento de la notitia criminis, es suficiente para iniciar de oficio el proceso. Cuestión distinta es la validez que pueda tener en juicio la prueba obtenida a consecuencia de una entrada y registro domiciliarios si en la diligencia no se observaron las prescripciones legales. Pero esta es una cuestión que podrá plantearse, en su caso, ante el órgano judicial que haya de enjuiciar el hecho ilícito penal, si las actuaciones llegan a juicio oral. </w:t>
      </w:r>
    </w:p>
    <w:p w:rsidR="00A12D44" w:rsidRDefault="00A12D44" w:rsidP="00A12D44">
      <w:pPr>
        <w:pStyle w:val="TextoNormal"/>
      </w:pPr>
      <w:r>
        <w:t xml:space="preserve">Por último, también se alega la vulneración del art.24.2 C.E. en cuanto consagra el derecho a la presunción de inocencia significa que toda condena debe fundarse en pruebas suficientes que la desvirtuen, es claro que el Auto, que sin realizar ninguna imputación se limita a ordenar el inicio de actuaciones, no puede de ninguna manera vulnerar el derecho a la presunción de inocencia, en efecto, en el art. 24.2 C.E., por lo que la supuesta vulneración del tal derecho aducida por el recurrente carece de todo fundamento. </w:t>
      </w:r>
    </w:p>
    <w:p w:rsidR="00A12D44" w:rsidRDefault="00A12D44" w:rsidP="00A12D44">
      <w:pPr>
        <w:pStyle w:val="TextoNormal"/>
      </w:pPr>
      <w:r>
        <w:t>Concluye sus alegaciones instando la admisión de la demanda por carencia de contenido.</w:t>
      </w:r>
    </w:p>
    <w:p w:rsidR="00A12D44" w:rsidRDefault="00A12D44" w:rsidP="00A12D44">
      <w:pPr>
        <w:pStyle w:val="TextoNormal"/>
      </w:pPr>
    </w:p>
    <w:p w:rsidR="00A12D44" w:rsidRDefault="00A12D44" w:rsidP="00A12D44">
      <w:pPr>
        <w:pStyle w:val="TextoNormal"/>
      </w:pPr>
      <w:r w:rsidRPr="00A12D44">
        <w:rPr>
          <w:rStyle w:val="NumeroAFNegritaCaracter"/>
        </w:rPr>
        <w:t>9</w:t>
      </w:r>
      <w:r>
        <w:t xml:space="preserve">. Con fecha 12 de febrero último, la representación actora presentó en el Registro su escrito de alegaciones. </w:t>
      </w:r>
    </w:p>
    <w:p w:rsidR="00A12D44" w:rsidRDefault="00A12D44" w:rsidP="00A12D44">
      <w:pPr>
        <w:pStyle w:val="TextoNormal"/>
      </w:pPr>
      <w:r>
        <w:lastRenderedPageBreak/>
        <w:t xml:space="preserve">Tras afirmar que su demanda «tiene sobradamente un contenido que justifica una decisión sobre el fondo de la misma por parte de este Tribunal», pasa a relatar, en un primer momento, las irregularidades ya mencionadas en su escrito inicial en que incurrió la práctica de la entrada y registro domiciliarios: ausencia de determinación del objeto de la diligencia; no haber mostrado al interesado dicho Auto; la falta de presencia del secretario en la realización de la diligencia; la arbitrariedad de los agentes actuantes, «sin respetar lo más mínimo las garantías exigidas por la Ley en este tipo de diligencias»; omisión de extremos significativos en las actas levantadas y transcripción incorrecta de los nombres de las personas que intervinieron en tal actuación; haber dado orden de desalojar a terceras personas, orden que no obedecieron los representantes de la parte acusadora; y, en fin, indeterminación en la relación de objetos intervenidos. Todo ello constituye la violación denunciada por extralimitación en la actuación de los agentes policiales. Dicha extralimitación vulnera la exigencia de que los brazos ejecutores de los órganos jurisdiccionales han de ajustarse estrictamente a los autorizado por aquéllos, limitando los derechos fundamentales de los justiciables en la menor medida de lo posible; así, la STC 37/1989 dispone que «el mandamiento judicial que hace posible la entrada y el registro en un domicilio (art. 18.2 C.E.) se justifica, en el orden procesal penal, por la necesidad de identificarse y, en su caso, recoger lo que interese a la instrucción». </w:t>
      </w:r>
    </w:p>
    <w:p w:rsidR="00A12D44" w:rsidRDefault="00A12D44" w:rsidP="00A12D44">
      <w:pPr>
        <w:pStyle w:val="TextoNormal"/>
      </w:pPr>
      <w:r>
        <w:t xml:space="preserve">Por otra parte, este Tribunal ha definido el derecho fundamental a la inviolabilidad del domicilio como «un auténtico derecho fundamental de la persona, establecido para garantizar el ámbito de privacidad de ésta dentro del espacio limitado que la propia persona elige y que tiene que caracterizarse precisamente por quedar exento e inmune de la autoridad pública» (STC 22/1984). </w:t>
      </w:r>
    </w:p>
    <w:p w:rsidR="00A12D44" w:rsidRDefault="00A12D44" w:rsidP="00A12D44">
      <w:pPr>
        <w:pStyle w:val="TextoNormal"/>
      </w:pPr>
      <w:r>
        <w:t xml:space="preserve">Las irregularidades puestas de manifiesto anteriormente, no sólo ya conculcan el derecho a la inviolabilidad del domicilio, sino que atentan frontalmente contra el derecho a la presunción de inocencia del art. 24.2 C.E., pues de la actuación del recurrente no se deriva la existencia de prueba inculpatoria alguna, antes al contrario, su total inocencia. Dicho derecho a la presunción de inocencia ha de presidir las resoluciones judiciales que tengan como resultado una limitación de derechos. Igualmente se lesiona dicha garantía cuando la prueba efectuada en el procedimiento judicial lo fue, como en el presente caso, con violación de derechos y libertades fundamentales, entre otras, la ya mencionada inviolabilidad del domicilio. Se vuelve a invocar la STC 31/1981, según la cual la presunción de inocencia únicamente se destruye en base a la existente en el proceso de una mínima actividad probatoria producida con todas las garantías y que pueda considerarse de cargo. </w:t>
      </w:r>
    </w:p>
    <w:p w:rsidR="00A12D44" w:rsidRDefault="00A12D44" w:rsidP="00A12D44">
      <w:pPr>
        <w:pStyle w:val="TextoNormal"/>
      </w:pPr>
      <w:r>
        <w:t xml:space="preserve">La violación del derecho fundamental a la tutela efectiva de Jueces y Tribunales consagrado en el art. 24 C.E., se entiende haberse producido en el presente caso al no haber sido resueltas por los órganos judiciales de instancia las reiteradas peticiones formuladas por el demandante. </w:t>
      </w:r>
    </w:p>
    <w:p w:rsidR="00A12D44" w:rsidRDefault="00A12D44" w:rsidP="00A12D44">
      <w:pPr>
        <w:pStyle w:val="TextoNormal"/>
      </w:pPr>
      <w:r>
        <w:t xml:space="preserve">En efecto, la situación de total indefensión en que se encuentra el recurrente, con los inevitables y cuantiosos perjuicios que se le están ocasionando, no pueden esperar a que se solventen al momento en que concluye el procedimiento penal iniciado contra él, como indica el Auto dictado por la Audiencia Provincial de Cádiz, de 10 de junio de 1991, resolutorio del recurso de queja interpuesta por la parte actora, según el cual, las infracciones denunciadas «de ser ciertas, acarrearían la nulidad de la diligencia por no reunir los requisitos legales para constituir prueba válida, según reiterada jurisprudencia del TS y TC, pero es lo cierto que no es momento procesal oportuno para decidir la existencia o inexistencia de esos presupuestos que deben valorarse en la sentencia o resolución firme que se </w:t>
      </w:r>
      <w:r>
        <w:lastRenderedPageBreak/>
        <w:t xml:space="preserve">dicte con la consecuente petición de responsabilidades, motivos por los que procede desestimar el recurso interpuesto». </w:t>
      </w:r>
    </w:p>
    <w:p w:rsidR="00A12D44" w:rsidRDefault="00A12D44" w:rsidP="00A12D44">
      <w:pPr>
        <w:pStyle w:val="TextoNormal"/>
      </w:pPr>
      <w:r>
        <w:t xml:space="preserve">Dicha resolución provoca que hasta tanto no se resuelva sobre la cuestión principal, toda la actividad negocial del demandante haya quedado paralizada sine die -por estar clausurado y precintado el negocio, así como secuestrado y decomisado todo el material, enseres, existencias y maquinarias- generándose múltiples. constantes e irreparables perjuicios económicos y morales que difícilmente podrán ser resarcidos algún día. </w:t>
      </w:r>
    </w:p>
    <w:p w:rsidR="00A12D44" w:rsidRDefault="00A12D44" w:rsidP="00A12D44">
      <w:pPr>
        <w:pStyle w:val="TextoNormal"/>
      </w:pPr>
      <w:r>
        <w:t xml:space="preserve">Concluye el actor sus alegaciones solicitando que, teniendo por evacuado el presente trámite, se admita la demanda y se entre en el fondo. </w:t>
      </w:r>
    </w:p>
    <w:p w:rsidR="00A12D44" w:rsidRDefault="00A12D44" w:rsidP="00A12D44">
      <w:pPr>
        <w:pStyle w:val="TextoNormal"/>
      </w:pPr>
      <w:r>
        <w:t>Se adjunta al escrito las copias no adveradas del mandamiento de entrada y registro y del acta en la que consta tal diligencia.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Finalizado el trámite del art. 50.3 LOTC se ha confirmado nuestra inicial sospecha y, pese a la vehemencia de que el recurrente hace gala, su recurso carece de entidad bastante para que este Tribunal llegue a pronunciarse sobre el fondo. Las tres quiebras constitucionales que denuncia (la de la inviolabilidad domiciliria la de la tutela judicial efectiva y la de la presunción de inocencia) no permite dotar de contenido, pues, al recurso.</w:t>
      </w:r>
    </w:p>
    <w:p w:rsidR="00A12D44" w:rsidRDefault="00A12D44" w:rsidP="00A12D44">
      <w:pPr>
        <w:pStyle w:val="TextoNormal"/>
      </w:pPr>
    </w:p>
    <w:p w:rsidR="00A12D44" w:rsidRDefault="00A12D44" w:rsidP="00A12D44">
      <w:pPr>
        <w:pStyle w:val="TextoNormal"/>
      </w:pPr>
      <w:r w:rsidRPr="00A12D44">
        <w:rPr>
          <w:rStyle w:val="NumeroAFNegritaCaracter"/>
        </w:rPr>
        <w:t>2</w:t>
      </w:r>
      <w:r>
        <w:t>. Procediendo de modo procesalmente sistemático, conviene apartar de cualquier análisis, siquiera eliminar, la mención a la presunción de inocencia en la que abunda la representación actora. Y ello por dos razones, la primera y obstativa de cualquier otra consideración es la que no figura invocación alguna sobre la lesión de tal derecho fundamental en la tramitación ordinaria de la causa, de acuerdo a la documentación aportada por el recurrente. Esta ausencia de posible debate judicial sobre esta eventual lesión habiendo, como ha habido, posibilidad de efectuarlo, como preceptúa el art. 44.1 c) LOTC, nos impide emitir resolución alguna al respecto.</w:t>
      </w:r>
    </w:p>
    <w:p w:rsidR="00A12D44" w:rsidRDefault="00A12D44" w:rsidP="00A12D44">
      <w:pPr>
        <w:pStyle w:val="TextoNormal"/>
      </w:pPr>
      <w:r>
        <w:t>Otra cosa es que la eventual condena, de producirse, se basara en pruebas ilícitas. ilicitud derivada del modo en que se confeccionaran durante el acopio instructorio. Pero, de impugnarse este posible efecto, estaríamos en presencia de un iniviable amparo cautelar o pro futuro, modalidad de salvaguarda de las garantías no prevista en nuestro ordenamiento (por ejemplo, entre otras muchas y para sólo citar Sentencias: SSTC 110/1984, fundamento jurídico 6. ; 65/1985, fundamento jurídico 5. ; 46/1986. fundamento jurídico 123/1987, fundamento jurídico 1. ; 37/1989, fundamento jurídico 6. ).</w:t>
      </w:r>
    </w:p>
    <w:p w:rsidR="00A12D44" w:rsidRDefault="00A12D44" w:rsidP="00A12D44">
      <w:pPr>
        <w:pStyle w:val="TextoNormal"/>
      </w:pPr>
    </w:p>
    <w:p w:rsidR="00A12D44" w:rsidRDefault="00A12D44" w:rsidP="00A12D44">
      <w:pPr>
        <w:pStyle w:val="TextoNormal"/>
      </w:pPr>
      <w:r w:rsidRPr="00A12D44">
        <w:rPr>
          <w:rStyle w:val="NumeroAFNegritaCaracter"/>
        </w:rPr>
        <w:t>3</w:t>
      </w:r>
      <w:r>
        <w:t>. Quedan, de este modo, sólo dos posibles lesiones de garantías constitucionales a analizar.</w:t>
      </w:r>
    </w:p>
    <w:p w:rsidR="00A12D44" w:rsidRDefault="00A12D44" w:rsidP="00A12D44">
      <w:pPr>
        <w:pStyle w:val="TextoNormal"/>
      </w:pPr>
      <w:r>
        <w:t>En primer término, la ausencia de contenido de la inviolabilidad domiciliaria es patente, toda vez que, como pone de manifiesto el Ministerio Fiscal. el recurrente no impugnó el Auto de entrada y registro, Auto que pudo impugnar, puesto que incluso presenció parcialmente tal diligencia su Letrado, sino que el objeto de la impugnación lo constituye el Auto de 7 de diciembre de 1990, por el que se abren diligencias previas contra el recurrente por un presunto delito contra la propiedad intelectual.</w:t>
      </w:r>
    </w:p>
    <w:p w:rsidR="00A12D44" w:rsidRDefault="00A12D44" w:rsidP="00A12D44">
      <w:pPr>
        <w:pStyle w:val="TextoNormal"/>
      </w:pPr>
      <w:r>
        <w:t xml:space="preserve">Ciertamente, a este Auto de incoación de un determinado procedimiento penal, ninguna lesión de la inviolabilidad domiciliaria cabe atribuirle. Es más, la protección que brinda el art. 18.2 C.E. a los domicilios se circunscribe a la emisión de un mandamiento judicial en </w:t>
      </w:r>
      <w:r>
        <w:lastRenderedPageBreak/>
        <w:t>forma, siendo competencia del legislador el establecimiento de los requisitos necesarios para que ese derecho se implemente. Ciertamente, entre los requisitos legales figura. entre otros, el de la presencia del Secretario judicial -u oficial habilitado- en la práctica de la entrada y registro, así como la presencia a lo largo de sus distintas fases de diversos testigos. Tales requisitos, de cuño estrictamente legal, deben ser. claro está, respetados y, de no producirse el registro constitucionalmente válido del modo legalmente previsto, tales anomalías en atención a su entidad y gravedad generarán los efectos previstos en el ordenamiento, tanto procesales como, en su caso, en orden a eventuales responsabilidades, personales o patrimoniales.</w:t>
      </w:r>
    </w:p>
    <w:p w:rsidR="00A12D44" w:rsidRDefault="00A12D44" w:rsidP="00A12D44">
      <w:pPr>
        <w:pStyle w:val="TextoNormal"/>
      </w:pPr>
      <w:r>
        <w:t>Sin embargo, lo que no resulta en modo alguno correcto es transformar los hipotéticos vicios de nivel legal en un vicio de índole constitucional, cosa que pretende el demandante. Así es: el mandamiento judicial de entrada y registro con el que se ha entrado y registrado un local abierto al público no es tachado en si mismo de inconstitucional, sino que se califica de ilegal la práctica realizada a su amparo. Así las cosas, de acuerdo al relato y fundamentación del propio justiciable, ninguna lesión del art. 18.2 C.E. cabe apreciar. Y ello sin entrar a considerar que tener por domicilio un local abierto al público supone confundir dos conceptos: el de domicilio, derecho público fundamental de personas físicas y jurídicas (SSTC 22/1984, 137/1985), y cualquier local cerrado (art. 87.2 L.O.P.J.), el régimen aplicable al primero no es -ni tiene por qué serlo- extensible en su totalidad al segundo.</w:t>
      </w:r>
    </w:p>
    <w:p w:rsidR="00A12D44" w:rsidRDefault="00A12D44" w:rsidP="00A12D44">
      <w:pPr>
        <w:pStyle w:val="TextoNormal"/>
      </w:pPr>
      <w:r>
        <w:t>En suma: el art. 18.2 C.E. impone exclusivamente la existencia de un mandamiento judicial que en los presentes Autos ha existido y es reconocido por el recurrente; la ausencia del Secretario judicial, pese a que su presencia durante la entrada y registro viene exigida de modo indudablemente claro por el art. 569 L.E.Crim.. no afecta, como ya señaló el ATC 349/1988, fundamento jurídico 1. , al derecho a la inviolabilidad domiciliaria.</w:t>
      </w:r>
    </w:p>
    <w:p w:rsidR="00A12D44" w:rsidRDefault="00A12D44" w:rsidP="00A12D44">
      <w:pPr>
        <w:pStyle w:val="TextoNormal"/>
      </w:pPr>
      <w:r>
        <w:t>Y ello independientemente de que el local de negocio tenga en los presentes autos el carácter de domicilio constitucional o simplemente el de local cerrado referenciado en el art. 87.2 L.O.P.J.</w:t>
      </w:r>
    </w:p>
    <w:p w:rsidR="00A12D44" w:rsidRDefault="00A12D44" w:rsidP="00A12D44">
      <w:pPr>
        <w:pStyle w:val="TextoNormal"/>
      </w:pPr>
    </w:p>
    <w:p w:rsidR="00A12D44" w:rsidRDefault="00A12D44" w:rsidP="00A12D44">
      <w:pPr>
        <w:pStyle w:val="TextoNormal"/>
      </w:pPr>
      <w:r w:rsidRPr="00A12D44">
        <w:rPr>
          <w:rStyle w:val="NumeroAFNegritaCaracter"/>
        </w:rPr>
        <w:t>4</w:t>
      </w:r>
      <w:r>
        <w:t>. Queda, por último, analizar la quiebra que se denuncia relativa a la tutela judicial efectiva.</w:t>
      </w:r>
    </w:p>
    <w:p w:rsidR="00A12D44" w:rsidRDefault="00A12D44" w:rsidP="00A12D44">
      <w:pPr>
        <w:pStyle w:val="TextoNormal"/>
      </w:pPr>
      <w:r>
        <w:t>A la vista del tenor del escrito del recurrente, no resulta ocioso representar una evidencia: ni existe derecho fundamental -único que aquí puede interesar- a que los órganos judiciales se produzcan sin errores ni existe tampoco el derecho fundamental a imponer a cualquier precio la propia opinión sobre la de los aquéllos. Estos extremos no parecen ser tenidos en cuenta por el demandante.</w:t>
      </w:r>
    </w:p>
    <w:p w:rsidR="00A12D44" w:rsidRDefault="00A12D44" w:rsidP="00A12D44">
      <w:pPr>
        <w:pStyle w:val="TextoNormal"/>
      </w:pPr>
      <w:r>
        <w:t xml:space="preserve">Así es: aun partiendo de que sus afirmaciones son ciertas -y no sólo en el plano subjetivo, sino en el objetivo, y de que la tramitación de su causa, tal como se expone en los escritos presentes, fuera una sucesión de aplicaciones incorrectas de la ley -o de la ausencia de su aplicación cuando debiera serlo-, ello no sería causa bastante como para entender producida la indefensión cuya producción se proclama. Si la indefensión es una limitación de los medios de defensa por una indebida actuación de los órganos judiciales, de modo que se haya producido un efectivo y real menoscabo del derecho de defensa (entre otras muchas, SSTC 98/1987, fundamento jurídico 3. ; 155/1988, fundamentos jurídicos 4. y ss.; 145/1990, fundamento jurídico 3. ; 6/1992, fundamento jurídico 5.  II), indefensión que ha de determinarse caso por caso (por todas, STC 145/1986, fundamento jurídico 3. , in fine), de las quejas formuladas por el actor no se vislumbra tal merma material de su posición procesal. Y ello, una vez más, ha de ser puesto de manifiesto, con independencia </w:t>
      </w:r>
      <w:r>
        <w:lastRenderedPageBreak/>
        <w:t>de la opinión que, en relación al Derecho común, pueda merecer la concreta práctica judicial.</w:t>
      </w:r>
    </w:p>
    <w:p w:rsidR="00A12D44" w:rsidRDefault="00A12D44" w:rsidP="00A12D44">
      <w:pPr>
        <w:pStyle w:val="TextoNormal"/>
      </w:pPr>
      <w:r>
        <w:t>Desde la perspectiva constitucional, pues, impugnar como lesivo de la garantía fundamental de la tutela judicial efectiva las posibles irregularidades cometidas en la práctica de determinada acción de la Policía Judicial, imputación que se efectúa -ha de recordarse a una resolución judicial posterior, carece de toda viabilidad y no merece, en consecuencia, un pronunciamiento sobre el fondo por parte de este Tribunal. Por lo tanto, el amplio petitum de la demanda es inatendible, sin que ello suponga prejuicio alguno sobre la calificación que hayan de merecer en los respectivos momentos procesales cada una de las pruebas de las que las partes pretendan servirse.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méritos a lo que antecede, la Sección acuerda la inadmisión de la demanda y el archivo de las actuaciones.</w:t>
      </w:r>
    </w:p>
    <w:p w:rsidR="00A12D44" w:rsidRDefault="00A12D44" w:rsidP="00A12D44">
      <w:pPr>
        <w:pStyle w:val="TextoNormal"/>
      </w:pPr>
    </w:p>
    <w:p w:rsidR="00A12D44" w:rsidRDefault="00A12D44" w:rsidP="00A12D44">
      <w:pPr>
        <w:pStyle w:val="TextoNormal"/>
      </w:pPr>
      <w:r>
        <w:t>Madrid, a dos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0" w:name="AUTO_1992_59"/>
      <w:r>
        <w:lastRenderedPageBreak/>
        <w:t>AUTO 59/1992, de 3 de marzo de 1992</w:t>
      </w:r>
    </w:p>
    <w:bookmarkEnd w:id="130"/>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ECLI:ES:TC:1992:59A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2.359/1990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José Castillo Ruiz, Procurador de los Tribunales y de la Caja General de Ahorros y Monte de Piedad de Granada, interpone recurso de amparo contra la Sentencia de la Sección Cuarta de la Audiencia Provincial de Granada, de 13 de junio de 1990, que en apelación revoca la dictada por el Juzgado de Primera Instancia de Cazorla, en juicio declarativo de menor cuantía sobre reclamación de cantidad, y contra las posteriores resoluciones que deniegan la solicitud de nulidad de actuaciones.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en los que se funda la demanda son los siguientes: </w:t>
      </w:r>
    </w:p>
    <w:p w:rsidR="00A12D44" w:rsidRDefault="00A12D44" w:rsidP="00A12D44">
      <w:pPr>
        <w:pStyle w:val="TextoNormal"/>
      </w:pPr>
      <w:r>
        <w:t xml:space="preserve">a) En 1983 se libró un talón nominativo por el señor Del Real a favor del señor Martí, talón que éste entregó a la entidad ahora solicitante de amparo para ser abonado en su cuenta, tal y como efectivamente se hizo. Más tarde la Caja de Ahorros recurrente manifestó que el cheque había resultado devuelto e impagado, pero, en vez de cargar su importe desde el principio en la cuenta del señor Martí, lo cargó en la cuenta que el señor Del Real tenía en la misma entidad. Posteriormente, se dejo sin efecto este cargo y se cargó en la cuenta del tomador del talón, señor Martí, cuenta que poseía un saldo negativo, conservando en su poder la entidad de crédito el documento mercantil. En 1987, la entidad recurrente presentó demanda en reclamación de cantidad derivada de contrato de cuenta corriente por el importe del cheque contra el señor Martí. El Juzgado de Primera Instancia de referencia, en Sentencia de 7 de marzo de 1988, estimó la demanda y condenó al citado cliente al pago de la cantidad reclamada. </w:t>
      </w:r>
    </w:p>
    <w:p w:rsidR="00A12D44" w:rsidRDefault="00A12D44" w:rsidP="00A12D44">
      <w:pPr>
        <w:pStyle w:val="TextoNormal"/>
      </w:pPr>
      <w:r>
        <w:t xml:space="preserve">b) Notificada la Sentencia a las partes, se interpuso recurso de apelación por el demandado, a la par que la Caja de Ahorros recurrente solicitó la ejecución provisional de la Sentencia, según lo dispuesto en el art. 385 de la L.E.C. y con fecha 29 de abril de 1988. Un día antes, el demandado interpuso una querella criminal por presunto delito de estafa contra el Director de la agencia de la Caja mencionada. Como consecuencia de cuanto antecede, y de lo dispuesto en el art. 514 de la L.E.C., relativo a la suspensión de los pleitos civiles cuando se ejerza una querella criminal por falsedad de un documento de influencia en litigio, el Juez a quo dictó providencia de 6 de julio de 1988 en la que suspendía la pieza de ejecución provisional; y, más tarde, providencia de 4 de noviembre de 1988, en la que acordaba la suspensión de las actuaciones principales. </w:t>
      </w:r>
    </w:p>
    <w:p w:rsidR="00A12D44" w:rsidRDefault="00A12D44" w:rsidP="00A12D44">
      <w:pPr>
        <w:pStyle w:val="TextoNormal"/>
      </w:pPr>
      <w:r>
        <w:lastRenderedPageBreak/>
        <w:t xml:space="preserve">c) Ello no obstante, el 13 de junio de 1990 recayó Sentencia del Tribunal ad quem de referencia por la que se estimaba el recurso de apelación y se revocaba la de instancia, absolviendo al demandado del pago de la cantidad reclamada. </w:t>
      </w:r>
    </w:p>
    <w:p w:rsidR="00A12D44" w:rsidRDefault="00A12D44" w:rsidP="00A12D44">
      <w:pPr>
        <w:pStyle w:val="TextoNormal"/>
      </w:pPr>
      <w:r>
        <w:t>d) Una vez notificada la Sentencia precitada, la Caja recurrente solicitó la nulidad de las actuaciones, puesto que no se había personado en la apelación por creer que el procedimiento se encontraba suspendido, conforme a las resoluciones dictadas por el Juez a quo, y que, en todo caso, estas resoluciones le habían inducido a error. La Sala, en Auto de 26 de septiembre de 1990, declaró que no había lugar a la nulidad de actuaciones que se instaba, en primer lugar, porque el Juzgado de Cazorla no era competente para acordar esa suspensión en relación a los autos principales, y, además, por encontrarse ante una Sentencia ya firme y porque la no comparecencia de la recurrente en apelación, y su consecuente falta de audiencia en la vista, sólo a ella misma se debía.</w:t>
      </w:r>
    </w:p>
    <w:p w:rsidR="00A12D44" w:rsidRDefault="00A12D44" w:rsidP="00A12D44">
      <w:pPr>
        <w:pStyle w:val="TextoNormal"/>
      </w:pPr>
    </w:p>
    <w:p w:rsidR="00A12D44" w:rsidRDefault="00A12D44" w:rsidP="00A12D44">
      <w:pPr>
        <w:pStyle w:val="TextoNormal"/>
      </w:pPr>
      <w:r w:rsidRPr="00A12D44">
        <w:rPr>
          <w:rStyle w:val="NumeroAFNegritaCaracter"/>
        </w:rPr>
        <w:t>3</w:t>
      </w:r>
      <w:r>
        <w:t>. La Caja de Ahorros solicitante de amparo entiende, sustancialmente, que se ha producido una inconstitucional situación de indefensión, lesiva del derecho fundamental comprendido en el art. 24.1 de la Constitución, como consecuencia del siguiente razonamiento. El Juez a quo cumplió lo dispuesto en el art. 514 de la L.E.C. y suspendió el pleito hasta que se resolviera la querella criminal, pero no trasladó a la Sala la existencia de dicha querella ni comunicó a la misma su resolución. Ante estas circunstancias, la Audiencia tramitó la apelación y la recurrente, pensando que el procedimiento estaba suspendido, no se personó en el recurso, siendo luego sorprendida por la existencia de una Sentencia que, sin darle audiencia, revocaba lo resuelto en la instancia de manera favorable a las tesis de la recurrente. En definitiva, fue el propio Juez de Instancia el que indujo a error a la demandante. Como argumentación subsidiaria, se sostiene la posible inconstitucionalidad de lo dispuesto en el art. 20 de la L.O.P.J., y se destaca el carácter imperativo para los órganos judiciales del citado art. 514 de la L.E.C.</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14 de enero de 1991, la Sección Segunda de este Tribunal acordó, previamente a decidir sobre la admisión a trámite de la demanda, a tenor de lo dispuesto en el art. 88 de la Ley Orgánica del Tribunal Constitucional (en adelante, LOTC), requerir las actuaciones de los órganos judiciales de procedencia.</w:t>
      </w:r>
    </w:p>
    <w:p w:rsidR="00A12D44" w:rsidRDefault="00A12D44" w:rsidP="00A12D44">
      <w:pPr>
        <w:pStyle w:val="TextoNormal"/>
      </w:pPr>
    </w:p>
    <w:p w:rsidR="00A12D44" w:rsidRDefault="00A12D44" w:rsidP="00A12D44">
      <w:pPr>
        <w:pStyle w:val="TextoNormal"/>
      </w:pPr>
      <w:r w:rsidRPr="00A12D44">
        <w:rPr>
          <w:rStyle w:val="NumeroAFNegritaCaracter"/>
        </w:rPr>
        <w:t>5</w:t>
      </w:r>
      <w:r>
        <w:t>. Mediante nueva providencia de fecha 9 de octubre de 1991, la Sección acordó: tener por recibidas las actuaciones y, a tenor de lo dispuesto en el art. 50.3 de la LOTC, conceder un plazo común de diez días al Ministerio Fiscal y a la solicitante de amparo para que, dentro de dicho término, formulasen las alegaciones que estimaran pertinentes en relación con la posible concurrencia del motivo de inadmisión recogido en el art. 50.1 c) de la LOTC y consistente en la falta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Ministerio Fiscal interesa la inadmisión de la demanda por apreciar que concurre la causa de inadmisión puesta de manifiesto en la providencia precitada [art. 50.1 c) de la LOTC] y, además, la extemporaneidad del recurso [arts. 50.1 a) y 44.2 de la LOTC]. </w:t>
      </w:r>
    </w:p>
    <w:p w:rsidR="00A12D44" w:rsidRDefault="00A12D44" w:rsidP="00A12D44">
      <w:pPr>
        <w:pStyle w:val="TextoNormal"/>
      </w:pPr>
      <w:r>
        <w:t xml:space="preserve">Tras narrar los hechos, reseña el Ministerio Público que son dos las quejas en las que se funda el recurso: no haber suspendido la Sala la tramitación de la apelación una vez admitida la querella por estafa y falsedad ni tampoco cuando tal suspensión fue acordada por el Juzgador de instancia, infringiendo lo dispuesto en el art. 514 de la L.E.C.; y, además, no haber accedido a la solicitud de nulidad de actuaciones. </w:t>
      </w:r>
    </w:p>
    <w:p w:rsidR="00A12D44" w:rsidRDefault="00A12D44" w:rsidP="00A12D44">
      <w:pPr>
        <w:pStyle w:val="TextoNormal"/>
      </w:pPr>
      <w:r>
        <w:lastRenderedPageBreak/>
        <w:t xml:space="preserve">En cuanto a la primera de estas quejas, la aplicación del citado art. 514 requiere que la querella admitida por falsedad de un documento haga referencia a un documento de notoria influencia en el pleito, y sólo en ese caso corresponde adoptar la suspensión del procedimiento civil hasta que la cuestión prejudicial devolutiva sea resuelta en el orden penal; pero, claro está, únicamente la Sala posee jurisdicción para resolver si el documento controvertido posee o no esa influencia; por ello, aunque el Juzgado de Cazorla suspendiera las actuaciones de ejecución provisional de la Sentencia de instancia, que estaban bajo su jurisdicción, carece de trascendencia sobre los autos principales de los que conocía ya la Sala. </w:t>
      </w:r>
    </w:p>
    <w:p w:rsidR="00A12D44" w:rsidRDefault="00A12D44" w:rsidP="00A12D44">
      <w:pPr>
        <w:pStyle w:val="TextoNormal"/>
      </w:pPr>
      <w:r>
        <w:t>Respecto del Auto que denegó la nulidad de actuaciones que se instaba, es igualmente insostenible la denuncia de una situación de indefensión, porque una vez recaída Sentencia definitiva no procedía esta solicitud a la luz de lo dispuesto en el art. 240.2 de la L.O.P.J., y sólo cabía acudir al recurso de amparo en cuanto última instancia y remedio subsidiario (SSTC 185/1990, 52/1991, 72/1991, etc.). El improcedente intento de promover un incidente de nulidad de actuaciones supone haber dilatado innecesariamente al plazo de ejercicio de la acción de amparo.</w:t>
      </w:r>
    </w:p>
    <w:p w:rsidR="00A12D44" w:rsidRDefault="00A12D44" w:rsidP="00A12D44">
      <w:pPr>
        <w:pStyle w:val="TextoNormal"/>
      </w:pPr>
    </w:p>
    <w:p w:rsidR="00A12D44" w:rsidRDefault="00A12D44" w:rsidP="00A12D44">
      <w:pPr>
        <w:pStyle w:val="TextoNormal"/>
      </w:pPr>
      <w:r w:rsidRPr="00A12D44">
        <w:rPr>
          <w:rStyle w:val="NumeroAFNegritaCaracter"/>
        </w:rPr>
        <w:t>7</w:t>
      </w:r>
      <w:r>
        <w:t>. Por su parte, la recurrente solicita la admisión a trámite del recurso y reitera las alegaciones formuladas en la demanda. Especialmente se insiste en que la providencia dictada el 4 de noviembre de 1988 generó la confusión que dio lugar a la indefensión denunciada, pues en ella se afirma que «procede declarar la suspensión de estos autos ... », y, si se suspenden los autos principales, no puede continuar la tramitación de la apelación anteriormente interpuesta; por eso, aunque la parte se personara no podía celebrarse la apelación, motivo por el cual se decidió esperar a que la suspensión se alzara antes de personarse en la Audiencia. Existiría, además, de no admitirse esta interpretación, una vulneración de una norma imperativa como es el art. 514 de la L.E.C., porque si la indicada providencia suspendía sólo la ejecución provisional no se habría cumplido con el mandato impuesto por dicho precepto legal. En definitiva, fue esta actuación judicial la que indujo a error a la parte y le produjo una situación de indefensión.</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recurrente en amparo denuncia que se ha dictado por la Audiencia de referencia una Sentencia sin dar audiencia a la parte como consecuencia de que no se personó en la apelación, en su doble condición de actora y apelada, por creer que el procedimiento civil se encontraba suspendido hasta la resolución de la querella criminal presentada por el demandado, de acuerdo con lo dispuesto en el art. 514 de la L.E.C. y según resolvió el Juez a quo en su providencia de 4 de noviembre de 1988; y, en definitiva, se afirma en la demanda que esa providencia le causó una inconstitucional situación material de indefensión, a causa del error al que el juzgador de instancia indujo a la parte.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Así centrado el objeto del recurso, deben ponerse de manifiesto los siguientes datos de relevancia para la solución del asunto, que constan en la documentación que obra en las actuaciones y han sido revisados por este Tribunal: la parte demandada en el proceso civil, cuando ya había recaído Sentencia en la instancia, presentó una querella criminal, que fue admitida a trámite, e interesó la suspensión de la ejecución provisional de esa Sentencia; el Juez de Primera Instancia de referencia suspendió la pieza de ejecución pro- visional el 6 </w:t>
      </w:r>
      <w:r>
        <w:lastRenderedPageBreak/>
        <w:t>de julio de 1988 y, el 4 de noviembre siguiente, en una confusa providencia, suspendió los autos en el estado en que se encontraban desde la fecha anterior y hasta que no se resolvieran las diligencias previas penales.</w:t>
      </w:r>
    </w:p>
    <w:p w:rsidR="00A12D44" w:rsidRDefault="00A12D44" w:rsidP="00A12D44">
      <w:pPr>
        <w:pStyle w:val="TextoNormal"/>
      </w:pPr>
      <w:r>
        <w:t>Partiendo de estos datos, la entidad ahora solicitante de amparo -como ya se ha dicho- alega que no se personó en la apelación, tras recibir en la instancia una Sentencia favorable a sus tesis, por creer que, de acuerdo con las resoluciones precisadas, las actuaciones se encontraban paralizadas, y manifiesta que, en todo caso, los pronunciamientos del Juez a quo le indujeron a error.</w:t>
      </w:r>
    </w:p>
    <w:p w:rsidR="00A12D44" w:rsidRDefault="00A12D44" w:rsidP="00A12D44">
      <w:pPr>
        <w:pStyle w:val="TextoNormal"/>
      </w:pPr>
      <w:r>
        <w:t>Este planteamiento impugnatorio efectuado en la demanda de amparo no puede ser acogido ahora a los efectos de apreciar una situación material de indefensión cuya presencia pueda imputarse, de modo «inmediato y directo» -como manda el art. 44.1 de la LOTC a la actuación de los órganos judiciales de procedencia, en vez de a la falta de la debida diligencia procesal exigible a la entidad crediticia actora, quien libremente optó por no personarse en la apelación. De forma complementaria de este razonamiento principal, es menester traer a colación, por su propia fuerza de convicción, la motivación recogida en el Auto de 27 de noviembre de 1990 en el cual la Audiencia rechazó la solicitud de nulidad de actuaciones, y donde se argumentó, entre otros extremos, que, independientemente de lo que se acordase sobre la ejecución provisional, el Juzgado a quo no era lógicamente competente para suspender las actuaciones principales una vez admitida la apelación, y que sólo la Sala que conocía del recurso podía resolver ya si el documento que originó la querella tenía o no notoria influencia en el pleito, según dispone el art. 514 de la L.E.C.; en definitiva, que no existía «ninguna razón que impidiera a la parte apelada personarse en el recurso si ese era su propósito» (fundamento jurídico 1. ).</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inadmitir el presente recurso de amparo en aplicación de lo dispuesto en el art. 50.1 c) de la LOTC, consistente en la falta de contenido constitucional de la demanda.</w:t>
      </w:r>
    </w:p>
    <w:p w:rsidR="00A12D44" w:rsidRDefault="00A12D44" w:rsidP="00A12D44">
      <w:pPr>
        <w:pStyle w:val="TextoNormal"/>
      </w:pPr>
    </w:p>
    <w:p w:rsidR="00A12D44" w:rsidRDefault="00A12D44" w:rsidP="00A12D44">
      <w:pPr>
        <w:pStyle w:val="TextoNormal"/>
      </w:pPr>
      <w:r>
        <w:t>Madrid, a tres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1" w:name="AUTO_1992_60"/>
      <w:r>
        <w:lastRenderedPageBreak/>
        <w:t>AUTO 60/1992, de 3 de marzo de 1992</w:t>
      </w:r>
    </w:p>
    <w:bookmarkEnd w:id="131"/>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ECLI:ES:TC:1992:60A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1.446/1991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recurrente compareció por sí mismo ante este Tribunal mediante escrito registrado el 2 de julio de 1991. Habiéndosele designado, tras la limitación correspondiente, Procurador y Abogado del turno de oficio, la Procuradora doña María Isabel Ramos Cervantes, obrando en nombre y representación del recurrente, formuló, por escrito presentado el 11 de diciembre siguiente, demanda de amparo frente al Acuerdo de la Junta de Régimen y Administración del Centro Penitenciario de El Dueso de 23 de diciembre de 1988, así como frente a los Autos del Juzgado de Vigilancia Penitenciaria de Santander de 1 de marzo y 12 de abril de 1989 y al Auto de la Sección Sexta de la Audiencia Provincial de Madrid de 15 de abril de 1991. </w:t>
      </w:r>
    </w:p>
    <w:p w:rsidR="00A12D44" w:rsidRDefault="00A12D44" w:rsidP="00A12D44">
      <w:pPr>
        <w:pStyle w:val="TextoNormal"/>
      </w:pPr>
      <w:r>
        <w:t xml:space="preserve">La demanda trae causa de los hechos que a continuación se consignan: </w:t>
      </w:r>
    </w:p>
    <w:p w:rsidR="00A12D44" w:rsidRDefault="00A12D44" w:rsidP="00A12D44">
      <w:pPr>
        <w:pStyle w:val="TextoNormal"/>
      </w:pPr>
      <w:r>
        <w:t xml:space="preserve">A) La Junta de Régimen y Administración del Centro Penitenciario de El Dueso acordó, en sesión del 23 de diciembre de 1988, clasificar al demandante en el primer grado de tratamiento, por regresión del segundo en el que se encontraba. Frente a tal Acuerdo interpuso el actor recurso de alzada, el cual fue desestimado por Auto del Juzgado de Vigilancia Penitenciaria de Santander de 1 de marzo de 1989. Según esta resolución, la causa de la regresión citada se hallaba en «la comisión de una falta muy grave, malas relaciones con sus compañeros e inadaptación al régimen ordinario del Centro». En la fun- damentación jurídica del Auto se dice «que acreditándose de las actuaciones obrantes la comisión de una falta muy grave prevista en el art. 108 c) del Reglamento Penitenciario, imputable al interno recurrente, es procedente confirmar el acuerdo sobre regresión al primer grado, a tenor de lo dispuesto en el art. 43, núm. 3 b) del Reglamento Penitenciario, desestimando en consecuencia el recurso interpuesto». </w:t>
      </w:r>
    </w:p>
    <w:p w:rsidR="00A12D44" w:rsidRDefault="00A12D44" w:rsidP="00A12D44">
      <w:pPr>
        <w:pStyle w:val="TextoNormal"/>
      </w:pPr>
      <w:r>
        <w:t xml:space="preserve">B) Frente a la resolución jurídica meritada dedujo el actor recurso de reforma desestimado mediante Auto del siguiente 12 de abril, en el que el Juez hacía suyo el dictamen del Ministerio Fiscal, que interesaba tal desestimación porque del informe del Equipo de Tratamiento «se desprende que el interno muestra una evolución desfavorable de su conducta (art. 243 núm. 3 del Reglamento)». </w:t>
      </w:r>
    </w:p>
    <w:p w:rsidR="00A12D44" w:rsidRDefault="00A12D44" w:rsidP="00A12D44">
      <w:pPr>
        <w:pStyle w:val="TextoNormal"/>
      </w:pPr>
      <w:r>
        <w:t xml:space="preserve">C) Interpuesto, en fin, recurso de apelación, fue igualmente desestimado por Auto de la Sección Sexta de la Audiencia Provincial de Madrid de 15 de abril de 1991, en el que se afirma que, si bien es cierto que el art. 239.3 del R.P. «establece con claridad que el interno podrá rechazar libremente o no colaborar en la realización de cualquier técnica de estudio de su personalidad o método de tratamiento sin que ello pueda tener consecuencias </w:t>
      </w:r>
      <w:r>
        <w:lastRenderedPageBreak/>
        <w:t>disciplinarias, regimentales ni de regresión de grado de tratamiento, es igualmente cierto que al apelante no se le aplicó la regresión de grado por esta falta de colaboración, sino que se debió a una total inadaptación al régimen ordinario, con una actitud despótica y de prepotencia ante toda actividad reglamentaria, mostrándose en desacuerdo con todo, manteniendo una postura insolente y provocativa; actitud del interno apreciada por los funcionarios, así como por el educador que elaboró el correspondiente informe de observación de conducta y que concluyó que "la evolución comportamental y actitudinal del informado demuestra su inadecuación en un Centro de segundo grado en tal clasificación penitenciaria". Y esta falta de adaptación al régimen ordinario, con una evolución desfavorable de su personalidad y de su conducta, fue la que determinó la adopción en el art. 243.3. del Reglamento Penitenciario. Por ello... la medida... fue adoptada correctamente y en base a los informes de conducta elaborados por el educador y a los informes elaborados por los funcionarios del Centro Penitenciario», «debiendo señalarse por último que no se ha querido sancionar una conducta inexistente..., sino precisamente una conducta de inadaptación al Régimen ordinario».</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En su escrito de demanda, el actor considera vulnerado el derecho que le confiere el art. 24.1 C.E., ya que se vio degradado al primer grado en el cumplimiento de su condena sin que se le diera oportunidad de audiencia ni fuera siquiera informado de la motivación de la regresión acordada por la Junta de Tratamiento. Así el demandante desconocía y desconoce los hechos por los que su conducta en el C.P. de El Dueso se valoró y produjo la consecuencia de la regresión del grado 2. que tenía al grado 1. para poder alegar y defenderse en el expediente. Tampoco tuvo conocimiento de ningún expediente sancionador de su conducta, pues ninguna comunicación al respecto se le hizo por la Junta de Régimen y Administración de la prisión, conociendo únicamente a través del Auto del Juez de Vigilancia Penitenciaria desestimatorio de la alzada la comisión de una falta del art. 108 c) del R.P. en la que se fundamentó la confirmación de la regresión de grado. Por ello la indefensión del recurrente fue total y absoluta. </w:t>
      </w:r>
    </w:p>
    <w:p w:rsidR="00A12D44" w:rsidRDefault="00A12D44" w:rsidP="00A12D44">
      <w:pPr>
        <w:pStyle w:val="TextoNormal"/>
      </w:pPr>
      <w:r>
        <w:t xml:space="preserve">Además, los valores esenciales que se encuentran en la base del art. 24.2 C.E. han sido violados por el acuerdo de la Junta de Tratamiento, que no posibilitó la defensa del interno, acuerdo basado en una conducta irregular del mismo incluso en una falta grave; imputación de la que no pudo defenderse ni mediante comunicación ni mediante asistencia de Letrado. asistencia la cual tampoco tuvo en los recursos de alzada y reforma, violándose por tanto el art. 24.2 C.E. </w:t>
      </w:r>
    </w:p>
    <w:p w:rsidR="00A12D44" w:rsidRDefault="00A12D44" w:rsidP="00A12D44">
      <w:pPr>
        <w:pStyle w:val="TextoNormal"/>
      </w:pPr>
      <w:r>
        <w:t>La demanda concluye con la súplica de que se dicte Sentencia por la que se otorgue el amparo que solícita el recurrente, concediéndole el derecho a ser asistido por Letrado en el recurso de reforma interpuesto y declarando la nulidad de todas las actuaciones judiciales posteriores a la violación de su derecho de defensa, dejando asimismo sin efecto el acuerdo de regresión de grado.</w:t>
      </w:r>
    </w:p>
    <w:p w:rsidR="00A12D44" w:rsidRDefault="00A12D44" w:rsidP="00A12D44">
      <w:pPr>
        <w:pStyle w:val="TextoNormal"/>
      </w:pPr>
    </w:p>
    <w:p w:rsidR="00A12D44" w:rsidRDefault="00A12D44" w:rsidP="00A12D44">
      <w:pPr>
        <w:pStyle w:val="TextoNormal"/>
      </w:pPr>
      <w:r w:rsidRPr="00A12D44">
        <w:rPr>
          <w:rStyle w:val="NumeroAFNegritaCaracter"/>
        </w:rPr>
        <w:t>3</w:t>
      </w:r>
      <w:r>
        <w:t>. Mediante providencia de 23 de enero de 1992, acordó la Sección, a tenor de lo dispuesto en el art. 50.3 de la Ley Orgánica del Tribunal Constitucional (LOTC), conceder un plazo común de diez días al Ministerio Fiscal y al solicitante del amparo para que dentro de dicho término alegaran lo que estimasen pertinente en relación con la posible existencia de los siguientes motivos de inadmisión: 1. falta de invocación de lesión de derechos fundamentales en el trámite del recurso de apelación [art. 50.1 a) LOTC], como exigen los arts. 43.1, in fine, y 44.1 c) de la LOTC; 2. carecer la demanda manifiestamente de conte</w:t>
      </w:r>
      <w:r>
        <w:lastRenderedPageBreak/>
        <w:t>nido que justifique una decisión por parte de este Tribunal Constitucional, de conformidad con lo prevenido en el art. 50.1 c) de la citada Ley Orgánica.</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El Ministerio Fiscal evacuó el trámite conferido por escrito registrado el 6 de febrero siguiente, aduciendo, en primer lugar, que de las actuaciones que se adjuntan con la demanda de amparo no aparece acreditado que el actor invocara en la vía judicial la presunta violación del derecho a la tutela judicial efectiva a los efectos de su posible reparación por el Juzgado y la Audiencia, ya que la única mención al art. 24 C.E. la hace el recurrente en el segundo párrafo del escrito en el que anuncia su voluntad de interponer recurso de apelación, pero sólo para el caso de que no se suspenda el plazo de cinco días para la interposición del recurso mientras se le designa Abogado y Procurador de oficio. Esto supone la concurrencia de la causa de inadmisión del art. 44.1 c) de la LOTC. </w:t>
      </w:r>
    </w:p>
    <w:p w:rsidR="00A12D44" w:rsidRDefault="00A12D44" w:rsidP="00A12D44">
      <w:pPr>
        <w:pStyle w:val="TextoNormal"/>
      </w:pPr>
      <w:r>
        <w:t>En cuanto a la concurrencia de la causa de inadmisión del art. 50.1 c) de la LOTC, al centrarse el objeto de la impugnación del actor en su falta de información sobre los hechos constitutivos de la falta del art. 108 c) del Reglamento Penitenciario que determinaron su regresión de grado (art. 243.3 R.P.) y la imposibilidad de intervenir y alegar lo atinente a su derecho en el expediente penitenciario incoado para ello, es necesario, en el supuesto de que no se estimara la concurrencia de la circunstancia del art. 44.1 c) LOTC, solicitar del Organismo competente la remisión del citado expediente para su examen y, dada vista con suspensión del plazo, emitir el correspondiente dictamen acerca de la concurrencia de la causa de inadmisión del art. 50.1 c) LOTC.</w:t>
      </w:r>
    </w:p>
    <w:p w:rsidR="00A12D44" w:rsidRDefault="00A12D44" w:rsidP="00A12D44">
      <w:pPr>
        <w:pStyle w:val="TextoNormal"/>
      </w:pPr>
    </w:p>
    <w:p w:rsidR="00A12D44" w:rsidRDefault="00A12D44" w:rsidP="00A12D44">
      <w:pPr>
        <w:pStyle w:val="TextoNormal"/>
      </w:pPr>
      <w:r w:rsidRPr="00A12D44">
        <w:rPr>
          <w:rStyle w:val="NumeroAFNegritaCaracter"/>
        </w:rPr>
        <w:t>5</w:t>
      </w:r>
      <w:r>
        <w:t>. Con fecha de 18 de febrero de 1992, se extendió diligencia para hacer constar que, transcurrido con exceso el término concedido al recurrente, éste no había formulado alegaciones.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Concurre la causa de inadmisibilidad prevista en el art. 50.1 a) de la LOTC, ya que, según advertíamos en nuestra providencia del 23 de enero de 1991, el recurrente no ha acreditado haber efectuado en el trámite del recurso de apelación deducido frente a las resoluciones del Juzgado de Vigilancia Penitenciaria -que era cuando, dada la asistencia letrada de que a la sazón gozaba el actor, resultaba especialmente exigible- la invocación de la lesión de derechos fundamentales prescrita en los arts. 43.1, in fine, y 44.1 c) de la LOTC en atención al carácter subsidiario del recurso de amparo.</w:t>
      </w:r>
    </w:p>
    <w:p w:rsidR="00A12D44" w:rsidRDefault="00A12D44" w:rsidP="00A12D44">
      <w:pPr>
        <w:pStyle w:val="TextoNormal"/>
      </w:pPr>
    </w:p>
    <w:p w:rsidR="00A12D44" w:rsidRDefault="00A12D44" w:rsidP="00A12D44">
      <w:pPr>
        <w:pStyle w:val="TextoNormal"/>
      </w:pPr>
      <w:r w:rsidRPr="00A12D44">
        <w:rPr>
          <w:rStyle w:val="NumeroAFNegritaCaracter"/>
        </w:rPr>
        <w:t>2</w:t>
      </w:r>
      <w:r>
        <w:t>. Ello no obstante, y a mayor abundamiento, es asimismo de apreciar, por las razones que a continuación se exponen, la concurrencia de la causa de inadmisibilidad señalada en el art. 50.1 c) de la LOTC, esto es: carecer la demanda manifiestamente de contenido constitucional.</w:t>
      </w:r>
    </w:p>
    <w:p w:rsidR="00A12D44" w:rsidRDefault="00A12D44" w:rsidP="00A12D44">
      <w:pPr>
        <w:pStyle w:val="TextoNormal"/>
      </w:pPr>
      <w:r>
        <w:t>A) El acuerdo de regresión de grado no constituye una sanción disciplinaria. Y ello no sólo porque no figure en el elenco de sanciones que de forma taxativa enumeran los arts. 42.2 de la Ley General Penitenciaria (L.G.P.)  y 111 del Reglamento Penitenciario (R.P.), sino atendida su misma naturaleza de medida de clasificación para la individualización del tratamiento penitenciario de los internos (art. 63 L.G.P.). Por consiguiente, cuando la Administración acuerda reclasificar a un penado no está actuando en uso de su potestad san</w:t>
      </w:r>
      <w:r>
        <w:lastRenderedPageBreak/>
        <w:t>cionadora y no se halla, pues, concernida por los derechos fundamentales que el art. 24.2 C.E. establece respecto de todo procedimiento de imposición de sanciones, incluidas -como recuerdan, entre otras, las SSTC 74/1985 y 2/1987- las sanciones penitenciarias.</w:t>
      </w:r>
    </w:p>
    <w:p w:rsidR="00A12D44" w:rsidRDefault="00A12D44" w:rsidP="00A12D44">
      <w:pPr>
        <w:pStyle w:val="TextoNormal"/>
      </w:pPr>
      <w:r>
        <w:t>Cabe, no obstante, que el acuerdo de regresión al primer grado tenga en cuenta la comisión de infracciones disciplinarias por parte de los internos. Así, en el presente caso, el Auto del Juez de Vigilancia Penitenciaria de 1 de marzo de 1989 justificó dicho acuerdo por la comisión de una falta muy grave prevista en el art. 108 c) R.P. («agredir o hacer objeto de coacción grave a otros internos»), lo que encajaba en lo dispuesto en el art. 43.3 b) R.P., precepto que determina que la clasificación en primer grado de tratamiento «sólo podrá ser aplicada a penados calificados de peligrosidad extrema o a aquellos cuya conducta sea de manifiesta inadaptación a los regímenes ordinario y abierto», habiendo ello de apreciarse «por causas objetivas en resolución motivada» y haciéndose tales apreciaciones «mediante valoración global de factores como: ... b) participación evidente como inductores o autores de motines, violencias físicas, amenazas o coacciones a funcionarios o internos». Sin embargo, es claro que aun en este supuesto la decisión de asignar al infractor el primer grado no constituye una sanción, sino la consecuencia de una infracción objeto de sanción, la cual integra una de las «causas objetivas» de la apreciación que menciona el artículo transcrito. Por tanto, la apreciación resulta estrictamente tributaria de un previo acuerdo sancionador, sin cuya existencia no concurriría la causa objetiva motivadora de la clasificación en el mencionado grado.</w:t>
      </w:r>
    </w:p>
    <w:p w:rsidR="00A12D44" w:rsidRDefault="00A12D44" w:rsidP="00A12D44">
      <w:pPr>
        <w:pStyle w:val="TextoNormal"/>
      </w:pPr>
      <w:r>
        <w:t>B) Al solicitante de amparo, según parece, se le comunicó, mediante notificación escrita, únicamente el acuerdo de regresión de grado, no dándosele traslado de la resolución motivada legal y reglamentariamente exigida (arts.  10.1 L.G.P. y 43.3 R.P.), de modo que sólo a través del Auto del Juzgado de Vigilancia Penitenciaria de 1 de marzo de 1989 pudo conocer el fundamento de su nueva clasificación. Este Auto, dictado en trámite de recurso de alzada, confirma el acuerdo de la Administración basándose en la comisión de una infracción disciplinaria por parte del recurrente, infracción cuya imputación y sanción el recurrente afirma desconocer. Con posterioridad, el mismo Juzgado, mediante Auto del 12 de abril siguiente, dictado en trámite de recurso de reforma interpuesto frente al Auto anterior, fundó la confirmación del acuerdo administrativo en una consideración sumaria y genérica del informe del Equipo de Tratamiento. Ambos Autos podrían permitir, por distintas razones -pretendida inexistencia de una sanción anterior que justificase, ex art. 43.3 b) R.P., la validez del acuerdo de regresión, en el primer caso, y carencia de motivación suficiente de la resolución judicial, en el segundo-, llegar a la conclusión de que la presente demanda, en cuanto a la vulneración del art.  24.1 C.E., no adolece de falta de contenido constitucional.</w:t>
      </w:r>
    </w:p>
    <w:p w:rsidR="00A12D44" w:rsidRDefault="00A12D44" w:rsidP="00A12D44">
      <w:pPr>
        <w:pStyle w:val="TextoNormal"/>
      </w:pPr>
      <w:r>
        <w:t>Empero, el Auto de la Sección Sexta de la Audiencia Provincial de Madrid de 15 de abril de 1991 satisface plenamente el derecho fundamental del actor a la tutela judicial. En efecto, con exclusión de toda referencia al supuesto contemplado en el art. 43.3 b) R.P., el indicado Tribunal examina la concurrencia en el caso de la causa de licitud del acuerdo de regresión de grado señalada en el art. 243.3 R.P., esto es, la evolución desfavorable de la personalidad y conducta del demandante. precisándose en la resolución del juzgador los elementos de juicio que, habida cuenta del comportamiento penitenciario del interno, llevaron a la Administración a adoptar correctamente la medida impugnada. Por lo tanto, el Auto de la Audiencia Provincial constituye una resolución motivada y jurídicamente fundada, que se dictó previo traslado del expediente administrativo al Ministerio Fiscal y al Letrado del recurrente, subsanando así la falta de comunicación a éste en vía admi- nistra</w:t>
      </w:r>
      <w:r>
        <w:lastRenderedPageBreak/>
        <w:t>tiva del acuerdo de regresión debidamente basado en las «causas objetivas» que requiere el art. 10. 1 L.G.P.</w:t>
      </w:r>
    </w:p>
    <w:p w:rsidR="00A12D44" w:rsidRDefault="00A12D44" w:rsidP="00A12D44">
      <w:pPr>
        <w:pStyle w:val="TextoNormal"/>
      </w:pPr>
      <w:r>
        <w:t>C) Por último, el recurrente dispuso de asistencia letrada desde el mismo instante en que la solicité, o sea, al proponerse interponer recurso de apelación, recurso en el que tal asistencia resulta legalmente precisa (Disposición adicional quinta, 5, de la Ley Orgánica del Poder Judicial), no exigiéndola -ni desde luego impidiéndola- el legislador en los recursos precedentes (ibídem).</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tres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2" w:name="AUTO_1992_61"/>
      <w:r>
        <w:lastRenderedPageBreak/>
        <w:t>AUTO 61/1992, de 3 de marzo de 1992</w:t>
      </w:r>
    </w:p>
    <w:bookmarkEnd w:id="132"/>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ECLI:ES:TC:1992:61A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1.518/1991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este Tribunal el 9 de julio de 1991, el Procurador de los Tribunales don Jorge Deleito García, en nombre y representación de don José Cánovas Ruiz, interpone recurso de amparo contra la Sentencia dictada el 14 de mayo de 1991 por la Sección Segunda de la Audiencia Provincial de Valencia, que estima parcialmente la apelación planteada contra la del Juzgado de lo Penal núm. 11 de la misma ciudad en el procedimiento abreviado núm. 394/90, por delito de defraudación de derechos de la propiedad industrial.</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recurso tiene su origen en los siguientes antecedentes de hecho: </w:t>
      </w:r>
    </w:p>
    <w:p w:rsidR="00A12D44" w:rsidRDefault="00A12D44" w:rsidP="00A12D44">
      <w:pPr>
        <w:pStyle w:val="TextoNormal"/>
      </w:pPr>
      <w:r>
        <w:t xml:space="preserve">A) El recurrente fue condenado por el Juzgado de lo Penal núm. 11 de Valencia, como autor de un delito contra la propiedad industrial del art. 534 del Código Penal, a una pena de un mes y un día de arresto mayor, accesoria, multa de 300.000 pts., como consecuencia de haber estado comercializando intencionadamente, desde el 16 de junio de 1985, naranjas y mandarinas con una marca en la que figuraba la cabeza de un indio con penacho y plumas y la palabra «INDIO», cuando una marca donde constaba la misma palabra había sido concedida a don Vicente Fornés en 1947 y era utilizada por su titular para la comercialización de los mismos productos; y ello a pesar de haber sido requerido notarialmente aquél para que dejara de utilizarla. </w:t>
      </w:r>
    </w:p>
    <w:p w:rsidR="00A12D44" w:rsidRDefault="00A12D44" w:rsidP="00A12D44">
      <w:pPr>
        <w:pStyle w:val="TextoNormal"/>
      </w:pPr>
      <w:r>
        <w:t xml:space="preserve">B) La Sentencia fue recurrida en apelación por el actor, basándose, entre otros motivos, en que la marca citada había dejado de ser comercializada en España en 1985 para serlo únicamente en el extranjero, donde tenía registrada la palabra «INDIO», y en que se había infringido el art. 24 C.E. dado que no existía doto ni posibilidad de confusión entre ambas marcas, las cuales poseían una composición gráfica y denominativa distinta. </w:t>
      </w:r>
    </w:p>
    <w:p w:rsidR="00A12D44" w:rsidRDefault="00A12D44" w:rsidP="00A12D44">
      <w:pPr>
        <w:pStyle w:val="TextoNormal"/>
      </w:pPr>
      <w:r>
        <w:t xml:space="preserve">C) La Sección Segunda de la Audiencia Provincial de Valencia dictó Sentencia que estimó parcialmente el recurso de apelación, al reducir la indemnización fijada en concepto de responsabilidad civil a 1.000.000 de pts., y mantuvo los pronunciamientos de la de primera instancia en todo lo demás por cuanto consideraba que «el demandante incurrió en la conducta típica de manera intencional utilizando la expresión "INDIO", que no le correspondía, para identificar a sus productos». Añadía que no se podía admitir como excusa la alegación de que la palabra «INDIO» sólo se ha utilizado en la exportación, «porque el texto penal no distingue en cuanto a dónde se realice el uso», y consideraba de aplicación </w:t>
      </w:r>
      <w:r>
        <w:lastRenderedPageBreak/>
        <w:t xml:space="preserve">lo dispuesto en el art. 31 b) y c) de la Ley de Marcas de 1989 al haber existido una ejecución continuada del delito hasta el mismo día de la vista en primera instancia (18 de octubre de 1990). </w:t>
      </w:r>
    </w:p>
    <w:p w:rsidR="00A12D44" w:rsidRDefault="00A12D44" w:rsidP="00A12D44">
      <w:pPr>
        <w:pStyle w:val="TextoNormal"/>
      </w:pPr>
      <w:r>
        <w:t>D) En tanto se sustanciaba el proceso penal, la Sección Séptima de la Sala de lo Contencioso-Administrativo del Tribunal Superior de Justicia de Madrid, en Sentencia de 10 de enero de 1991, estimó el recurso de «Fruca S. A.», de la que es representante legal el demandante, contra la resolución del registro de la Propiedad Industrial, y declaró procedente la inscripción de la marca 1.109.516/4 «Indio Americano» (con gráfico) al estimar irrelevante la coincidencia de la palabra «INDIO» con la marca 167.292 -«Indio Valencia»- inscrita a nombre de don Vicente Fornés Mafe.</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actor considera en su demanda que las Sentencias recurridas han vulnerado los siguientes derechos fundamentales: </w:t>
      </w:r>
    </w:p>
    <w:p w:rsidR="00A12D44" w:rsidRDefault="00A12D44" w:rsidP="00A12D44">
      <w:pPr>
        <w:pStyle w:val="TextoNormal"/>
      </w:pPr>
      <w:r>
        <w:t xml:space="preserve">A) El art. 24.1 en relación con el art. 9.3 de la Constitución, debido a que existe contradicción entre las Sentencias penal y contencioso-administrativa que le causa indefensión, ya que se ve condenado en una Sentencia penal por utilizar fraudulentamente una marca para la que está autorizado en vía administrativa. </w:t>
      </w:r>
    </w:p>
    <w:p w:rsidR="00A12D44" w:rsidRDefault="00A12D44" w:rsidP="00A12D44">
      <w:pPr>
        <w:pStyle w:val="TextoNormal"/>
      </w:pPr>
      <w:r>
        <w:t xml:space="preserve">B) El art. 24.2 de la Constitución en los siguientes aspectos: </w:t>
      </w:r>
    </w:p>
    <w:p w:rsidR="00A12D44" w:rsidRDefault="00A12D44" w:rsidP="00A12D44">
      <w:pPr>
        <w:pStyle w:val="TextoNormal"/>
      </w:pPr>
      <w:r>
        <w:t xml:space="preserve">Por una parte, respecto a su derecho a un proceso con todas las garantías, como consecuencia de haber sido condenado por la utilización de la palabra «INDIO» no obstante estar pendiente de resolución administrativa la inscripción de dicha palabra en la marca usada por el mismo y haber planteado la cuestión prejudicial correspondiente en el proceso penal ante el Tribunal de apelación - en donde, en el acto de la vista, presentó incluso copia de la Sentencia administrativa- sin haber obtenido un pronunciamiento al respecto. </w:t>
      </w:r>
    </w:p>
    <w:p w:rsidR="00A12D44" w:rsidRDefault="00A12D44" w:rsidP="00A12D44">
      <w:pPr>
        <w:pStyle w:val="TextoNormal"/>
      </w:pPr>
      <w:r>
        <w:t xml:space="preserve">Por otra parte, en relación con su derecho a ser informado de la acusación, puesto que la acusación conocida se refería a la utilización de la palabra «INDIO» en España, mientras que la Sentencia lo condenó por su uso en la exportación, siendo así que desde 1980 tiene registrada esta palabra en el extranjero y que su defensa ha ido encaminada a la utilización de ésta en el territorio nacional. </w:t>
      </w:r>
    </w:p>
    <w:p w:rsidR="00A12D44" w:rsidRDefault="00A12D44" w:rsidP="00A12D44">
      <w:pPr>
        <w:pStyle w:val="TextoNormal"/>
      </w:pPr>
      <w:r>
        <w:t xml:space="preserve">Por último, en cuanto a su derecho constitucional a la presunción de inocencia, dado que no se ha presentado ninguna prueba acreditativa de que el recurrente haya hecho uso de la palabra «INDIO» a partir del requerimiento notarial efectuado por el perjudicado en 1985, en cuyo momento fue cuando conoció la existencia de la otra marca propiedad de éste. Por ello, no existe prueba de cargo que destruya tal presunción. </w:t>
      </w:r>
    </w:p>
    <w:p w:rsidR="00A12D44" w:rsidRDefault="00A12D44" w:rsidP="00A12D44">
      <w:pPr>
        <w:pStyle w:val="TextoNormal"/>
      </w:pPr>
      <w:r>
        <w:t xml:space="preserve">En el mismo sentido, tampoco existe prueba que acredite los perjuicios sufridos, los cuales tienen su base en una declaración de otra persona no ratificada enjuicio oral, acerca de que las ventas no superarían el millón de pesetas. Además, el pretendido volumen de ventas no puede confundirse con los beneficios percibidos por el recurrente. </w:t>
      </w:r>
    </w:p>
    <w:p w:rsidR="00A12D44" w:rsidRDefault="00A12D44" w:rsidP="00A12D44">
      <w:pPr>
        <w:pStyle w:val="TextoNormal"/>
      </w:pPr>
      <w:r>
        <w:t xml:space="preserve">C) El art. 25.1 de la Constitución, por los siguientes motivos: de un lado, porque si, como señala la Sentencia de lo contencioso-administrativo, la utilización de la palabra «INDIO» no puede atribuirse en exclusiva a ninguna persona, su uso por el actor en 1985 no infringe norma administrativa alguna. De otro, porque la marca se encuentra registrada en el extranjero y su uso en los distintos países es legal. Finalmente, y en relación con los arts. 10 y 38 C.E., porque si las normas relativas a los derechos fundamentales han de interpretarse en relación con los tratados internacionales suscritos por España, es evidente que tales tratados se han vulnerado cuando se le condena por usar una marca registrada en el extranjero para cuyo uso está autorizado por los tratados. </w:t>
      </w:r>
    </w:p>
    <w:p w:rsidR="00A12D44" w:rsidRDefault="00A12D44" w:rsidP="00A12D44">
      <w:pPr>
        <w:pStyle w:val="TextoNormal"/>
      </w:pPr>
      <w:r>
        <w:lastRenderedPageBreak/>
        <w:t>Por todo lo expuesto, solicita que se dicte Sentencia que otorgue el amparo solicitado y declare la nulidad de las del Juzgado de lo Penal y de la Audiencia Provincial de Valencia. Por medio de otrosí pide que se suspenda la ejecución de las indicadas sentencias pues, de lo contrario, se le originaría un perjuicio que haría perder al amparo su finalidad.</w:t>
      </w:r>
    </w:p>
    <w:p w:rsidR="00A12D44" w:rsidRDefault="00A12D44" w:rsidP="00A12D44">
      <w:pPr>
        <w:pStyle w:val="TextoNormal"/>
      </w:pPr>
    </w:p>
    <w:p w:rsidR="00A12D44" w:rsidRDefault="00A12D44" w:rsidP="00A12D44">
      <w:pPr>
        <w:pStyle w:val="TextoNormal"/>
      </w:pPr>
      <w:r w:rsidRPr="00A12D44">
        <w:rPr>
          <w:rStyle w:val="NumeroAFNegritaCaracter"/>
        </w:rPr>
        <w:t>4</w:t>
      </w:r>
      <w:r>
        <w:t>. Mediante providencia de 9 de octubre de 1991, la Sala Primera (Sección Segunda) de este Tribunal tuvo por interpuesto recurso de amparo y por personado y parte en el mismo al Procurador señor Deleito García, en nombre y representación de don José Cánovas Ruiz. A tenor de lo dispuesto en el art. 50.3 de la LOTC, se concendió un plazo común de diez días al Ministerio Fiscal y al solicitante de amparo para que alegasen lo pertinente en relación con la posible existencia del siguiente motivo de inadmisión: carecer la demanda manifiestamente de contenido que justifique una decisión por parte del Tribunal Constitucional, de conformidad con lo prevenido en el art. 50.1 c) de la LOTC. En cuanto a la petición de suspensión interesada, se acordó resolver lo procedente una vez que se decida sobre la admisión del presente recurso.</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24 de octubre de 1991 se recibió el escrito de alegaciones del Ministerio Fiscal. En él se hace constar que el epicentro del recurso viene constituido por la contradicción que supone la Sentencia de la Audiencia Provincial de Valencia con la de la Sala de lo Contencioso-Administrativo del Tribunal Superior de Justicia de Madrid, al no tomar aquélla en consideración el fallo emitido por este último, lo que lesionaría el derecho a un proceso con todas las garantías del art. 24.2 C.E. </w:t>
      </w:r>
    </w:p>
    <w:p w:rsidR="00A12D44" w:rsidRDefault="00A12D44" w:rsidP="00A12D44">
      <w:pPr>
        <w:pStyle w:val="TextoNormal"/>
      </w:pPr>
      <w:r>
        <w:t xml:space="preserve">Al respecto hay que tener en cuenta que el actor fue condenado penalmente por agregar la palabra «INDIO» al gráfico que distinguía sus productos y resultar que dicha palabra estaba registrada en productos iguales a favor de otro titular, mientras que el objeto del recurso contencioso-administrativo se refería a la impugnación de la negativa del Registro de la Propiedad Industrial a inscribir la marca «Indio Americano», por oponerse a la de «Indio Valencia» ya inscrita. </w:t>
      </w:r>
    </w:p>
    <w:p w:rsidR="00A12D44" w:rsidRDefault="00A12D44" w:rsidP="00A12D44">
      <w:pPr>
        <w:pStyle w:val="TextoNormal"/>
      </w:pPr>
      <w:r>
        <w:t xml:space="preserve">El fallo de la jurisdicción contencioso-administrativa, aparte de moverse sobre una pretensión distinta, no tiene incidencia sobre la condena o absolución penal porque el uso y confusión que supone para el consumidor la utilización de la misma palabra (indio) en igual producto (cítricos) no se desvanece por la inscripción en el Registro de la Propiedad Industrial de la nueva marca «Indio Americano», al no contener un grafismo igual ni las mismas palabras que «Indio Valencia». De ahí la afirmación de la Sentencia de lo contencioso acerca de que la coincidencia de la palabra «INDIO» no debe llevar aparejada la denegación de la inscripción, cuando la anterior va acompañada de una palabra agregada que las diferencia (americano-valencia). </w:t>
      </w:r>
    </w:p>
    <w:p w:rsidR="00A12D44" w:rsidRDefault="00A12D44" w:rsidP="00A12D44">
      <w:pPr>
        <w:pStyle w:val="TextoNormal"/>
      </w:pPr>
      <w:r>
        <w:t xml:space="preserve">Así pues, la condena penal se produjo no por utilizar la palabra «Indio Americano», sino por el uso de la única de «INDIO», que motivaba la confusión con los productos de la marca ya registrada a favor del querellante- perjudicado. </w:t>
      </w:r>
    </w:p>
    <w:p w:rsidR="00A12D44" w:rsidRDefault="00A12D44" w:rsidP="00A12D44">
      <w:pPr>
        <w:pStyle w:val="TextoNormal"/>
      </w:pPr>
      <w:r>
        <w:t xml:space="preserve">La Sentencia de la Audiencia Provincial de Valencia no infringe, pues, el art. 24.1 y 2 C.E., toda vez que contiene una interpretación razonada y no arbitraria de la norma, que no ha privado al recurrente de las garantías previstas en él. </w:t>
      </w:r>
    </w:p>
    <w:p w:rsidR="00A12D44" w:rsidRDefault="00A12D44" w:rsidP="00A12D44">
      <w:pPr>
        <w:pStyle w:val="TextoNormal"/>
      </w:pPr>
      <w:r>
        <w:t>Con relación a las demás infracciones denunciadas de la C.E., considera que no se ha infringido el principio de legalidad (art. 25.1 C.E.), por cuanto el recurrente fue condenado por un hecho existente como delito en el momento de su perpetración. Tampoco lo ha sido el principio acusatorio debido a que fue informado y había tenido conocimiento previo de la imputación formulada y también condenado por el mismo tipo penal por el que fue acu</w:t>
      </w:r>
      <w:r>
        <w:lastRenderedPageBreak/>
        <w:t xml:space="preserve">sado (art. 534 Código Penal). Por último, la presunción de inocencia quedó desvirtuada por la prueba recogida en el fundamento jurídico 1. de la Sentencia del Juzgado de instancia (confesión, testifical y documental), que no tiene relación alguna con el pago de la indemnización. </w:t>
      </w:r>
    </w:p>
    <w:p w:rsidR="00A12D44" w:rsidRDefault="00A12D44" w:rsidP="00A12D44">
      <w:pPr>
        <w:pStyle w:val="TextoNormal"/>
      </w:pPr>
      <w:r>
        <w:t>En consecuencia, el Fiscal interesa que se dicte Auto inadmitiendo la demanda por carecer ésta de contenido que justifique una decisión en forma de Sentencia.</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Con fecha 25 de octubre de 1991, la representación del demandante formuló su escrito de alegaciones en el que, tras hacer mención a que la demanda reunía los requisitos necesarios para su admisión, señalaba que, pese a haber planteado cuestión prejudicial a fin de obtener la suspensión del proceso penal hasta que recayera resolución en vía contenciosa, la omisión por parte de la Audiencia Provincial de un pronunciamiento sobre esta cuestión vulnera el art. 24 C.E. por suponer una incongruencia omisiva respecto a la pretensión planteada en el recurso. </w:t>
      </w:r>
    </w:p>
    <w:p w:rsidR="00A12D44" w:rsidRDefault="00A12D44" w:rsidP="00A12D44">
      <w:pPr>
        <w:pStyle w:val="TextoNormal"/>
      </w:pPr>
      <w:r>
        <w:t xml:space="preserve">En otro orden de cosas, la prueba practicada en el proceso penal se refería a la utilización de la marca con anterioridad al requerimiento notarial al objeto de que dejara de usarla, sin que se haya verificado prueba alguna que demuestre su uso posterior a 1985 en que se efectuó tal requerimiento. Tampoco se ha realizado prueba que demuestre el perjuicio irrogado. </w:t>
      </w:r>
    </w:p>
    <w:p w:rsidR="00A12D44" w:rsidRDefault="00A12D44" w:rsidP="00A12D44">
      <w:pPr>
        <w:pStyle w:val="TextoNormal"/>
      </w:pPr>
      <w:r>
        <w:t xml:space="preserve">Reconocido en vía contenciosa el derecho a inscribir en el Registro la palabra «INDIO», no existe infracción alguna por su uso y, por tanto, la condena vulnera el art. 25.1 C.E. Máxime si se tiene en cuenta que la marca está registrada en el extranjero y ha sido condenado por el uso de la misma en la exportación. </w:t>
      </w:r>
    </w:p>
    <w:p w:rsidR="00A12D44" w:rsidRDefault="00A12D44" w:rsidP="00A12D44">
      <w:pPr>
        <w:pStyle w:val="TextoNormal"/>
      </w:pPr>
      <w:r>
        <w:t>Termina suplicando que se dicte una resolución por la que se admita a trámite el presente recurso de amparo.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la concurrencia de la causa de inadmisión advertida en nuestra providencia de 9 de octubre de 1991, pues, como ya pusimos de manifiesto, la demanda carece manifiestamente de contenido que justifique una decisión sobre el fondo por parte del Tribunal Constitucional, conforme a lo establecido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2</w:t>
      </w:r>
      <w:r>
        <w:t>. Este Tribunal ha puesto de manifiesto en repetidas ocasiones que principios elementales de lógica jurídica y de la propia seguridad basan la expectativa legítima del justiciable a obtener, para una misma cuestión, una respuesta inequívoca de los órganos encargados de administrar justicia, puesto que no puede admitirse en la realidad jurídica que algo es y no es y que unos mismos hechos ocurrieron y no ocurrieron (SSTC 24/1984, 62/1984 y 158/1985), pero ello no tiene nada que ver con la posibilidad de que unos mismos hechos sean examinados desde la perspectiva de los diferentes órdenes jurisdiccionales con el riesgo de que éstos extraigan consecuencias jurídicas distintas de ellos.  No se trata en estos casos de afirmar un hecho que haya sido negado por otro orden jurisdiccional (o viceversa), sino de distintas interpretaciones judiciales que no violan el derecho a la tutela judicial efectiva (SSTC 70/1989 y 116/1989).</w:t>
      </w:r>
    </w:p>
    <w:p w:rsidR="00A12D44" w:rsidRDefault="00A12D44" w:rsidP="00A12D44">
      <w:pPr>
        <w:pStyle w:val="TextoNormal"/>
      </w:pPr>
      <w:r>
        <w:t xml:space="preserve">Aún más, en el caso ahora estudiado no se trata ni siquiera del examen de unos mismo hechos. La Audiencia Provincial de Valencia procedió a resolver si el uso por parte del actor de la palabra «INDIO», unida al anagrama con el que comercializaba sus productos </w:t>
      </w:r>
      <w:r>
        <w:lastRenderedPageBreak/>
        <w:t>cítricos, defraudaba el derecho de propiedad industrial del querellante, quien tenía inscrita en el Registro tal denominación y emblema a su favor, y ello desde la perspectiva de tipicidad del art. 534 del Código Penal. Por su parte, la Sala de lo Contencioso- Administrativo estimó el recurso interpuesto contra la decisión del Registro de la Propiedad Industrial que denegaba la inscripción de la marca «Indio Americano» por oposición a la de «Indio Valencia», que ya aparecía inscrita, por considerar que deben apreciarse ambas marcas en su conjunto al no ser relevante la coincidencia de la palabra «INDIO».</w:t>
      </w:r>
    </w:p>
    <w:p w:rsidR="00A12D44" w:rsidRDefault="00A12D44" w:rsidP="00A12D44">
      <w:pPr>
        <w:pStyle w:val="TextoNormal"/>
      </w:pPr>
      <w:r>
        <w:t>En consecuencia, como bien aprecia el Ministerio Fiscal el fallo de la jurisdicción contencioso-administrativa, aparte de moverse sobre una pretensión distinta, no tiene influencia alguna en la condena penal impuesta.  Esta se asienta en el uso intencional de una marca no registrada que induce a confusión con otra anteriormente inscrita para la comercialización de unos mismos productos. En otras palabras, la Sala de lo Contencioso-Administrativo autorizó al actor la inscripción registral de la marca «Indio Americano» y la Sentencia penal condenó a éste no por usar tal denominación, sino la única de «INDIO», que producía confusión con los productos comercializados por el querellante.</w:t>
      </w:r>
    </w:p>
    <w:p w:rsidR="00A12D44" w:rsidRDefault="00A12D44" w:rsidP="00A12D44">
      <w:pPr>
        <w:pStyle w:val="TextoNormal"/>
      </w:pPr>
      <w:r>
        <w:t>A mayor abundamiento cabe señalar, de un lado, que los hechos por los que ha sido condenado el recurrente son anteriores a la fecha en que pretendió la inscripción de la marca en el Registro de la Propiedad Industrial, y, de otro, que ni siquiera la simple inscripción registral determina un derecho de propiedad sobre la marca, el cual queda sujeto a la acción reivindicatoria que pueda iniciarse conforme a lo dispuesto en el art. 3 de la Ley 3211988 de 10 de noviembre. Al no existir contradicción alguna entre las Sentencias penal y contencioso-administrativa y responder la primera a una interpretación razonada de la norma, no cabe apreciar violación alguna del art. 24.1 C.E.</w:t>
      </w:r>
    </w:p>
    <w:p w:rsidR="00A12D44" w:rsidRDefault="00A12D44" w:rsidP="00A12D44">
      <w:pPr>
        <w:pStyle w:val="TextoNormal"/>
      </w:pPr>
    </w:p>
    <w:p w:rsidR="00A12D44" w:rsidRDefault="00A12D44" w:rsidP="00A12D44">
      <w:pPr>
        <w:pStyle w:val="TextoNormal"/>
      </w:pPr>
      <w:r w:rsidRPr="00A12D44">
        <w:rPr>
          <w:rStyle w:val="NumeroAFNegritaCaracter"/>
        </w:rPr>
        <w:t>3</w:t>
      </w:r>
      <w:r>
        <w:t>. Tampoco pueden ser acogidas las demás violaciones del art. 24 de la Constitución que se denuncian en la demanda. Y ello por los siguientes motivos:</w:t>
      </w:r>
    </w:p>
    <w:p w:rsidR="00A12D44" w:rsidRDefault="00A12D44" w:rsidP="00A12D44">
      <w:pPr>
        <w:pStyle w:val="TextoNormal"/>
      </w:pPr>
      <w:r>
        <w:t>A) Ya se indicó por este Tribunal en los AATC 475/1983, 745/1984, 696/1985 y 40/1987 que la facultad de decidir cuándo una cuestión prejudicial excluye o no la competencia del Juez penal, corresponde a la jurisdicción ordinaria y esta decisión no es revisable en vía constitucional por el mero desacuerdo del afectado. De lo anterior se deduce que ningún derecho fundamental del actor se ha vulnerado por no haber acordado los órganos judiciales penales la suspensión de la causa en tanto se decidiese el recurso contencioso-administrativo pendiente. Todo viso de lesión desaparece si, como se ha argumentado anteriormente, ninguna influencia podía tener la resolución administrativa sobre el fallo penal por versar sobre una pretensión distinta.</w:t>
      </w:r>
    </w:p>
    <w:p w:rsidR="00A12D44" w:rsidRDefault="00A12D44" w:rsidP="00A12D44">
      <w:pPr>
        <w:pStyle w:val="TextoNormal"/>
      </w:pPr>
      <w:r>
        <w:t xml:space="preserve">B) En cuanto al derecho a ser informado de la acusación, este Tribunal ha repetido en numerosas ocasiones (SSTC 141/1986 y 91/1989, entre otras) que el momento de la fijación definitiva del objeto del proceso penal sucede en el escrito de «conclusiones definitivas». Por tanto, ni el requerimiento notarial previo al recurrente, ni la querella, ni las conclusiones provisionales fijan definitivamente los puntos sobre los que ha de pronunciarse la Sentencia. En los antecedentes de hecho 1. y 2. de la resolución del Juzgado de lo Penal se determinan claramente las pretensiones definitivas de condena, y en los hechos probados de la misma, aceptados por la de apelación, se concretan los que han dado lugar a la posterior sanción. En ninguno de ellos se menciona para nada que el recurrente haya sido condenado por usar la marca en la exportación, sino que tal cuestión fue suscitada por el actor al recurrir en apelación, y contestada por el Tribunal de segunda instancia en el sentido de que el texto penal no distingue respecto del lugar en que se use la marca, pues el </w:t>
      </w:r>
      <w:r>
        <w:lastRenderedPageBreak/>
        <w:t>mismo ofrecimiento de venta (art. 31 de la Ley de Marcas) puede dar lugar a la comisión del delito. No se ha producido, pues, violación alguna de este derecho fundamental.</w:t>
      </w:r>
    </w:p>
    <w:p w:rsidR="00A12D44" w:rsidRDefault="00A12D44" w:rsidP="00A12D44">
      <w:pPr>
        <w:pStyle w:val="TextoNormal"/>
      </w:pPr>
      <w:r>
        <w:t>C) Suscita, igualmente, el actor la violación de su derecho constitucional a la presunción de inocencia. Argumenta al efecto que no se ha demostrado el uso de la palabra «INDIO» con posterioridad al requerimiento notarial del recurrente en 1985.</w:t>
      </w:r>
    </w:p>
    <w:p w:rsidR="00A12D44" w:rsidRDefault="00A12D44" w:rsidP="00A12D44">
      <w:pPr>
        <w:pStyle w:val="TextoNormal"/>
      </w:pPr>
      <w:r>
        <w:t>El fundamento jurídico 1. de la Sentencia del Juzgado de lo Penal parte de la base de que el propio acusado reconoció el uso de la indicada marca en la comercialización de sus productos, y que el uso posterior a la fecha indicada no sólo se desprende de su contestación al requerimiento notarial, sino de la testifical practicada en el acto del juicio y de la documental unida a las actuaciones. Existe, pues, prueba de cargo que quiebra la presunción constitucional de inocencia.</w:t>
      </w:r>
    </w:p>
    <w:p w:rsidR="00A12D44" w:rsidRDefault="00A12D44" w:rsidP="00A12D44">
      <w:pPr>
        <w:pStyle w:val="TextoNormal"/>
      </w:pPr>
      <w:r>
        <w:t>En igual sentido hay que pronunciarse respecto de la cuantía de la responsabilidad civil, asentada sobre la declaración de don José Alemán Ruiz, porque la condena por responsabilidad civil no guarda relación alguna con el derecho fundamental a la presunción de inocencia. Este concepto alude a la comisión de un ilícito en el ámbito sancionador y no a la responsabilidad indemnizatoria en el ámbito civil, aunque ésta se derive de un delito declarado en el ámbito penal (STC 72/1991 y AATC 161/1983, 19/1984 y 921/1987).</w:t>
      </w:r>
    </w:p>
    <w:p w:rsidR="00A12D44" w:rsidRDefault="00A12D44" w:rsidP="00A12D44">
      <w:pPr>
        <w:pStyle w:val="TextoNormal"/>
      </w:pPr>
    </w:p>
    <w:p w:rsidR="00A12D44" w:rsidRDefault="00A12D44" w:rsidP="00A12D44">
      <w:pPr>
        <w:pStyle w:val="TextoNormal"/>
      </w:pPr>
      <w:r w:rsidRPr="00A12D44">
        <w:rPr>
          <w:rStyle w:val="NumeroAFNegritaCaracter"/>
        </w:rPr>
        <w:t>4</w:t>
      </w:r>
      <w:r>
        <w:t>. Queda referimos, por último, a las infracciones que el recurrente reprocha a las Sentencias penales en el ámbito del principio de legalidad que consagra el art. 25.1 C.E. Las cuestiones que suscita, sin embargo, no rebasan los límites de la legalidad ordinaria.</w:t>
      </w:r>
    </w:p>
    <w:p w:rsidR="00A12D44" w:rsidRDefault="00A12D44" w:rsidP="00A12D44">
      <w:pPr>
        <w:pStyle w:val="TextoNormal"/>
      </w:pPr>
      <w:r>
        <w:t>Es evidente que el actor ha sido condenado en virtud de un precepto legal existente con anterioridad a la comisión de los hechos, el cual, como norma penal en blanco, ha de integrarse con otras normas distintas -en este caso, la Ley de 16 de mayo de 1902 en aquellos artículos que declaré subsistentes el Decreto de 22 de mayo de 1931, el Estatuto sobre Propiedad Industrial de 26 de julio de 1929 y la Ley de Marcas de 10 de noviembre de 1988. El art. 134 de la Ley de 1902 indica que son usurpadores de las marcas los que para perjudicar los derechos o intereses de su legítimo poseedor usen, fabriquen o ejecuten dichas marcas... u otras que con ellas se confundan, y el art. 138 castiga penalmente el uso de las mismas en términos que el consumidor pueda incurrir en equivocación o error, confundiéndolos con los verdaderos o legítimos.</w:t>
      </w:r>
    </w:p>
    <w:p w:rsidR="00A12D44" w:rsidRDefault="00A12D44" w:rsidP="00A12D44">
      <w:pPr>
        <w:pStyle w:val="TextoNormal"/>
      </w:pPr>
      <w:r>
        <w:t>La infracción intencionada de los derechos de propiedad industrial se sanciona en el art. 534 del Código Penal. Así, la Sentencia penal apreció la concurrencia de este delito en cuanto se ha verificado ese uso intencional de una marca no registrada, que puede inducir a confusión en el consumidor respecto a la verdadera y legítima. De aquí que los requisitos de lex scripta, lex previa y lex certa, recogidos por la jurisprudencia de este Tribunal en sus SSTC 127/1990 y 122/1987, hayan quedado cumplidos en este caso, y que la cuestión suscitada al respecto por el actor no supere los límites de la legalidad ordinaria, pues la concurrencia o no de los elementos del tipo debe ser resuelta por los Tribunales penales y su calificación, salvo manifiesto error, no puede ser revisada por el Tribunal Constitucional (ATC 1989/1989).</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lastRenderedPageBreak/>
        <w:t>Por todo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tres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3" w:name="AUTO_1992_62"/>
      <w:r>
        <w:lastRenderedPageBreak/>
        <w:t>AUTO 62/1992, de 3 de marzo de 1992</w:t>
      </w:r>
    </w:p>
    <w:bookmarkEnd w:id="133"/>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ECLI:ES:TC:1992:62A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1.683/1991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Enrique Sorribes Torra, Procurador de los Tribunales y de doña Natividad Ciuro Comas y de la entidad mercantil «Mas Ciuro, S. A.», interpuso recurso de amparo contra el Auto de la Sala Primera del Tribunal Supremo, de 22 de junio de 1991, mediante el que se inadmitió un motivo de recurso de casación.</w:t>
      </w:r>
    </w:p>
    <w:p w:rsidR="00A12D44" w:rsidRDefault="00A12D44" w:rsidP="00A12D44">
      <w:pPr>
        <w:pStyle w:val="TextoNormal"/>
      </w:pPr>
    </w:p>
    <w:p w:rsidR="00A12D44" w:rsidRDefault="00A12D44" w:rsidP="00A12D44">
      <w:pPr>
        <w:pStyle w:val="TextoNormal"/>
      </w:pPr>
      <w:r w:rsidRPr="00A12D44">
        <w:rPr>
          <w:rStyle w:val="NumeroAFNegritaCaracter"/>
        </w:rPr>
        <w:t>2</w:t>
      </w:r>
      <w:r>
        <w:t>. De la demanda de amparo se desprenden los siguientes hechos de relevancia en este proceso constitucional: los ahora solicitantes de amparo presentaron demanda de juicio de menor cuantía contra una Compañía aseguradora. Del asunto conoció el Juzgado de Primera Instancia núm. 1 de Vich y, después, la Sección Décima de la Audiencia Provincial de Barcelona. Interpuesto recurso de casación, se articuló en tres motivos. La Sala Primera del Tribunal Supremo, en el Auto de fecha 22 de junio de 1991, ahora recurrido en amparo, inadmitió el primero de estos motivos, porque se acogía al núm. 5. del art. 1962 de la Ley de Enjuiciamiento Civil (en adelante, L.E.C.) y se invocaba la inaplicación del art.1.253 del Código Civil, mientras la Sala entendía que la impugnación casacional de la prueba por presunciones, en lo que atañe al hecho del que parte la inducción y no al engarce lógico entre el hecho demostrado y el que se trata de deducir, debía hacerse «al amparo del ordinal 4. » y «acusando la infracción de su art. 1249», según distintas Sentencias de dicho Alto Tribunal que en el Auto reseñado se detallaban.</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Los recurrentes en amparo consideran que esta decisión judicial de inadmisión de un motivo del recurso de casación lesión a su derecho a la tutela judicial efectiva(art. 24.1 de la Constitución) en su vertiente de derecho de acceso al sistema de recursos legalmente previstos y en virtud de un doble razonamiento: </w:t>
      </w:r>
    </w:p>
    <w:p w:rsidR="00A12D44" w:rsidRDefault="00A12D44" w:rsidP="00A12D44">
      <w:pPr>
        <w:pStyle w:val="TextoNormal"/>
      </w:pPr>
      <w:r>
        <w:t xml:space="preserve">a) Por la aplicación excesivamente formalista de los requisitos de admisión del recurso. De este modo, no puede considerarse causa suficiente para la inadmisión del recurso, según reiterada jurisprudencia constitucional (SSTC 17/1985, 57/1985, 154/1987, 61/1989, 7/1989, etc.), el error material sufrido por los recurrentes en el momento de señalar un apartado concreto del art. 1692 de la L.E.C., porque se trata de un defecto de escasa entidad e, incluso, subsanable de oficio por el propio Tribunal, y, en cualquier caso, insuficiente para acordar la inadmisión del recurso, que es siempre una medida excepcional. </w:t>
      </w:r>
    </w:p>
    <w:p w:rsidR="00A12D44" w:rsidRDefault="00A12D44" w:rsidP="00A12D44">
      <w:pPr>
        <w:pStyle w:val="TextoNormal"/>
      </w:pPr>
      <w:r>
        <w:lastRenderedPageBreak/>
        <w:t>b) Subsidiariamente, por la inadmisión parcial del recurso sin que exista causa legal que lo justifique. No puede admitirse la existencia de un error a la hora de singularizar la vía de casación, porque lo que se atacaba en el recurso era precisamente el engarce lógico o razonamiento a través del cual se había establecido la prueba por presunciones y no los hechos demostrados e indiciarios, como afirma en su Auto la Sala Primera del Tribunal Supremo por error, acaso derivado de «una lectura poco atenta» del recurso. La Sentencia de apelación recurrida en casación utilizó el mecanismo de la presunción en ocasiones, así, por ejemplo, el hecho de la existencia de un sobreseguro se extrae mediante presunciones deducidas de otro hecho, de la existencia de una precaria situación económica en la empresa demandante, pero no se atacaba ahí ese hecho base, sino el posterior razonamiento. En consecuencia, la Sala Primera inadmitió el recurso sin que hubiera una causa legal que lo justificara (STC 200/1988).</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 de diciembre de 1991, la Sección Segunda (Sala Primera) de este Tribunal dispuso, a tenor de lo dispuesto en el art. 50.3 de la Ley Orgánica del Tribunal Constitucional (desde ahora LOTC), conceder a los recurrentes y al Ministerio Fiscal un plazo común de diez días para que alegasen lo que estimaran pertinente en relación con la posible existencia del siguiente motivo de inadmisión: carecer la demanda de contenido constitucional [art. 50. 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El Ministerio Fiscal interesa de este Tribunal que inadmita el recurso de amparo en aplicación del motivo de inadmisión puesto de manifiesto por la Sección en la providencia reseñada. La Sala Primera del Tribunal Supremo declaró que no había lugar a la admisión del primero de los motivos de casación, no por un defecto formal sin transcendencia -como se denuncia-, un error en la singularización del apartado correspondiente del art. 1692 de la L.E.C., sino a causa de una razón de fondo. Los recurrentes trataban, en realidad, de destruir las premisas de hecho en las cuales se basaba la presunción establecida por la Audiencia. Pero el error en la apreciación de la prueba de los elementos facticos sólo podía hacerse en casación señalando los documentos obrantes en autos que demostrasen la equivocación del juzgador. lo que no se hizo. En consecuencia, la pretensión impugnatoria casacional se hizo al resguardo del núm. 5. del art. 1692 de la L.E.C.. pero realmente se estaba argumentando por la vía del núm. 4. , claro está que sin satisfacer los requisitos documentales necesarios para un resultado que sólo podía alcanzarse empleando otro motivo de casación. Por ello, la respuesta del Tribunal Supremo es adecuada a las normas procesales que regulan la casación y está suficientemente razonada. sin que pueda tacharse de formalista o arbitraria.</w:t>
      </w:r>
    </w:p>
    <w:p w:rsidR="00A12D44" w:rsidRDefault="00A12D44" w:rsidP="00A12D44">
      <w:pPr>
        <w:pStyle w:val="TextoNormal"/>
      </w:pPr>
    </w:p>
    <w:p w:rsidR="00A12D44" w:rsidRDefault="00A12D44" w:rsidP="00A12D44">
      <w:pPr>
        <w:pStyle w:val="TextoNormal"/>
      </w:pPr>
      <w:r w:rsidRPr="00A12D44">
        <w:rPr>
          <w:rStyle w:val="NumeroAFNegritaCaracter"/>
        </w:rPr>
        <w:t>6</w:t>
      </w:r>
      <w:r>
        <w:t>. Por su parte, la defensa del recurrente presentó escrito de alegaciones en el que aseguraba haber ya «expuesto honestamente en el escrito de interposición del recurso lo que, según la doctrina de este Tribunal Constitucional, creía relevante para la fundamentación del recurso y carece (ahora) de argumentos nuevos».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Los solicitantes de amparo denuncian, sustancialmente, que la Sala Primera del Tribunal Supremo inadmitió indebidamente uno entre varios de los motivos de casación, bien </w:t>
      </w:r>
      <w:r>
        <w:lastRenderedPageBreak/>
        <w:t>por interpretar de manera excesivamente formalista las normas que regulan este recurso ante un defecto de escasa entidad como es el error a la hora de identificar el apartado del art. 1692 de la L.E.C. (el núm.  5. en vez del 4. ), bien por efectuar una lectura apresurada del recurso y no caer en la cuenta de que se atacaba el engarce lógico entre hechos demostrados y hechos presuntos y no el basamento fáctico del que arrancaba la prueba por presunciones.</w:t>
      </w:r>
    </w:p>
    <w:p w:rsidR="00A12D44" w:rsidRDefault="00A12D44" w:rsidP="00A12D44">
      <w:pPr>
        <w:pStyle w:val="TextoNormal"/>
      </w:pPr>
    </w:p>
    <w:p w:rsidR="00A12D44" w:rsidRDefault="00A12D44" w:rsidP="00A12D44">
      <w:pPr>
        <w:pStyle w:val="TextoNormal"/>
      </w:pPr>
      <w:r w:rsidRPr="00A12D44">
        <w:rPr>
          <w:rStyle w:val="NumeroAFNegritaCaracter"/>
        </w:rPr>
        <w:t>2</w:t>
      </w:r>
      <w:r>
        <w:t>. Prima facie, a la luz de las alegaciones que en la demanda razonadamente se vierten de forma harto trabada, pudiera pensarse en la existencia de indicios de una lesión del derecho fundamental invocado por los recurrentes, esto es, el derecho de acceso al sistema de recursos legalmente previsto en cuanto contenido del derecho a la tutela judicial efectiva (art. 24.1 de la Constitución); no obstante, debe llegarse a la conclusión contraria después de una reflexión más profunda y sosegada.</w:t>
      </w:r>
    </w:p>
    <w:p w:rsidR="00A12D44" w:rsidRDefault="00A12D44" w:rsidP="00A12D44">
      <w:pPr>
        <w:pStyle w:val="TextoNormal"/>
      </w:pPr>
      <w:r>
        <w:t>En efecto, para la solución del litigio no es ocioso recordar que en materia de inadmisión de motivos de casación este Tribunal ha elaborado la siguiente doctrina que ahora se reseña de manera sintética.</w:t>
      </w:r>
    </w:p>
    <w:p w:rsidR="00A12D44" w:rsidRDefault="00A12D44" w:rsidP="00A12D44">
      <w:pPr>
        <w:pStyle w:val="TextoNormal"/>
      </w:pPr>
      <w:r>
        <w:t>Desde la STC 17/1985 se ha venido sosteniendo que, pese a que los requisitos y exigencias formales son consustanciales al recurso de casación, es preciso distinguir entre un justificado rigor formal y un injustificable exceso formalista, de suerte que cuando se deniegue la admisión del recurso o de uno de sus motivos por uno de estos excesos habrá siempre una negación del mismo acceso a la tutela judicial; y, entre estos excesos y con carácter ejemplificativo, se señalaba allí: que las citas de las disposiciones infringidas no se hayan hecho en el encabezamiento del motivo sino en el cuerpo, o que los párrafos no se denominen motivos, o que se ordenen mediante letras en vez de con números, infracciones todas ellas -se decía- que no restan en absoluto claridad y precisión al recurso.</w:t>
      </w:r>
    </w:p>
    <w:p w:rsidR="00A12D44" w:rsidRDefault="00A12D44" w:rsidP="00A12D44">
      <w:pPr>
        <w:pStyle w:val="TextoNormal"/>
      </w:pPr>
      <w:r>
        <w:t>En la STC 57/1985, ciertamente, se mantuvo que el respeto a la tutela judicial efectiva debe, incluso, conducir aquel órgano judicial supla con su propia interpretación el imperfecto cumplimiento de algunos requisitos establecidos en el art. 1720 de la L.E.C.; así, por ejemplo, en ese supuesto el recurrente alegó interpretación errónea y, subsidiariamente, indebida aplicación de las normas en cada motivo citadas, y la exigencia de separación de estos motivos no se estimó necesaria.</w:t>
      </w:r>
    </w:p>
    <w:p w:rsidR="00A12D44" w:rsidRDefault="00A12D44" w:rsidP="00A12D44">
      <w:pPr>
        <w:pStyle w:val="TextoNormal"/>
      </w:pPr>
      <w:r>
        <w:t>En esta misma línea de jurisprudencia constitucional, promotora de una interpretación judicial de los requisitos procesales sin formalismos enervantes, la STC 154/1987 dio ocasión para poner de manifiesto que «un simple error en la cita del número» del art. 849 de la L.E.Crim. (fundamento jurídico 4. ), siendo en realidad evidente cuál era el verdadero motivo del recurso y no ofreciendo, por tanto, dificultades para el examen y resolución del motivo alegado, constituía un defecto que no podía llevar a la inadmisión del motivo sin incurrir en un exceso de formalismo.</w:t>
      </w:r>
    </w:p>
    <w:p w:rsidR="00A12D44" w:rsidRDefault="00A12D44" w:rsidP="00A12D44">
      <w:pPr>
        <w:pStyle w:val="TextoNormal"/>
      </w:pPr>
      <w:r>
        <w:t xml:space="preserve">De nuevo en la STC 6/1989, y con especial relevancia para nuestros fines, se dijo que no era un defecto relevante en un motivo de casación la omisión de la cita del ordinal del art. 1962 de la L.E.C. (fundamento jurídico 3. ), que se encontraba. no obstante, en el encabezamiento del recurso; también se precisó allí que las normas restrictivas no pueden ser interpretadas con rigorismo y se hizo explícito que la finalidad esencial del rigor de la casación no es otra que una correcta ordenación del debate procesal al facilitar una información inequívoca al Tribunal Supremo sobre los motivos del recurso en beneficio del juzgador y de la parte contraria (algo que ya se había sostenido, entre otras, en las SSTC 81/1986 y 129/1986). Este criterio teleológico resulta de innegable utilidad para ponderar la entidad real del defecto y la sanción que consecuentemente debe acarrear. Se añadía, </w:t>
      </w:r>
      <w:r>
        <w:lastRenderedPageBreak/>
        <w:t>finalmente, que la omisión del número no puede afirmarse rotundamente que merezca siempre como sanción la inadmisión del motivo.</w:t>
      </w:r>
    </w:p>
    <w:p w:rsidR="00A12D44" w:rsidRDefault="00A12D44" w:rsidP="00A12D44">
      <w:pPr>
        <w:pStyle w:val="TextoNormal"/>
      </w:pPr>
      <w:r>
        <w:t>Por último, entre otras múltiples, la STC 7/1989 trajo a colación que la reforma operada por la Ley 34/1984, de 6 de agosto, incide en este debate, pues la Ley de Enjuiciamiento establecía en su art. 1720 que en el escrito de interposición del recurso de casación se había de expresar el párrafo del art.  1692 en que se hallara comprendido, y, si fueran dos o más los motivos del recurso, debían expresarse en párrafos separados y numerados; el incumplimiento de esta exigencia suponía la inviabilidad del recurso por mandato del propio art. 1729.4, causa de inadmisión que había producido en la jurisprudencia «un excesivo formalismo» (fundamento jurídico 4. ); en cambio, la reforma mantuvo en el art. 1707 la carga de expresar los motivos del recurso, según el art.  1692 de la L.E.C., pero no estableció una sanción expresa a su incumplimiento; y otra vez se insiste en que las exigencias formales reseñadas no poseen otro fin que asegurar «la correcta ordenación del debate» y «la comprensión de los motivos articulados» en atención al juzgador y a la parte recurrida (ibídem).  Significativamente, se reitera en esta Sentencia un punto de partida que no puede ser olvidado en cualesquiera razonamientos posteriores: el hecho de que ni la Constitución, en general, ni derecho fundamental alguno, en particular, imponen la existencia o procedencia del recurso de casación civil y que, dado su carácter extraordinario, el legislador es libre en su configuración normativa y el Tribunal Supremo en su interpretación razonada (fundamento jurídico 3. ).</w:t>
      </w:r>
    </w:p>
    <w:p w:rsidR="00A12D44" w:rsidRDefault="00A12D44" w:rsidP="00A12D44">
      <w:pPr>
        <w:pStyle w:val="TextoNormal"/>
      </w:pPr>
    </w:p>
    <w:p w:rsidR="00A12D44" w:rsidRDefault="00A12D44" w:rsidP="00A12D44">
      <w:pPr>
        <w:pStyle w:val="TextoNormal"/>
      </w:pPr>
      <w:r w:rsidRPr="00A12D44">
        <w:rPr>
          <w:rStyle w:val="NumeroAFNegritaCaracter"/>
        </w:rPr>
        <w:t>3</w:t>
      </w:r>
      <w:r>
        <w:t>. Partiendo de esta doctrina jurisprudencia, deben reseñarse los siguientes datos de relevancia en el caso que nos ocupa. La Sala Primera del Tribunal Supremo adujo, de acuerdo con el dictamen del Ministerio Fiscal, que no cabía ya impugnación casacional con cobertura en el ordinal 5. del art. 1692 de la L.E.C., por inaplicación del art. 1253 del Código Civil atacando las premisas de hecho de la presunción, puesto que este proceder debía situarse en el ordinal 4. y en la infracción del art. 1249, según reiterada jurisprudencia ordinaria. Frente a este razonamiento, los solicitantes de amparo esgrimen ahora en sede constitucional que o bien la errónea cita del concreto apartado del art. 1692 es un defecto de escasa entidad que no puede acarrear como sanción la inadmisión del recurso en este motivo, pues, entre otras razones, pudo ser el defecto perfectamente subsanado de oficio por el propio Tribunal, o bien la propia Sala incurrió en error al leer apresuradamente este motivo del recurso, puesto que lo que se discutía no era la prueba de los hechos indiciarios de los que arranca la presunción, sino el en-arce lógico o razonamiento que llevó a la Sala de apelación a deducir unos hechos presuntos.</w:t>
      </w:r>
    </w:p>
    <w:p w:rsidR="00A12D44" w:rsidRDefault="00A12D44" w:rsidP="00A12D44">
      <w:pPr>
        <w:pStyle w:val="TextoNormal"/>
      </w:pPr>
      <w:r>
        <w:t>Así precisadas ambas posiciones y una vez revisado el contenido del recurso de casación interpuesto en su motivo primero, amparado en el núm. 5.0 del art.  1692 de la L.E.C. y relativo a una infracción de normas por la inaplicación del art. 1253 del Código Civil, es decir, inexistencia de un engarce lógico preciso y directo entre hechos demostrados y presuntos, es indudable que se encuentran allí numerosas argumentaciones dirigidas a rebatir los mismos hechos indiciarios, en vez de a discutir dicho engarce lógico. como se afirma en la demanda de amparo. Conviene tener presente que el caso atañe a una reclamación de cumplimiento de un contrato de seguro de incendios suscrito por los recurrentes con una entidad aseguradora. La reclamación fue rechazada en ambas instancias judiciales por concurrir la circunstancia de sobreseguro producido dolosamente y por haber falseado los demandantes la información facilitada sobre las mercancías siniestradas. El juzgador extrajo estas conclusiones mediante una presunción extraída de los siguientes hechos indiciarios: las diversas deudas de la empresa (tributarias, con la Seguridad Social. son acreedo</w:t>
      </w:r>
      <w:r>
        <w:lastRenderedPageBreak/>
        <w:t>res particulares, etc.), la presencia de conflictividad laboral en la misma, la escasa actividad mercantil antes del siniestro, la inexistencia en los locales siniestrados de elementos susceptibles de combustión, etc. La mayoría de las argumentaciones presentes en este primer motivo del recurso de casación tratan de negar el carácter de verdaderos indicios acreditados de esos hechos: se niega que la empresa siniestrada se encontrara al borde de la quiebra y próxima al cierre, se afirma que las deudas tributarias podían ser pagadas, se asevera que las deudas con los trabajadores estaban ya canceladas, se discute que la empresa tuviera un reducido movimiento mercantil y bancario, etc. A la luz de estos datos, tienen, sin duda, razón el Ministerio Fiscal ante este Tribunal y, sobre todo, la Sala Primera del Tribunal Supremo, cuya resolución se discute, cuando esgrimen que en el motivo no se rebatía el engarce lógico de la prueba por presunciones, sino los mismos hechos indiciarios o hechos base.</w:t>
      </w:r>
    </w:p>
    <w:p w:rsidR="00A12D44" w:rsidRDefault="00A12D44" w:rsidP="00A12D44">
      <w:pPr>
        <w:pStyle w:val="TextoNormal"/>
      </w:pPr>
      <w:r>
        <w:t>Admitida esta conclusión, no cabe deducir de ella, como pretendida consecuencia de un supuesto derechos fundamental, que el órgano judicial debiera subsanar de oficio el defecto por su escasa entidad, según piden los recurrentes, y entender comprendido el motivo del recurso en el apartado 4.  del art. 1692 de la L.E.C., error en la apreciación de la prueba; por el contrario, es muy razonable pensar que este motivo de casación no era, en realidad, claro e inequívoco, lo que justificaba la inadmisión parcial del recurso en virtud de una interpretación teleológica y. entre otras razones, para preservar las normas procesales con las que el legislador ha querido configurar un recurso extraordinario como es el de casación en materia civil.</w:t>
      </w:r>
    </w:p>
    <w:p w:rsidR="00A12D44" w:rsidRDefault="00A12D44" w:rsidP="00A12D44">
      <w:pPr>
        <w:pStyle w:val="TextoNormal"/>
      </w:pPr>
      <w:r>
        <w:t>Así, es patente que si los recurrentes pretendían discutir los indicios y alegar un error en la apreciación de la prueba, dicho error debía venir basado en documentos que obrasen en autos y que claramente demostrasen la equivocación del juzgador, sin resultar contradichos por otros elementos probatorios (art.  1692.4 de la L.E.C.). Por eso, la Sala Primera del Tribunal Supremo se remitió expresamente en la resolución discutida a numerosos precedentes anteriores en los cuales se remarca que el error de hecho «ha de resultar de documento y no de probanzas de otro carácter» (STS de 13 de julio de 1987, art. 5.461, fundamento jurídico 5. ), para evitar convertir lo que el recurso de casación significa en una tercera instancia; se distingue una doble vía en la prueba por presunciones, según se trate de atacar los hechos bases y el error de hecho del juzgador o se impugne la incorrecta deducción o nexo lógico (STS de 13 de julio de 1987, art. 5.487, fundamento jurídico 1. ); se insiste en que la vía casacional del art. 1692.4 exige que los documentos invocados «por sí solos y por su propia literalidad... evidencien el error, sin necesidad de acudir a deducciones, interpretaciones o hipótesis», de nuevo, se dice para no convertir la casación en una tercera instancia (STS 16 de febrero de 1989, fundamento jurídico 4. , art. 970); y, en definitiva, se asevera que queda proscrita la pretensión de un nuevo análisis del material probatorio como fundamento de un motivo de casación, por vulnerar el mandato del propio art. 1692.4 (STS de 25 de enero de 1988, fundamento jurídico 3. , art. 139).</w:t>
      </w:r>
    </w:p>
    <w:p w:rsidR="00A12D44" w:rsidRDefault="00A12D44" w:rsidP="00A12D44">
      <w:pPr>
        <w:pStyle w:val="TextoNormal"/>
      </w:pPr>
    </w:p>
    <w:p w:rsidR="00A12D44" w:rsidRDefault="00A12D44" w:rsidP="00A12D44">
      <w:pPr>
        <w:pStyle w:val="TextoNormal"/>
      </w:pPr>
      <w:r w:rsidRPr="00A12D44">
        <w:rPr>
          <w:rStyle w:val="NumeroAFNegritaCaracter"/>
        </w:rPr>
        <w:t>4</w:t>
      </w:r>
      <w:r>
        <w:t>. A modo de conclusión de cuanto precede, la Sala Primera del Tribunal Supremo dedujo -y motivó por remisión a precedentes anteriores- que el contenido del recurso de casación en ese extremo no se correspondía inequívocamente con el motivo casacional que se argüía y, a la par, que tampoco se satisfacían los requisitos jurisprudencialmente exigibles para que tal argumentación encontrara fácil acomodo en otro motivo. En virtud de estas razones, inadmitió la casación en ese apartado. Nada puede objetarse en sede constitucional a ese proceder desde la perspectiva de la tutela de los derechos fundamentales, pues resulta proporcionada la sanción a la entidad real del defecto: una manifiesta confu</w:t>
      </w:r>
      <w:r>
        <w:lastRenderedPageBreak/>
        <w:t>sión en el motivo casacional, circunstancia que dificultaba, si no impedía, su enjuiciamiento.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de amparo en aplicación del motivo de inadmisión dispuesto en el art. 50.1 c) de la LOTC.</w:t>
      </w:r>
    </w:p>
    <w:p w:rsidR="00A12D44" w:rsidRDefault="00A12D44" w:rsidP="00A12D44">
      <w:pPr>
        <w:pStyle w:val="TextoNormal"/>
      </w:pPr>
    </w:p>
    <w:p w:rsidR="00A12D44" w:rsidRDefault="00A12D44" w:rsidP="00A12D44">
      <w:pPr>
        <w:pStyle w:val="TextoNormal"/>
      </w:pPr>
      <w:r>
        <w:t>Madrid, a tres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4" w:name="AUTO_1992_63"/>
      <w:r>
        <w:lastRenderedPageBreak/>
        <w:t>AUTO 63/1992, de 3 de marzo de 1992</w:t>
      </w:r>
    </w:p>
    <w:bookmarkEnd w:id="134"/>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ECLI:ES:TC:1992:63A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Levantando la suspensión, previamente acordada, del art. 84 del Decreto de la Junta de Galicia 262/1991, de 12 de julio, en el conflicto positivo de competencia 1.960/1991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Abogado del Estado, en representación del Gobierno de la Nación, mediante escrito presentado en este Tribunal el 30 de septiembre de 1991, planteó conflicto constitucional positivo de competencia, frente a la Junta de Galicia, en relación con el art. 84 del Decreto de dicha Junta 262/1991, de 12 de julio, por el que se aprueba el Reglamento de la actividad pesquera y de las artes y aparejos de pesca permisibles en Galicia, con invocación expresa del art. 161.2 de la Constitución, al objeto de que fuese ordenada la suspensión del precepto impugnado. </w:t>
      </w:r>
    </w:p>
    <w:p w:rsidR="00A12D44" w:rsidRDefault="00A12D44" w:rsidP="00A12D44">
      <w:pPr>
        <w:pStyle w:val="TextoNormal"/>
      </w:pPr>
      <w:r>
        <w:t>Por providencia de la Sección Cuarta de este Tribunal, de 30 de septiembre de 1991, se tuvo por planteado el conflicto y se dio traslado de la demanda y documentos presentados a la Junta de Galicia, según determina el art. 82.2 de la LOTC, teniéndose por producida la suspensión de la vigencia y aplicación del precepto indicado; se comunicó al Presidente del Tribunal Superior de Justicia de Galicia para conocimiento de su Sala de lo Contencioso-Administrativo, según dispone el art. 61.2 de la LOTC, y se publicó en los periódicos oficiales del Estado y de la Comunidad Autónoma.</w:t>
      </w:r>
    </w:p>
    <w:p w:rsidR="00A12D44" w:rsidRDefault="00A12D44" w:rsidP="00A12D44">
      <w:pPr>
        <w:pStyle w:val="TextoNormal"/>
      </w:pPr>
    </w:p>
    <w:p w:rsidR="00A12D44" w:rsidRDefault="00A12D44" w:rsidP="00A12D44">
      <w:pPr>
        <w:pStyle w:val="TextoNormal"/>
      </w:pPr>
      <w:r w:rsidRPr="00A12D44">
        <w:rPr>
          <w:rStyle w:val="NumeroAFNegritaCaracter"/>
        </w:rPr>
        <w:t>2</w:t>
      </w:r>
      <w:r>
        <w:t>. La Junta de Galicia presentó escrito de alegaciones el 28 de octubre de 1991, en solicitud de que, en su día, previos los trámites legales procedentes, se dicte Sentencia en la que, desestimando la pretensión adversa, declare que la citada disposición se ajusta a lo dispuesto en la Constitución y en el Estatuto de Autonomía de Galicia y que corresponde a la Comunidad Autónoma de Galicia la titularidad de la competencia que se ejercita en la disposición impugnada y, por consiguiente, que la misma no invade competencias del Estado en la materia.</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la Sección Cuarta de este Tribunal de 29 de enero último, se acordó oír a las partes para que, en el plazo común de cinco días, expusieran lo que estimasen procedente acerca del mantenimiento o levantamiento de la suspensión del precepto impugnado objeto del conflicto.</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El Abogado del Estado, en escrito de 4 de febrero último, evacua la audiencia conferida, solicitando el mantenimiento de la suspensión del precepto impugnado. Afirma la representación del Gobierno que el carácter de la disposición impugnada, que incide de manera directa e inmediata en el sector pesquero, fundamental para la economía de la nación, y los perjuicios económicos de muy difícil reparación que se derivarían de su aplicación para armadores, pescadores y consumidores, justifican que se mantenga la suspensión acordada en este proceso. </w:t>
      </w:r>
    </w:p>
    <w:p w:rsidR="00A12D44" w:rsidRDefault="00A12D44" w:rsidP="00A12D44">
      <w:pPr>
        <w:pStyle w:val="TextoNormal"/>
      </w:pPr>
      <w:r>
        <w:t xml:space="preserve">Señala que la finalidad inmediata del art. 84 del Decreto de la Junta de Galicia 262/1991 es que entre las 00.00 horas del sábado y las 24.00 horas del domingo, cesen en su actividad pesquera y permanezcan en su base las embarcaciones incluidas en el censo gallego de buques de pesca o con puerto base en alguno de la Comunidad Autónoma, que se dediquen al «arrastre costero o litoral». Se establece así un rígido sistema de descansos obligatorios en días fijos, que contrasta con el flexible sistema del art. 12 de la Orden de 30 de julio de 1983 (Agricultura, Pesca y Alimentación), según cuyo tenor «ninguna embarcación de arrastre de fondo podrá ejercer su actividad más de veintidós días como promedio al mes dentro del cómputo anual de días trabajados». La efectiva implantación en Galicia de un régimen de descansos obligatorios en sábados y domingos para la flota arrastrera gallega, o con base en algún puerto de la Comunidad Autónoma de Galicia, forzaría a los empresarios del sector a adoptar un rígido sistema de explotación, que olvida las circunstancias singulares que afectan al ejercicio de la actividad pesquera. En este sector económico, las condiciones meteorológicas obligan a la paralización de la actividad en días laborables. Cuando las condiciones meteorológicas son adversas, la flota arrastrera no puede salir a faenar, para no poner en peligro la vida de los pescadores y demás personal de los buques. </w:t>
      </w:r>
    </w:p>
    <w:p w:rsidR="00A12D44" w:rsidRDefault="00A12D44" w:rsidP="00A12D44">
      <w:pPr>
        <w:pStyle w:val="TextoNormal"/>
      </w:pPr>
      <w:r>
        <w:t xml:space="preserve">Se indica que si se alzare la suspensión del precepto impugnado, la flota arrastrera habría de concentrar su actividad en unos días fijos, con perjuicio para la conservación y equilibrada extracción de los recursos pesqueros. Pero, sobre todo, las empresas se verían impulsadas a forzar al máximo las salidas de los buques en esos días fijos, incluso con condiciones meteorológicas desfavorables, para rentabilizar la actividad. Con ello no sólo se verían afectados los intereses económicos de los armadores, sino, tal vez, la propia seguridad de los trabajadores empleados. Debe tenerse en cuenta, además, que la flota de arrastre de Galicia es la más importante de fresco que existe en todo el litoral español y abastece los mercados centrales de las distintas capitales. Si se alzare la suspensión de la norma impugnada, se vería gravemente perjudicado el regular abastecimiento de los mercados. Las últimas capturas de la semana serían las del viernes, que no llegarían a los mercados de distribución hasta el lunes siguiente, el primer desembarco semanal, en circunstancias favorables, se produciría el martes el pescado no podría llegar al consumidor hasta el día siguiente, miércoles; esto es, los sábados, lunes y martes no habría pescado fresco disponible en los mercados centrales de abastecimiento. El sistema de explotación que pretende instaurar la Junta de Galicia obligaría a utilizar con mayor intensidad los productos de conservación, que deterioran la calidad de los productos y provocarían una disminución de los precios. </w:t>
      </w:r>
    </w:p>
    <w:p w:rsidR="00A12D44" w:rsidRDefault="00A12D44" w:rsidP="00A12D44">
      <w:pPr>
        <w:pStyle w:val="TextoNormal"/>
      </w:pPr>
      <w:r>
        <w:t>Finaliza su escrito el Abogado del Estado diciendo que los empresarios gallegos del sector de arrastre han puesto repetidamente de manifiesto ante el Ministerio de Agricultura, Pesca y Alimentación los perjuicios que podrían derivarse de la aplicación del Decreto gallego, y acompaña copias de algunos escritos.</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5</w:t>
      </w:r>
      <w:r>
        <w:t xml:space="preserve">. La Junta de Galicia, en escrito recibido el 7 de febrero último, interesa el levantamiento de la suspensión, a cuyo efecto formula las siguientes alegaciones: </w:t>
      </w:r>
    </w:p>
    <w:p w:rsidR="00A12D44" w:rsidRDefault="00A12D44" w:rsidP="00A12D44">
      <w:pPr>
        <w:pStyle w:val="TextoNormal"/>
      </w:pPr>
      <w:r>
        <w:t xml:space="preserve">El efecto suspensivo de las normas y resoluciones autonómicas. producido directamente por los arts. 161.2 de la Constitución y 77 de la LOTC, es un privilegio procesal establecido en beneficio del Gobierno de la Nación, que excepciona el principio favorable a la vigencia y eficacia de las normas jurídicas, y, en atención a esta naturaleza privilegiada y excepcional, la ratificación de dicho efecto suspensivo por parte del Tribunal requiere que venga justificada en la irreparabilidad o difícil reparación que para los intereses públicos y particulares afectados pudieran derivarse de su alzamiento. </w:t>
      </w:r>
    </w:p>
    <w:p w:rsidR="00A12D44" w:rsidRDefault="00A12D44" w:rsidP="00A12D44">
      <w:pPr>
        <w:pStyle w:val="TextoNormal"/>
      </w:pPr>
      <w:r>
        <w:t xml:space="preserve">Con independencia de la resolución que en su día se dicte dirimiendo el presente conflicto, se estima necesario el levantamiento de la suspensión que pesa sobre el precepto objeto de impugnación, por cuanto del mantenimiento de la misma dimanan graves perjuicios tanto para los intereses del sector de la pesca de arrastre de fondo y para la Comunidad Autónoma gallega, como para el interés público en general. Ello resulta evidente sin más que observar la específica finalidad perseguida por el art. 84 del Decreto gallego 262/1991, objeto de este conflicto, y que no es otra que la de limitar el esfuerzo de pesca en los caladeros gallegos en una situación crítica como la actual, caracterizada por una sobreexplotación de la pesca de arrastre, que ha determinado una grave disminución de los recursos pesqueros de la Comunidad. A dicha situación se ha llegado bajo la vigencia de una regulación estatal permisiva que ha originado los problemas de sobrepesca existentes, los cuales, de no ser solucionados a corto plazo en la línea del precepto impugnado, originarán inexorablemente un agotamiento de la plataforma continental. </w:t>
      </w:r>
    </w:p>
    <w:p w:rsidR="00A12D44" w:rsidRDefault="00A12D44" w:rsidP="00A12D44">
      <w:pPr>
        <w:pStyle w:val="TextoNormal"/>
      </w:pPr>
      <w:r>
        <w:t xml:space="preserve">Es patente que una situación como la expuesta exige sin dilaciones la puesta en marcha de las acciones pertinentes para corregir la intolerable sobrepesca existente y poder recuperar los recursos de la esquilmada plataforma gallega. En esta línea de actuación, el Decreto gallego examinado cumple un papel fundamental e imprescindible para recuperar la racionalidad y facilitar la regeneración de los recursos marinos, reduciendo el esfuerzo pesquero y recuperando en la medida de lo posible los caladeros. Por todo ello, los únicos perjuicios que el Decreto objeto del presente conflicto podría producir serían los derivados del mantenimiento de la suspensión y resultantes de la consiguiente aplicación de una regulación estatal más permisiva y que ha conducido a la situación actual de sobreexplotación determinante de las graves perturbaciones del sector. </w:t>
      </w:r>
    </w:p>
    <w:p w:rsidR="00A12D44" w:rsidRDefault="00A12D44" w:rsidP="00A12D44">
      <w:pPr>
        <w:pStyle w:val="TextoNormal"/>
      </w:pPr>
      <w:r>
        <w:t>Se trata, por otra parte, de la defensa de recursos, la cual exige no sólo la vigencia de la disposición conflictiva, sino también la puesta en marcha de nuevas y mayores restricciones que las existentes, a fin de evitar un daño que sólo después de transcurrido un importante lapso de tiempo se podría reparar. Añade el escrito de la Junta de Galicia que al levantamiento de la suspensión que se solicita conducen no sólo los argumentos expuestos, sino también el propio criterio del Tribunal Constitucional, plasmado en los Autos de 8 de noviembre de 1984 y 17 de enero de 1989, dictados en función de las mismas circunstancias que concurren en el presente asunto.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t xml:space="preserve">Unico. Como hemos afirmado reiteradamente, el efecto suspensivo de las normas y resoluciones autonómicas producido directamente por los arts. 161.2 C.E. y 67 LOTC «es un privilegio procesal establecido en beneficio del Gobierno de la Nación, que excepciona el principio favorable a la vigencia y eficacia de las normas jurídicas y, en atención a esta </w:t>
      </w:r>
      <w:r>
        <w:lastRenderedPageBreak/>
        <w:t>naturaleza privilegiada y excepcional, la rectificación de dicho efecto suspensivo por parte de este Tribunal requiere que venga justificada en la irreparabilidad o difícil reparación de los perjuicios que, para los intereses públicos y particulares afectados, pudieran derivarse de su alzamiento». En el presente caso, el Abogado del Estado aduce que el levantamiento de la suspensión produciría perjuicios económicos de muy difícil reparación para armadores, pescadores y consumidores, que resultarían de la aplicación de la norma objeto del presente conflicto, en particular los perjuicios derivados de un rígido sistema de explotación, que no tiene en cuenta la variedad de las condiciones meteorológicas y que, además, no aseguraría una equilibrada extracción de los recursos pesqueros, aparte del impacto consiguiente en relación con la comercialización del pescado fresco.</w:t>
      </w:r>
    </w:p>
    <w:p w:rsidR="00A12D44" w:rsidRDefault="00A12D44" w:rsidP="00A12D44">
      <w:pPr>
        <w:pStyle w:val="TextoNormal"/>
      </w:pPr>
      <w:r>
        <w:t>No son convincentes, sin embargo, esas razones. En primer lugar, el riesgo de una mayor inseguridad, en relación con el sistema rígido de descansos, no deriva de la norma misma, sino de conductas desviadas de terceros, cuya evitación puede conseguirse a través de otros medios que el de la suspensión de la norma. Tampoco es aceptable el argumento de la sobreexplotación, puesto que, como alega la Junta de Galicia, la norma objeto del conflicto también trata de limitar el esfuerzo de pesca en los caladeros gallegos, frente a una regulación estatal más permisiva. Finalmente, la problemática de las consecuencias de la norma sobre la comercialización del pescado fresco carece de la trascendencia adecuada para justificar por sí misma el mantenimiento de la suspensión de una norma jurídica formalmente vigente.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acuerda levantar la suspensión del art. 84 del Decreto de la Junta de Galicia 262/1991, de 12 de julio, por el que se aprueba el Reglamento de la actividad pesquera y de las artes y aparejos de pesca permisibles en Galicia.</w:t>
      </w:r>
    </w:p>
    <w:p w:rsidR="00A12D44" w:rsidRDefault="00A12D44" w:rsidP="00A12D44">
      <w:pPr>
        <w:pStyle w:val="TextoNormal"/>
      </w:pPr>
    </w:p>
    <w:p w:rsidR="00A12D44" w:rsidRDefault="00A12D44" w:rsidP="00A12D44">
      <w:pPr>
        <w:pStyle w:val="TextoNormal"/>
      </w:pPr>
      <w:r>
        <w:t>Publíquese en el «Boletín Oficial del Estado» y en el «Diario Oficial de Galicia».</w:t>
      </w:r>
    </w:p>
    <w:p w:rsidR="00A12D44" w:rsidRDefault="00A12D44" w:rsidP="00A12D44">
      <w:pPr>
        <w:pStyle w:val="TextoNormal"/>
      </w:pPr>
      <w:r>
        <w:t>Madrid, a tres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5" w:name="AUTO_1992_64"/>
      <w:r>
        <w:lastRenderedPageBreak/>
        <w:t>AUTO 64/1992, de 3 de marzo de 1992</w:t>
      </w:r>
    </w:p>
    <w:bookmarkEnd w:id="135"/>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ECLI:ES:TC:1992:64A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2.583/1991, promovido en pleito civil.</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136" w:name="AUTO_1992_65"/>
      <w:r>
        <w:lastRenderedPageBreak/>
        <w:t>AUTO 65/1992, de 3 de marzo de 1992</w:t>
      </w:r>
    </w:p>
    <w:bookmarkEnd w:id="136"/>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ECLI:ES:TC:1992:65A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la acumulación de las cuestiones de inconstitucionalidad 2.132/1991, 2.562/1991 y 222/1992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7" w:name="AUTO_1992_66"/>
      <w:r>
        <w:lastRenderedPageBreak/>
        <w:t>AUTO 66/1992, de 3 de marzo de 1992</w:t>
      </w:r>
    </w:p>
    <w:bookmarkEnd w:id="137"/>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ECLI:ES:TC:1992:66A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524/1992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38" w:name="AUTO_1992_67"/>
      <w:r>
        <w:lastRenderedPageBreak/>
        <w:t>AUTO 67/1992, de 4 de marzo de 1992</w:t>
      </w:r>
    </w:p>
    <w:bookmarkEnd w:id="138"/>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ECLI:ES:TC:1992:67A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785/1989, promovido en pleito civil.</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139" w:name="AUTO_1992_68"/>
      <w:r>
        <w:lastRenderedPageBreak/>
        <w:t>AUTO 68/1992, de 4 de marzo de 1992</w:t>
      </w:r>
    </w:p>
    <w:bookmarkEnd w:id="139"/>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ECLI:ES:TC:1992:68A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1.223/1991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0" w:name="AUTO_1992_69"/>
      <w:r>
        <w:lastRenderedPageBreak/>
        <w:t>AUTO 69/1992, de 4 de marzo de 1992</w:t>
      </w:r>
    </w:p>
    <w:bookmarkEnd w:id="140"/>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ECLI:ES:TC:1992:69A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1.894/1991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1" w:name="AUTO_1992_70"/>
      <w:r>
        <w:lastRenderedPageBreak/>
        <w:t>AUTO 70/1992, de 4 de marzo de 1992</w:t>
      </w:r>
    </w:p>
    <w:bookmarkEnd w:id="141"/>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ECLI:ES:TC:1992:70A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2.434/1991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registrado el 29 de noviembre de 1991, la Procuradora doña María Teresa Uceda Blasco, obrando en nombre y representación de don Luis Díaz Güell, interpuso recurso de amparo contra la Sentencia de la Sección Decimocuarta de la Audiencia Provincial de Madrid de 18 de octubre de 1991, pronunciada en el rollo de apelación núm. 918/90.</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trae causa en los siguientes hechos: </w:t>
      </w:r>
    </w:p>
    <w:p w:rsidR="00A12D44" w:rsidRDefault="00A12D44" w:rsidP="00A12D44">
      <w:pPr>
        <w:pStyle w:val="TextoNormal"/>
      </w:pPr>
      <w:r>
        <w:t xml:space="preserve">A) El semanario «Cambio 16», del que es director el solicitante de amparo, publicó en su número del 19 de marzo de 1990 una información titulada «Las mafias que blanquean el dinero de la droga en España», cuya rectificación solicitó, ejercitando la acción prevista en la Ley Orgánica 2/1984, don Sergio Andina, por sí y como representante legal de la entidad mercantil «Manilva, S. A.». </w:t>
      </w:r>
    </w:p>
    <w:p w:rsidR="00A12D44" w:rsidRDefault="00A12D44" w:rsidP="00A12D44">
      <w:pPr>
        <w:pStyle w:val="TextoNormal"/>
      </w:pPr>
      <w:r>
        <w:t xml:space="preserve">Mediante Sentencia de 12 de julio de 1990, el Juzgado de Primera Instancia núm. 8 de Madrid denegó la rectificación instada, observando que «para que pudiera darse lugar a tal pretensión rectificadora tendría que haberse aportado por la parte accionante algún principio de prueba, sea el que fuere, pues se limita únicamente a aportar dos números de la revista... y la carta tantas veces citada (la remitida por conducto notarial requiriendo la rectificación de la información publicada), sin que se acredite por ninguno de los medios admitidos en Derecho que sus alegaciones son procedentes y que los hechos publicados son inexactos o inveraces, incumpliendo así el principio de la carga de la prueba recogido en el art. 1214 del Código Civil, por lo que procede, en consecuencia, la desestimación de la demanda; y si bien es cierto que el art. 6 de la Ley 2/1984 limita los medios de prueba a aquellos que puedan practicarse en el acto, sin embargo, ello no exime a la parte accionante de acreditar, aunque sea mínimamente, los hechos que aduce» (fundamento jurídico 5. ). </w:t>
      </w:r>
    </w:p>
    <w:p w:rsidR="00A12D44" w:rsidRDefault="00A12D44" w:rsidP="00A12D44">
      <w:pPr>
        <w:pStyle w:val="TextoNormal"/>
      </w:pPr>
      <w:r>
        <w:t>B) Esta Sentencia fue revocada por la pronunciada en apelación por la Sección Decimocuarta de lo Civil de la Audiencia Provincial el 18 de octubre de 1991, que condenó al Director de la revista a insertar el texto de rectificación que señala. Para la Audiencia (fundamento 4. ), el que ejercite la acción de rectificación no debe probar la inexactitud de los hechos contenidos en la información publicada, bastando con que alegue que los considera inexactos. Aquí el órgano judicial efectúa una amplia cita de la STC 168/1986.</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xml:space="preserve">. Según el recurrente en su escrito de demanda, no puede compartir la tesis de la STC 168/1986, ya que «el derecho subjetivo de una persona a publicar una rectificación que no es veraz, limitaría el derecho de los ciudadanos a recibir la información veraz que proclama el apartado d) del punto 1 del art. 20 de la Constitución, aparte de que produce una penalidad a la empresa periodística, por cuanto que los lectores de dicho medio se encuentran con que por orden de un Juzgado o Tribunal, el medio de comunicación social se ve obligado a desdecirse de algo que, en otro número anterior de la misma publicación, se aseguraba que era cierto, o quizá falso según los casos, con lo que pierden los lectores la confianza en el medio». «La penalidad, que por ejercitar un derecho constitucionalmente reconocido en el art. 20.1 d), sufre un medio de comunicación que ha sido obligado a insertar una rectificación por una información veraz, cuando se demuestra, como muy bien se indica en la repetida Sentencia del Tribunal Constitucional, citada en la de la Audiencia Provincial recurrida, al decir que en aplicación de dicha Ley (L.O. de 26 de marzo de 1984) puede ciertamente imponerse la difusión de un escrito de réplica o rectificación que posteriormente pudiera revelarse no ajustado a la verdad, tiene muy difícil reparación por la pérdida de credibilidad ante sus lectores, máxime (cuando) como en el caso que nos ocupa, ya se publicó una "aclaración" que esencialmente coincide con el texto que la Sentencia... recurrida impone en su "fallo"». </w:t>
      </w:r>
    </w:p>
    <w:p w:rsidR="00A12D44" w:rsidRDefault="00A12D44" w:rsidP="00A12D44">
      <w:pPr>
        <w:pStyle w:val="TextoNormal"/>
      </w:pPr>
      <w:r>
        <w:t>La demanda concluye con la súplica de que se otorgue al recurrente el amparo solicitado, mediante Sentencia en la que se declare que la resolución impugnada ha violado el contenido constitucionalmente declarado de los derechos fundamentales a comunicar y recibir libremente información veraz por cualquier medio de difusión, proclamados en el art. 20.1 d) de la C.E. Por medio de otrosí, se interesa igualmente la suspensión de la Sentencia recurrida.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13 de enero de 1992, acordó la Sección tener por interpuesto el presente recurso, así como, a tenor de lo dispuesto en el art. 50.3 de la LOTC, conceder un plazo común de diez días al Ministerio Fiscal y al solicitante de amparo para que dentro de dicho término alegasen lo que estimaran pertinente en relación con la posible existencia del siguiente motivo de inadmisión: carecer la demanda manifiestamente de contenido que justifique una decisión por parte del Tribunal Constitucional, de conformidad con lo pre- visto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El Ministerio Fiscal evacuó el trámite conferido mediante escrito presentado el siguiente 28 de enero, en el que entiende que la doctrina de las SSTC 168/1986 y 264/1988 obliga a un estudio detenido del fondo del asunto, contando para ello con toda la documentación de los procedimientos extrajudiciales y judiciales precedentes. En consecuencia, el Fiscal interesa la admisión a trámite del recurso, por no ser manifiesta la posible carencia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6</w:t>
      </w:r>
      <w:r>
        <w:t>. La representación del recurrente formuló sus alegaciones por escrito registrado el 29 de enero, manifestando que en el núm. 958 de «Cambio 16» aparece publicada una «aclaración» relativa a la información del núm. 956, que es la que se pretendía rectificar. Por ello, la Sentencia de la Audiencia Provincial obliga al aquí actor a insertar una rectificación que, en lo concerniente a los hechos, ya había sido publicada, aparte de que la rectificación pudiera carecer del requisito de la veracidad que la Constitución exige.</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En la demanda de amparo el recurrente se limita a discrepar de la doctrina contenida en la STC 168/1986, imputando a la Sentencia recurrida dictada por la Sección Decimocuarta de la Audiencia Provincial de Madrid, de fecha 18 de octubre de 1991, la vulneración del art. 10.2 d) de la Constitución porque obligar a publicar una rectificación que no es veraz «limitaría el derecho de los ciudadanos a recibir la información veraz que proclama el apartado d) del punto 1 del art. 20 de la Constitución ... ».</w:t>
      </w:r>
    </w:p>
    <w:p w:rsidR="00A12D44" w:rsidRDefault="00A12D44" w:rsidP="00A12D44">
      <w:pPr>
        <w:pStyle w:val="TextoNormal"/>
      </w:pPr>
      <w:r>
        <w:t>Así planteado el recurso de amparo, es preciso aclarar desde el primer momento que el derecho de rectificación regulado por la Ley Orgánica 2/1984, de 26 de marzo, no subordina el derecho del rectificante a que éste acredite la veracidad de su versión de los hechos sino que, conforme al art. 1 de la citada Ley, basta que considere inexactos los hechos que le aluden y cuya divulgación pueda causarle perjuicios, para que se le permita ejercitar el derecho de rectificación. No está en juego, por tanto, la veracidad de unos hechos, sino la difusión de informaciones contrapuestas que, como dice la STC 168/1986 (fundamento jurídico 5. , último apartado), «no hayan sido formalmente acreditadas como exactas o desacreditadas como falsas, con efectos de cosa juzgada», como así ocurre con la información a que se contrae el presente recurso de amparo. Precisamente por ello no es necesario conocer, como solicita el Ministerio Fiscal en sus alegaciones, nuevos antecedentes ni otros documentos que los aportados con la demanda, para inadmitir este recurso de amparo por incidir no sólo en la causa prevista en el art. 50.1 d) de la LOTC - desestimación en el fondo de un supuesto sustancialmente igual, que en este caso sería la STC 168/196-, sino también y principalmente por falta de contenido constitucional de la demanda [art. 50.1 c) de la citada Ley], según se infiere de los fundamentos contenidos en dicha Sentencia que no quedan desvirtuados en el recurso.</w:t>
      </w:r>
    </w:p>
    <w:p w:rsidR="00A12D44" w:rsidRDefault="00A12D44" w:rsidP="00A12D44">
      <w:pPr>
        <w:pStyle w:val="TextoNormal"/>
      </w:pPr>
    </w:p>
    <w:p w:rsidR="00A12D44" w:rsidRDefault="00A12D44" w:rsidP="00A12D44">
      <w:pPr>
        <w:pStyle w:val="TextoNormal"/>
      </w:pPr>
      <w:r w:rsidRPr="00A12D44">
        <w:rPr>
          <w:rStyle w:val="NumeroAFNegritaCaracter"/>
        </w:rPr>
        <w:t>2</w:t>
      </w:r>
      <w:r>
        <w:t>. En efecto, frente a lo alegado por el recurrente sobre la veracidad de los hechos o sobre la sanción que, a su juicio, supone publicar la rectificación, hay que oponer lo ya afirmado por nuestra STC 168/1986, cuya argumentación, como veremos, no resulta desvirtuada por la demanda de amparo ni en lo relativo a la necesidad de acreditar la veracidad de una u otra versión de los hechos, ni en lo concerniente a una supuesta sanción por la obligación de publicar la versión que, de los mismos hechos, ofrece el rectificante.</w:t>
      </w:r>
    </w:p>
    <w:p w:rsidR="00A12D44" w:rsidRDefault="00A12D44" w:rsidP="00A12D44">
      <w:pPr>
        <w:pStyle w:val="TextoNormal"/>
      </w:pPr>
      <w:r>
        <w:t>Se dijo en la STC 168/1986 y se reitera ahora que la rectificación, judicialmente impuesta, en los términos que establece la Ley Orgánica 2/1984, de una información que el rectificante considera inexacta y lesiva de sus intereses no menoscaba el derecho fundamental proclamado por el art. 20.1 d) C.E. ni siquiera en el caso de que la información que haya sido objeto de rectificación pudiera revelarse como cierta y ajustada a la realidad de los hechos. El simple disentimiento por el rectificante de los hechos divulgados no impide al medio de comunicación afectado difundir libremente la información veraz, ni te obliga a declarar que la información aparecida es incierta o a modificar su contenido, ni puede considerarse tampoco la inserción obligatoria de la réplica como una sanción jurídica derivada de la inexactitud de lo publicado. Por el contrario, la simple inserción de una versión dé los hechos distinta y contradictoria ni siquiera limita la facultad del medio de ratificarse en la información inicialmente suministrada o, en su caso, aportar y divulgar todos aquellos datos que la confirmen o la avalen.</w:t>
      </w:r>
    </w:p>
    <w:p w:rsidR="00A12D44" w:rsidRDefault="00A12D44" w:rsidP="00A12D44">
      <w:pPr>
        <w:pStyle w:val="TextoNormal"/>
      </w:pPr>
      <w:r>
        <w:t xml:space="preserve">Por otra parte, el ejercicio del derecho de rectificación tampoco limita el derecho de la colectividad a recibir libremente información veraz, pues no comporta una ocultación o </w:t>
      </w:r>
      <w:r>
        <w:lastRenderedPageBreak/>
        <w:t>deformación de la que, ofrecida con anterioridad, lo sea o pueda serlo. Antes bien, el derecho de rectificación, además de su primordial virtualidad de defensa de los derechos o intereses del rectificante, supone un complemento de la garantía de la opinión pública libre que establece también el art. 20.1 d) C.E., ya que el acceso a una versión disidente de los hechos publicados favorece, más que perjudica, el interés colectivo en la búsqueda y recepción de la verdad que protege el derecho fundamental contenido en aquel precepto de la Constitución.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 por incidir la demanda en la causa prevista en el art. 50.1 c) de la Ley Orgánica de este Tribunal.</w:t>
      </w:r>
    </w:p>
    <w:p w:rsidR="00A12D44" w:rsidRDefault="00A12D44" w:rsidP="00A12D44">
      <w:pPr>
        <w:pStyle w:val="TextoNormal"/>
      </w:pPr>
    </w:p>
    <w:p w:rsidR="00A12D44" w:rsidRDefault="00A12D44" w:rsidP="00A12D44">
      <w:pPr>
        <w:pStyle w:val="TextoNormal"/>
      </w:pPr>
      <w:r>
        <w:t>Madrid, a cuatro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2" w:name="AUTO_1992_71"/>
      <w:r>
        <w:lastRenderedPageBreak/>
        <w:t>AUTO 71/1992, de 9 de marzo de 1992</w:t>
      </w:r>
    </w:p>
    <w:bookmarkEnd w:id="142"/>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ECLI:ES:TC:1992:71A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982/1991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José Castillo Ruiz, actuando en nombre y representación de don Ricardo Valles García, don José Hernández Castillo, don José Cobo Cantero. don Manuel Mármol Aranda, don Francisco Rodríguez Martínez, don José Moreno Blanca, don Juan Francisco Bueno Castro y doña Rosa Rueda Quirós, interpuso recurso de amparo, mediante escrito presentado ante este Tribunal el 14 de mayo de 1991, contra la Sentencia de la Audiencia Provincial de Jaén de fecha 12 de abril de 1991, por la que se confirma en apelación la Sentencia del Juzgado de Instrucción núm. 5 de dicha localidad, de 14 de diciembre de 1991, recaída enjuicio de faltas por coacciones.</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basa, en síntesis, en los siguientes hechos: </w:t>
      </w:r>
    </w:p>
    <w:p w:rsidR="00A12D44" w:rsidRDefault="00A12D44" w:rsidP="00A12D44">
      <w:pPr>
        <w:pStyle w:val="TextoNormal"/>
      </w:pPr>
      <w:r>
        <w:t xml:space="preserve">a) Los recurrentes, todos ellos miembros del Comité de empresa y de huelga, tomaron parte en una huelga que afectó a la empresa «Hijos de Andrés Molina, S. A.», celebrada los días 9 y 10 de mayo de 1990. En el transcurso de la misma obstaculizaron, en repetidas ocasiones, el libre acceso de los trabajadores que no secundaban la huelga a sus puestos de trabajo, formando grupos en los accesos de la factoría y con actitud intimidatoria advertían a dichos trabajadores de consecuencias graves para ellos si proseguían en la actitud de acudir a sus respectivos destinos. </w:t>
      </w:r>
    </w:p>
    <w:p w:rsidR="00A12D44" w:rsidRDefault="00A12D44" w:rsidP="00A12D44">
      <w:pPr>
        <w:pStyle w:val="TextoNormal"/>
      </w:pPr>
      <w:r>
        <w:t xml:space="preserve">b) Fueron denunciados por tales hechos y el Juzgado núm. 5 de Jaén, tras la tramitación del juicio de faltas correspondiente, dictó Sentencia condenatoria por falta de coacciones prevista en el art. 585.4 del Código Penal, condenándoles a 15.000 pesetas de multa. </w:t>
      </w:r>
    </w:p>
    <w:p w:rsidR="00A12D44" w:rsidRDefault="00A12D44" w:rsidP="00A12D44">
      <w:pPr>
        <w:pStyle w:val="TextoNormal"/>
      </w:pPr>
      <w:r>
        <w:t>c) Interpuesto recurso de apelación ante la Audiencia Provincial de Jaén, en su Sentencia de 12 de abril de 1991, se confirma la Sentencia apelada.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Los recurrentes centran su queja constitucional en la vulneración del derecho de huelga, previsto en el art. 28.2 C.E. A su juicio, la condena penal por una falta de coacciones como consecuencia de la actividad intimidatoria realizada en el transcurso del ejercicio del derecho de huelga, atenta contra este derecho fundamental. Tales Sentencias condenatorias invalidan cualquier manifestación de presión consustancial a una huelga y, por tanto, el propio derecho a la misma, y dan prevalencia frente a este derecho fundamental al derecho a la no realización de la misma que no es un derecho fundamental. Apoyan su </w:t>
      </w:r>
      <w:r>
        <w:lastRenderedPageBreak/>
        <w:t>postura en la doctrina sentada en SSTC 2/1982 y 254/1988, en esta última por entender que se excluye como comportamiento tipificable la coacción o presión moral intimidante.</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fecha 16 de diciembre de 1991, la Sección Tercera (SalaSegunda) de este Tribunal, acordó poner de manifiesto a las partes la posible concurrencia de la causa de inadmisibilidad prevista en el art. 50.1 c) LOTC, carencia manifiesta de contenido constitucional de la demanda. A tal fin, y por aplicación de lo dispuesto en el art. 50.3 LOTC, se otorgó un plazo común de diez días a los recurrentes y al Ministerio Fiscal para que formularan las alegaciones que estimasen pertinentes.</w:t>
      </w:r>
    </w:p>
    <w:p w:rsidR="00A12D44" w:rsidRDefault="00A12D44" w:rsidP="00A12D44">
      <w:pPr>
        <w:pStyle w:val="TextoNormal"/>
      </w:pPr>
    </w:p>
    <w:p w:rsidR="00A12D44" w:rsidRDefault="00A12D44" w:rsidP="00A12D44">
      <w:pPr>
        <w:pStyle w:val="TextoNormal"/>
      </w:pPr>
      <w:r w:rsidRPr="00A12D44">
        <w:rPr>
          <w:rStyle w:val="NumeroAFNegritaCaracter"/>
        </w:rPr>
        <w:t>5</w:t>
      </w:r>
      <w:r>
        <w:t>. El Ministerio Fiscal, mediante escrito presentado en fecha 14 de enero de 1992, solicitó la inadmisibilidad del recurso por entender que éste carecía manifiestamente de contenido constitucional. A su juicio, y en aplicación de la doctrina sentada por la STC 2/1982, no existen derechos ilimitados y el derecho de huelga encuentra su límite en el respeto de los derechos de los demás, sin que pueda afectar a bienes constitucionalmente protegidos como son la dignidad de la persona y su derecho a la integridad moral (arts. 1 0 y 15 C.E.). Asimismo estima que en el supuesto que nos ocupa no es de aplicación la doctrina sentada en la STC 254/1988, pues en ella se estimó que existía una vulneración de los derechos fundamentales por haber existido una condena respecto de personas que se limitaron a formar parte de un grupo de huelguistas sin que se llegase a acreditar que ellas realizaran actividad coactiva alguna, mientras que en éste nadie discute que fueron los recurrentes los que realizaron la conducta penalmente sancionada.</w:t>
      </w:r>
    </w:p>
    <w:p w:rsidR="00A12D44" w:rsidRDefault="00A12D44" w:rsidP="00A12D44">
      <w:pPr>
        <w:pStyle w:val="TextoNormal"/>
      </w:pPr>
    </w:p>
    <w:p w:rsidR="00A12D44" w:rsidRDefault="00A12D44" w:rsidP="00A12D44">
      <w:pPr>
        <w:pStyle w:val="TextoNormal"/>
      </w:pPr>
      <w:r w:rsidRPr="00A12D44">
        <w:rPr>
          <w:rStyle w:val="NumeroAFNegritaCaracter"/>
        </w:rPr>
        <w:t>6</w:t>
      </w:r>
      <w:r>
        <w:t>. Los recurrentes no presentaron alegación alguna.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a la vista de las alegaciones realizadas, el motivo de inadmisión advertido en nuestra providencia de fecha 16 de diciembre de 1991, consistente en la carencia manifiesta de contenido constitucional de la demanda que justifique una decisión de fondo de este Tribunal, conforme dispone el art.  50.1 c) LOTC.</w:t>
      </w:r>
    </w:p>
    <w:p w:rsidR="00A12D44" w:rsidRDefault="00A12D44" w:rsidP="00A12D44">
      <w:pPr>
        <w:pStyle w:val="TextoNormal"/>
      </w:pPr>
      <w:r>
        <w:t>El presente recurso plantea el tema de los límites del ejercicio del derecho de huelga.</w:t>
      </w:r>
    </w:p>
    <w:p w:rsidR="00A12D44" w:rsidRDefault="00A12D44" w:rsidP="00A12D44">
      <w:pPr>
        <w:pStyle w:val="TextoNormal"/>
      </w:pPr>
      <w:r>
        <w:t>Ha de partirse de que este derecho, como todo derecho fundamental, no es ilimitado y que tanto las normas que regulan el derecho de huelga como las que establecen límites a su ejercicio vienen a ser igualmente vinculantes (STC 254/1988).</w:t>
      </w:r>
    </w:p>
    <w:p w:rsidR="00A12D44" w:rsidRDefault="00A12D44" w:rsidP="00A12D44">
      <w:pPr>
        <w:pStyle w:val="TextoNormal"/>
      </w:pPr>
      <w:r>
        <w:t xml:space="preserve">Desde esta perspectiva, parece evidente que el ejercicio del derecho de huelga no conlleva la legitimidad de cualquier conducta de sus partícipes, o dicho de otro modo, la configuración del derecho de huelga como un derecho fundamental no ampara conductas delictivas que exceden, por tanto, del contenido del mismo.  Así, la participación en una huelga no legítima a una persona para cometer un delito contra personas o bienes, de donde se desprende que, en términos generales, la realización de conductas delictivas es un límite al legítimo ejercicio del derecho, y que la calificación de los hechos como delito o falta corresponde a los Tribunales ordinarios. Ello no puede conducirnos. sin embargo, a rechazar que el Juez penal, al considerar una determinada conducta como constitutiva de falta, puede estar limitando indebidamente el contenido y alcance de este derecho fundamental. En tal sentido, la STC 254/1988, conociendo de un supuesto similar al que nos </w:t>
      </w:r>
      <w:r>
        <w:lastRenderedPageBreak/>
        <w:t>ocupa, afirmaba que «es doctrina reiterada que no corresponde a este Tribunal, examinar la subsunción de los hechos bajo un determinado supuesto legal a no ser que, como ocurre en el presente caso, en el ejercicio de dicha función pueda el órgano judicial competente haber producido la vulneración de algún derecho reconocido en la Norma fundamental».</w:t>
      </w:r>
    </w:p>
    <w:p w:rsidR="00A12D44" w:rsidRDefault="00A12D44" w:rsidP="00A12D44">
      <w:pPr>
        <w:pStyle w:val="TextoNormal"/>
      </w:pPr>
      <w:r>
        <w:t>Se trata de determinar, por tanto, si la conducta sancionada penalmente puede quedar comprendida como actuación inherente y legitima del ejercicio de este derecho y, en consecuencia, la condena penal por tales hecho Emita indebidamente el citado derecho fundamental o, si por el contrario, tal conducta, al margen de su calificación o no como constitutiva de delito o falta, no queda amparada por el legítimo ejercicio de este Derecho.</w:t>
      </w:r>
    </w:p>
    <w:p w:rsidR="00A12D44" w:rsidRDefault="00A12D44" w:rsidP="00A12D44">
      <w:pPr>
        <w:pStyle w:val="TextoNormal"/>
      </w:pPr>
    </w:p>
    <w:p w:rsidR="00A12D44" w:rsidRDefault="00A12D44" w:rsidP="00A12D44">
      <w:pPr>
        <w:pStyle w:val="TextoNormal"/>
      </w:pPr>
      <w:r w:rsidRPr="00A12D44">
        <w:rPr>
          <w:rStyle w:val="NumeroAFNegritaCaracter"/>
        </w:rPr>
        <w:t>2</w:t>
      </w:r>
      <w:r>
        <w:t>. En el supuesto que nos ocupa hay que partir de los hechos declarados probados por la Sentencia penal condenatoria, en cuya virtud los recurrentes, «todos ellos, y en repetidas ocasiones, obstaculizaron el libre acceso de los trabajadores que no secundaban la huelga, a sus puestos de trabajo, mediante la formación de grupos en los accesos de la factoría que, en actitud intimidatoria, advertían a dichos trabajadores de consecuencias graves para ellos si proseguían en la actitud de acudir a sus respectivos destinos». Tal conducta fue calificada como constitutiva de una falta de coacciones prevista y penada en el art. 585.4 del Código Penal, cuyo tipo castiga «los que causaren a otro una coacción o vejación injusta de carácter leve».</w:t>
      </w:r>
    </w:p>
    <w:p w:rsidR="00A12D44" w:rsidRDefault="00A12D44" w:rsidP="00A12D44">
      <w:pPr>
        <w:pStyle w:val="TextoNormal"/>
      </w:pPr>
      <w:r>
        <w:t>Tanto la Sentencia dictada en primera instancia, como la recaída en apelación, razonaron la subsunción de la conducta descrita en el tipo señalado. Así, la Sentencia del Juzgado de Instrucción razona que con su actitud provocaron y consiguieron que trabajadores de la empresa que no secundaban la huelga, se vieran impedidos contra su voluntad, de su legítimo y constitucional derecho al trabajo con entera libertad, sin poder entrar a desempeñar sus funciones laborales en unos casos, o viéndose sometidos, en caso contrario, a intensas presiones que en modo alguno estaban obligados a soportar. Por su parte, la Sentencia de la Audiencia considera que la conducta de los condenados supone una tendencia intencionada de sus actos dirigida a atentar contra la libertad de una persona impidiéndole hacer lo que la Ley no prohíbe, y que además protege -poder trabajar-, presionándoles psicológicamente en su intimidad personal y moral y físicamente advirtiéndoles de las consecuencias que su conducta podría ocasionarles a la salida del centro de trabajo.</w:t>
      </w:r>
    </w:p>
    <w:p w:rsidR="00A12D44" w:rsidRDefault="00A12D44" w:rsidP="00A12D44">
      <w:pPr>
        <w:pStyle w:val="TextoNormal"/>
      </w:pPr>
    </w:p>
    <w:p w:rsidR="00A12D44" w:rsidRDefault="00A12D44" w:rsidP="00A12D44">
      <w:pPr>
        <w:pStyle w:val="TextoNormal"/>
      </w:pPr>
      <w:r w:rsidRPr="00A12D44">
        <w:rPr>
          <w:rStyle w:val="NumeroAFNegritaCaracter"/>
        </w:rPr>
        <w:t>3</w:t>
      </w:r>
      <w:r>
        <w:t>. El derecho de huelga, reconocido en el art. 28, implica el derecho a requerir de otros la adhesión a la huelga y participar en acciones conjuntas dirigidas a tal fin. Es por ello que una conducta encaminada a solicitar pacíficamente dicho apoyo no puede ser sancionada penalmente, pues dicha condena penal vulneraría el derecho fundamental en cuestión en base a una interpretación conjunta de las normas penales y el derecho constitucional afectado.</w:t>
      </w:r>
    </w:p>
    <w:p w:rsidR="00A12D44" w:rsidRDefault="00A12D44" w:rsidP="00A12D44">
      <w:pPr>
        <w:pStyle w:val="TextoNormal"/>
      </w:pPr>
      <w:r>
        <w:t>Ahora bien, una actividad tendente a la intimidación ilícita del resto de los trabajadores, como es la que se refleja en los hechos probados de la Sentencia penal que nos ocupa, que persigue limitar su capacidad de decisión mediante la coacción psicológica o presión moral, no queda comprendida dentro de los límites del ejercicio legítimo de este derecho, porque, por un lado, limita la libertad de los demás a continuar trabajando y, por otro, afecta a otros bienes y derechos constitucionalmente protegidos como son la dignidad de las personas y su derecho a la integridad moral -arts. 10 y 15 C.E.- (como ya tuvo ocasión de señalar la STC 2/1982 en un supuesto similar al que nos ocupa referido a los límites del derecho de reunión y manifestación).</w:t>
      </w:r>
    </w:p>
    <w:p w:rsidR="00A12D44" w:rsidRDefault="00A12D44" w:rsidP="00A12D44">
      <w:pPr>
        <w:pStyle w:val="TextoNormal"/>
      </w:pPr>
      <w:r>
        <w:lastRenderedPageBreak/>
        <w:t>Por todo lo expuesto, la Sentencia penal impugnada, al sancionar unas conductas que no quedan comprendidas en el derecho fundamental invocado y que al mismo tiempo se encuentran tipificadas penalmente como atentatorias a la libertad e integridad moral de las personas, no puede considerarse contraria al art. 28.2 C.E.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de amparo.</w:t>
      </w:r>
    </w:p>
    <w:p w:rsidR="00A12D44" w:rsidRDefault="00A12D44" w:rsidP="00A12D44">
      <w:pPr>
        <w:pStyle w:val="TextoNormal"/>
      </w:pPr>
    </w:p>
    <w:p w:rsidR="00A12D44" w:rsidRDefault="00A12D44" w:rsidP="00A12D44">
      <w:pPr>
        <w:pStyle w:val="TextoNormal"/>
      </w:pPr>
      <w:r>
        <w:t>Madrid, a nueve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3" w:name="AUTO_1992_72"/>
      <w:r>
        <w:lastRenderedPageBreak/>
        <w:t>AUTO 72/1992, de 9 de marzo de 1992</w:t>
      </w:r>
    </w:p>
    <w:bookmarkEnd w:id="143"/>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ECLI:ES:TC:1992:72A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1.453/1991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Juan Ignacio Avila del Hierro, Procurador de los Tribunales, en nombre y representación de don Brian Mitchell, mediante escrito presentado en el Registro General de este Tribunal el día 2 de julio de 1991 interpuso recurso de amparo contra las Sentencias de 10 de abril de 1991 del Juzgado de lo Penal núm. 1 de Málaga y de 7 de junio del mencionado año de la Sección Segunda de la Audiencia Provincial de Málaga, recaídas en las diligencias preparatorias núm. 47/91.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se basa, en síntesis, en los siguientes hechos: </w:t>
      </w:r>
    </w:p>
    <w:p w:rsidR="00A12D44" w:rsidRDefault="00A12D44" w:rsidP="00A12D44">
      <w:pPr>
        <w:pStyle w:val="TextoNormal"/>
      </w:pPr>
      <w:r>
        <w:t xml:space="preserve">A) Por el Juzgado de lo Penal núm. 1 de Málaga se dictó el día 10 de abril, Sentencia de conformidad en base al art. 655 de la L.E.Crim., condenando a don Nicolás Lupión Serrano como autor de una falta de imprudencia simple sin infracción de reglamentos tipificada en el art. 586.3 del Código Penal, estableciéndose el abono de una indemnización al solicitante de amparo debido al fallecimiento de su esposa y por las heridas y secuelas de su hija a consecuencia del accidente de circulación, de 8.428.415 pesetas. </w:t>
      </w:r>
    </w:p>
    <w:p w:rsidR="00A12D44" w:rsidRDefault="00A12D44" w:rsidP="00A12D44">
      <w:pPr>
        <w:pStyle w:val="TextoNormal"/>
      </w:pPr>
      <w:r>
        <w:t>B) Contra la referida Sentencia se formuló recurso de apelación por el recurrente, alegando que se elevara la indemnización que tenía que percibir. Dicho recurso fue estimado en parte por Sentencia de la Sección Segunda de la Audiencia Provincial de Málaga de 7 de junio de 1991, por la que se declaró la responsabilidad civil directa de la Compañía «Previsión Española, S. A.». Contra dicha Sentencia se formuló recurso de casación, que fue inadmitido mediante Auto de 18 de junio de 1991.</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Considera el recurrente en primer término, que las Sentencias impugnadas vulneran del derecho a la tutela judicial, sin indefensión, garantizado en el art. 24.1 C.E., y que no se le permitió modificar la calificación provisional en el juicio oral como pretendía, solicitando un aumento de la indemnización, tanto por el fallecimiento de su esposa como por las heridas y secuelas de su hija, doña Deborah Karen Mitchell, y también, porque no han resuelto aquéllas la cuestión planteada sobre la operación quirúrgica que se tiene que realizar en el futuro a esta última. </w:t>
      </w:r>
    </w:p>
    <w:p w:rsidR="00A12D44" w:rsidRDefault="00A12D44" w:rsidP="00A12D44">
      <w:pPr>
        <w:pStyle w:val="TextoNormal"/>
      </w:pPr>
      <w:r>
        <w:t>En segundo lugar, se alega la vulneración del derecho a utilizar los medios de prueba pertinentes para la defensa (art. 24.2 C.E.), pues no se practicó «la prueba documental obrante en autos», consistente en un certificado médico por el que se acreditaba la necesi</w:t>
      </w:r>
      <w:r>
        <w:lastRenderedPageBreak/>
        <w:t xml:space="preserve">dad de realizar una operación a doña Deborah Karen Mitchell a la edad de cuarenta años en la cadera. </w:t>
      </w:r>
    </w:p>
    <w:p w:rsidR="00A12D44" w:rsidRDefault="00A12D44" w:rsidP="00A12D44">
      <w:pPr>
        <w:pStyle w:val="TextoNormal"/>
      </w:pPr>
      <w:r>
        <w:t>En virtud de lo expuesto, suplica que se dicte Sentencia otorgando el amparo, y declarando la nulidad de las Sentencias recurridas sólo en lo concerniente a la responsabilidad civil para que el demandante pueda plantear en el juicio oral la elevación de las indemnizaciones para que se ajusten a la realidad social vigente, pudiendo entonces el juzgador fijar con equidad el cuantum de las mismas, y se pueda proteger a la víctima para posibilitar la realización de la operación quirúrgica de sustitución de cadera que habrá de realizarse en el futuro.</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10 de octubre de 1991 la Sección acordó, a tenor del art. 50.5 de la LOTC, conceder un plazo de diez días al demandante en amparo, para que presentara copia, traslado o certificación de la Sentencia de 10 de abril de 1991 del Juzgado de lo Penal núm. 1 de Málaga, recaída en las diligencias preparatorias núm. 47/1991, así como que acreditara fehacientemente la fecha de notificación de la Sentencia de la Audiencia Provincial de Málaga de 7 de junio de 1991. </w:t>
      </w:r>
    </w:p>
    <w:p w:rsidR="00A12D44" w:rsidRDefault="00A12D44" w:rsidP="00A12D44">
      <w:pPr>
        <w:pStyle w:val="TextoNormal"/>
      </w:pPr>
      <w:r>
        <w:t>Una vez cumplido lo anterior por el recurrente, mediante providencia de 10 de febrero de 1992, y de conformidad con el art. 50.3 de la LOTC, se puso de manifiesto al solicitante de amparo y al Ministerio fiscal, la posible concurrencia de la causa de inadmisión del apartado c) del art. 50.1 de la citada Ley, otorgándoles un plazo común de diez años para formular alegaciones.</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recurrente presentó escrito de alegaciones el día 22 de febrero de 1992, ratificándose en las manifestaciones realizadas en la demanda de amparo. </w:t>
      </w:r>
    </w:p>
    <w:p w:rsidR="00A12D44" w:rsidRDefault="00A12D44" w:rsidP="00A12D44">
      <w:pPr>
        <w:pStyle w:val="TextoNormal"/>
      </w:pPr>
      <w:r>
        <w:t xml:space="preserve">Por su parte, el Ministerio Fiscal presentó escrito de alegaciones el día 24 de febrero de 1992, alegando que concurría la causa de inadmisión puesta de manifiesto por la Sección, al carecer la demanda de contenido constitucional. </w:t>
      </w:r>
    </w:p>
    <w:p w:rsidR="00A12D44" w:rsidRDefault="00A12D44" w:rsidP="00A12D44">
      <w:pPr>
        <w:pStyle w:val="TextoNormal"/>
      </w:pPr>
      <w:r>
        <w:t xml:space="preserve">Comienza el Ministerio Fiscal señalando que si bien aparentemente el recurso se refiere a una supuesta lesión del derecho a la tutela judicial efectiva (art. 24.1 C.E.), ocasionada a Deborah Karen Mitchell por las Sentencias impugnadas, debido a no haberla dado oportunidad los órganos judiciales de modificar en el orden civil sus conclusiones provisionales cuando se celebró el juicio oral, dada la conformidad del acusado, sin embargo, un análisis de las actuaciones aportadas con la demanda indica unos hechos distintos. </w:t>
      </w:r>
    </w:p>
    <w:p w:rsidR="00A12D44" w:rsidRDefault="00A12D44" w:rsidP="00A12D44">
      <w:pPr>
        <w:pStyle w:val="TextoNormal"/>
      </w:pPr>
      <w:r>
        <w:t xml:space="preserve">En primer lugar, en la Sentencia del Juzgado de lo Penal núm. 1 de Málaga de 10 de abril de 1991, se establece que actuó como parte acusadora don Brian Mitchell, pero no aparece como tal la recurrente en amparo, doña Deborah Karen. </w:t>
      </w:r>
    </w:p>
    <w:p w:rsidR="00A12D44" w:rsidRDefault="00A12D44" w:rsidP="00A12D44">
      <w:pPr>
        <w:pStyle w:val="TextoNormal"/>
      </w:pPr>
      <w:r>
        <w:t>Consta por su lado en la Sentencia de apelación, que a doña Deborah Karen se le realizó el ofrecimiento de acciones, no personándose, por lo que, añade el Ministerio Fiscal. y al no haberse acreditado que por los órganos judiciales se le denegara la personación en término hábil, resulta obligado concluir que las Sentencias recurridas no han impedido a doña Deborah Karen la modificación de las conclusiones provisionales, sino que no han podido tener en cuenta tales manifestaciones simplemente por no haberse personado en el procedimiento, ni haber formulado en su momento la correspondiente acusación.</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primera cuestión que hay que determinar en el presente recurso de amparo es la persona que recurre. Se podría interpretar, según la demanda y el poder para pleitos que se acompaña con la misma, que los demandantes son tanto don Brian Mitchell como su hija, doña Deborah Karen Mitchell, que por cierto para el Ministerio Fiscal es la única recurrente, pero existen dudas de si realmente es así, ya que tanto en el encabezamiento de la demanda como en el escrito de alegaciones presentado en el trámite del art. 50.3 de la LOTC, solamente consta como recurrente don Brian Mitchell. Y además, en el procedimiento penal previo a esta vía de amparo, doña Deborah Karen no fue parte por lo que, de conformidad con el art. 46.1 b) de la LOTC, no tendría legitimación para el amparo. Por consiguiente, debemos considerar, tal y como lo hemos venido haciendo desde la presentación de la demanda, que el que formula el recurso únicamente es don Brian Mitchell, que fue quien se personó como acusación particular en el procedimiento penal.</w:t>
      </w:r>
    </w:p>
    <w:p w:rsidR="00A12D44" w:rsidRDefault="00A12D44" w:rsidP="00A12D44">
      <w:pPr>
        <w:pStyle w:val="TextoNormal"/>
      </w:pPr>
    </w:p>
    <w:p w:rsidR="00A12D44" w:rsidRDefault="00A12D44" w:rsidP="00A12D44">
      <w:pPr>
        <w:pStyle w:val="TextoNormal"/>
      </w:pPr>
      <w:r w:rsidRPr="00A12D44">
        <w:rPr>
          <w:rStyle w:val="NumeroAFNegritaCaracter"/>
        </w:rPr>
        <w:t>2</w:t>
      </w:r>
      <w:r>
        <w:t>. Se imputa a las Sentencias recurridas la vulneración del derecho a la tutela judicial efectiva, sin indefensión, reconocido en el art. 24. 1 C.E., debido a que en el acto del juicio oral al recurrente en amparo no se le permitió modificar las conclusiones provisionales, dada la conformidad del acusado con la pena y la responsabilidad civil, para incrementar la cuantía de la indemnización correspondiente al fallecimiento de su esposa en el accidente de circulación, así como a las heridas y secuelas que sufrió su hija, entendiéndose lesionado igualmente el mencionado derecho al no dar respuesta las Sentencias impugnadas a la cuestión planteada sobre la operación de cadera que tendrá que realizarse en el futuro a su hija. También se considera conculcado el derecho a la utilización de los medios de prueba pertinentes para la defensa garantizados en el art. 24.2 C.E., al no haberse practicado «la prueba documental obrante en autos», consistente en un certificado médico en el que se acreditaba la necesidad de la operación mencionada anteriormente.</w:t>
      </w:r>
    </w:p>
    <w:p w:rsidR="00A12D44" w:rsidRDefault="00A12D44" w:rsidP="00A12D44">
      <w:pPr>
        <w:pStyle w:val="TextoNormal"/>
      </w:pPr>
      <w:r>
        <w:t>Pues bien, es evidente que no podemos entrar a analizar las pretendidas lesiones de derechos fundamentales respecto a cuestiones referentes a la hija del demandante, doña Deborah Karen carece de legitimación para ello, teniendo en cuenta el carácter personalísimo de los derechos fundamentales y que no se personó -como hemos dicho- en el procedimiento penal, aunque se le había hecho el ofrecimiento de acciones de conformidad con el art. 109 de la L.E.Crim.</w:t>
      </w:r>
    </w:p>
    <w:p w:rsidR="00A12D44" w:rsidRDefault="00A12D44" w:rsidP="00A12D44">
      <w:pPr>
        <w:pStyle w:val="TextoNormal"/>
      </w:pPr>
      <w:r>
        <w:t>Solamente puede por ello ser examinada en el presente recurso de amparo la cuestión relativa a si la imposibilidad de que el recurrente modificase las conclusiones provisionales en el acto del juicio oral para incrementar la indemnización por el fallecimiento de su esposas, una vez dada la conformidad el acusado a la pena y a la responsabilidad civil, supone una vulneración del derecho a la tutela judicial efectiva.</w:t>
      </w:r>
    </w:p>
    <w:p w:rsidR="00A12D44" w:rsidRDefault="00A12D44" w:rsidP="00A12D44">
      <w:pPr>
        <w:pStyle w:val="TextoNormal"/>
      </w:pPr>
      <w:r>
        <w:t>Procede ahora estimar que concurre la causa de inadmisión prevista en el art.  50. 1 c) de la LOTC, ya puesta de manifiesto en nuestra providencia de 10 de febrero de 1992 porque, tratándose de la aplicación e interpretación de normas, concretamente el art. 655 de la L.E.Crim. y la regla octava del art.  791 de dicha Ley según la redacción anterior a la reforma producida por la Ley 7/1988, de 28 de diciembre, ello es atribución exclusiva de los Jueces y Tribunales (art. 117.3 C.E.), y los órganos judiciales dieron una respuesta razonada en aplicación de los mencionados preceptos.</w:t>
      </w:r>
    </w:p>
    <w:p w:rsidR="00A12D44" w:rsidRDefault="00A12D44" w:rsidP="00A12D44">
      <w:pPr>
        <w:pStyle w:val="TextoNormal"/>
      </w:pPr>
      <w:r>
        <w:t xml:space="preserve">Sin que, por otra parte, como reiteradamente ha manifestado este Tribunal, el art. 24.1 C.E. garantice el acierto de las resoluciones judiciales en la valoración de los hechos y en </w:t>
      </w:r>
      <w:r>
        <w:lastRenderedPageBreak/>
        <w:t>la interpretación y aplicación del derecho vigente, acierto judicial que no formula la Constitución Española (SSTC 126/1986, 77/1986, 50/1988 y 159/1988).</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en aplicación del art. 50.1 c) de la LOTC,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nueve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4" w:name="AUTO_1992_73"/>
      <w:r>
        <w:lastRenderedPageBreak/>
        <w:t>AUTO 73/1992, de 9 de marzo de 1992</w:t>
      </w:r>
    </w:p>
    <w:bookmarkEnd w:id="144"/>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ECLI:ES:TC:1992:73A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2.350/1991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22 de noviembre de 1991, don Eduardo Morales Price, Procurador de los Tribunales. interpuso, en nombre y representación de «Matadero General Frigorífico M. Viñals Soler», recurso de amparo contra Auto de la Sala de lo Social del Tribunal Superior de Justicia de Cataluña de 29 de mayo de 1991, confirmado en súplica por otro de 11 de octubre de 1991.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relata los siguientes antecedentes: </w:t>
      </w:r>
    </w:p>
    <w:p w:rsidR="00A12D44" w:rsidRDefault="00A12D44" w:rsidP="00A12D44">
      <w:pPr>
        <w:pStyle w:val="TextoNormal"/>
      </w:pPr>
      <w:r>
        <w:t xml:space="preserve">a) La empresa recurrente fue condenada en procedimiento especial de conflicto colectivo seguido a instancias de los representantes de los trabajadores. </w:t>
      </w:r>
    </w:p>
    <w:p w:rsidR="00A12D44" w:rsidRDefault="00A12D44" w:rsidP="00A12D44">
      <w:pPr>
        <w:pStyle w:val="TextoNormal"/>
      </w:pPr>
      <w:r>
        <w:t xml:space="preserve">b) La empresa anunció recurso de suplicación frente a la Sentencia dictada en este procedimiento por el Juzgado de lo Social núm. 26 de Barcelona. El Juzgado dictó providencia -notificada el 4 de febrero de 1991- concendiendo el plazo legal de diez días para formalizar el recurso. El viernes 15 de febrero - penúltimo día del plazo- se formalizó el recurso ante el Juzgado de Guardia, cumplimentándose la diligencia de constancia al lunes siguiente. El recurso se tuvo por formalizado en providencia del citado Juzgado de lo Social del siguiente día 18. </w:t>
      </w:r>
    </w:p>
    <w:p w:rsidR="00A12D44" w:rsidRDefault="00A12D44" w:rsidP="00A12D44">
      <w:pPr>
        <w:pStyle w:val="TextoNormal"/>
      </w:pPr>
      <w:r>
        <w:t xml:space="preserve">c) Elevados los autos a la Sala de lo Social del Tribunal Superior de Justicia de Cataluña, ésta dictó Auto de 29 de mayo de 1991 en el que se inadmitía el recurso por extemporáneo al no haberse presentado en los términos del art. 45 de la Ley de Procedimiento Laboral. Argumenta la Sala que el escrito de formalización se presentó en el Juzgado de Guardia no el último, sino el penúltimo día del plazo; de otro lado, la comparecencia ante el Juzgado de lo Social se produjo no al día siguiente hábil, sino dos días después. </w:t>
      </w:r>
    </w:p>
    <w:p w:rsidR="00A12D44" w:rsidRDefault="00A12D44" w:rsidP="00A12D44">
      <w:pPr>
        <w:pStyle w:val="TextoNormal"/>
      </w:pPr>
      <w:r>
        <w:t>d) Recurrido este Auto en súplica, fue confirmado por otro de 11 de octubre de 1991.</w:t>
      </w:r>
    </w:p>
    <w:p w:rsidR="00A12D44" w:rsidRDefault="00A12D44" w:rsidP="00A12D44">
      <w:pPr>
        <w:pStyle w:val="TextoNormal"/>
      </w:pPr>
    </w:p>
    <w:p w:rsidR="00A12D44" w:rsidRDefault="00A12D44" w:rsidP="00A12D44">
      <w:pPr>
        <w:pStyle w:val="TextoNormal"/>
      </w:pPr>
      <w:r w:rsidRPr="00A12D44">
        <w:rPr>
          <w:rStyle w:val="NumeroAFNegritaCaracter"/>
        </w:rPr>
        <w:t>3</w:t>
      </w:r>
      <w:r>
        <w:t>. La demanda de amparo invoca el art. 24.1 C.E. Según la empresa recurrente, las resoluciones dictadas por el Tribunal Superior son contrarias al derecho a la tutela judicial efectiva al haber sido injustificadamente privada de un recurso legalmente establecido. Desde luego, no puede discutirse que el recurso fue presentado dentro del plazo -si bien en el Juzgado de Guardia-. Por otra parte, la comparecencia ante la Magistratura que exige el art. 45 L.P.L. se produjo precisamente al día siguiente al de la expiración del plazo. En consecuencia, no puede encontrarse otra razón para la inadmisión del recurso de suplica</w:t>
      </w:r>
      <w:r>
        <w:lastRenderedPageBreak/>
        <w:t xml:space="preserve">ción que la de haberse presentado en el Juzgado de Guardia un día antes de lo necesario: Sin embargo, impedir la tramitación del recurso por esta sola razón resulta contrario al art. 24.1 C.E. en atención a diversas circunstancias. </w:t>
      </w:r>
    </w:p>
    <w:p w:rsidR="00A12D44" w:rsidRDefault="00A12D44" w:rsidP="00A12D44">
      <w:pPr>
        <w:pStyle w:val="TextoNormal"/>
      </w:pPr>
      <w:r>
        <w:t xml:space="preserve">a) Ha de valorarse, ante todo, un hecho notorio, como es el de que «los Secretarios judiciales no acuden a los Juzgados en sábado», siendo éstos los únicos competentes para extender las diligencias de presentación de escritos (art. 283 L.O.P.J.). </w:t>
      </w:r>
    </w:p>
    <w:p w:rsidR="00A12D44" w:rsidRDefault="00A12D44" w:rsidP="00A12D44">
      <w:pPr>
        <w:pStyle w:val="TextoNormal"/>
      </w:pPr>
      <w:r>
        <w:t xml:space="preserve">b) Por otro lado, es doctrina constitucional reiterada la de que una interpretación inflexible de los requisitos de presentación de escritos laborales en el Juzgado de Guardia resulta contraria al derecho a la tutela judicial efectiva. En concreto, y por lo que se refiere a la presentación en el penúltimo día en el Juzgado de Guardia, se cita la STC 83/1991. Y, con anterioridad, la 175/1988. </w:t>
      </w:r>
    </w:p>
    <w:p w:rsidR="00A12D44" w:rsidRDefault="00A12D44" w:rsidP="00A12D44">
      <w:pPr>
        <w:pStyle w:val="TextoNormal"/>
      </w:pPr>
      <w:r>
        <w:t xml:space="preserve">c) En fin estas últimas Sentencias han valorado asimismo el posible error en el cómputo del plazo del recurso de suplicación, excusable en razón de la poco clara redacción de los preceptos aplicables. </w:t>
      </w:r>
    </w:p>
    <w:p w:rsidR="00A12D44" w:rsidRDefault="00A12D44" w:rsidP="00A12D44">
      <w:pPr>
        <w:pStyle w:val="TextoNormal"/>
      </w:pPr>
      <w:r>
        <w:t>Se solicita la concesión del amparo, con anulación de los autos impugnados y continuación de la tramitación del recurso indebidamente denegado, así como la suspensión de la firmeza de la Sentencia dictada por el Juzgado.</w:t>
      </w:r>
    </w:p>
    <w:p w:rsidR="00A12D44" w:rsidRDefault="00A12D44" w:rsidP="00A12D44">
      <w:pPr>
        <w:pStyle w:val="TextoNormal"/>
      </w:pPr>
    </w:p>
    <w:p w:rsidR="00A12D44" w:rsidRDefault="00A12D44" w:rsidP="00A12D44">
      <w:pPr>
        <w:pStyle w:val="TextoNormal"/>
      </w:pPr>
      <w:r w:rsidRPr="00A12D44">
        <w:rPr>
          <w:rStyle w:val="NumeroAFNegritaCaracter"/>
        </w:rPr>
        <w:t>4</w:t>
      </w:r>
      <w:r>
        <w:t>. En providencia de 16 de diciembre de 1991, la Sección Cuarta de este Tribunal acordó, en aplicación de lo dispuesto en el art. 50.5 LOTC, conceder al demandante de amparo plazo de diez días para acreditar fehacientemente la fecha de notificación de la última resolución recaída, presentar copia del recurso de queja interpuesto y el poder original que acreditara la representación del Procurador.</w:t>
      </w:r>
    </w:p>
    <w:p w:rsidR="00A12D44" w:rsidRDefault="00A12D44" w:rsidP="00A12D44">
      <w:pPr>
        <w:pStyle w:val="TextoNormal"/>
      </w:pPr>
    </w:p>
    <w:p w:rsidR="00A12D44" w:rsidRDefault="00A12D44" w:rsidP="00A12D44">
      <w:pPr>
        <w:pStyle w:val="TextoNormal"/>
      </w:pPr>
      <w:r w:rsidRPr="00A12D44">
        <w:rPr>
          <w:rStyle w:val="NumeroAFNegritaCaracter"/>
        </w:rPr>
        <w:t>5</w:t>
      </w:r>
      <w:r>
        <w:t>. Cumplimentado el requerimiento, la referida Sección, en providencia de 10 de febrero de 1992, acordó conceder al demandante de amparo y al Ministerio Fiscal plazo común de diez días para la formulación de alegaciones sobre la posible concurrencia de la causa de inadmisión del art. 50.1 c) LOTC.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En sus alegaciones, el solicitante de amparo reitera que «sobre idéntico contenido y fondo -la presentación de la formalización del recurso de suplicación ante el Juzgado de Guardia- ya se ha pronunciado el Tribuna, Constitucional en numerosas Sentencias», entre las que se cita la STC 83/1991. Se concluye, en consecuencia, que no concurre la causa de inadmisión puesta de manifiesto en la providencia. </w:t>
      </w:r>
    </w:p>
    <w:p w:rsidR="00A12D44" w:rsidRDefault="00A12D44" w:rsidP="00A12D44">
      <w:pPr>
        <w:pStyle w:val="TextoNormal"/>
      </w:pPr>
      <w:r>
        <w:t>Por su parte, el Ministerio Fiscal entiende que procede admitir la demanda de amparo. A su juicio, la interpretación realizada por el T.S.J. es «en exceso rigorista y formalista, por lo que pudiera lesionar el derecho de acceso al recurso y por tanto el de tutela judicial efectiva del art. 24.1 C.E. ya que, en definitiva, concluyendo el plazo el día 16 sábado, en realidad la dación de constancia se hizo al día siguiente al que concluía el plazo, aun cuando la presentación en el Juzgado de Guardia se adelantara un día a lo previsto en la norma, lo que ha sido considerado admisible por el Tribunal Constitucional en SSTC 83/1991, 117/1991 y 119/1991».</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preciso confirmar la concurrencia de la causa de inadmisión puesta de manifiesto en nuestra providencia de 10 de febrero de 1992, al carecer la demanda manifiestamente de contenido que justifique una decisión sobre el fondo de la misma por parte de este Tribunal [art. 50.1 c) LOTC].</w:t>
      </w:r>
    </w:p>
    <w:p w:rsidR="00A12D44" w:rsidRDefault="00A12D44" w:rsidP="00A12D44">
      <w:pPr>
        <w:pStyle w:val="TextoNormal"/>
      </w:pPr>
    </w:p>
    <w:p w:rsidR="00A12D44" w:rsidRDefault="00A12D44" w:rsidP="00A12D44">
      <w:pPr>
        <w:pStyle w:val="TextoNormal"/>
      </w:pPr>
      <w:r w:rsidRPr="00A12D44">
        <w:rPr>
          <w:rStyle w:val="NumeroAFNegritaCaracter"/>
        </w:rPr>
        <w:t>2</w:t>
      </w:r>
      <w:r>
        <w:t>. Para negar a esta conclusión hay que recordar ante todo que el derecho al recurso legalmente establecido, manifestación del fundamental derecho a la tutela judicial efectiva, es un derecho de configuración legal. En consecuencia, la vinculación entre el derecho al recurso y el derecho a la tutela judicial efectiva no puede tener como consecuencia «el desconocimiento e ineficacia total de los presupuestos procesales establecidos por las leyes para la admisión de los recursos, dejando así a la disponibilidad o arbitrio de las partes el modo de su cumplimiento prescindiendo de las formalidades requeridas por la Ley, formalidades que no responden al capricho puramente ritual del Legislador, sino ala necesidad de dotar al proceso de ciertas formalidades objetivas en garantía de los derechos e intereses legítimos de las partes que intervienen en los procesos» (STC 16/1992).</w:t>
      </w:r>
    </w:p>
    <w:p w:rsidR="00A12D44" w:rsidRDefault="00A12D44" w:rsidP="00A12D44">
      <w:pPr>
        <w:pStyle w:val="TextoNormal"/>
      </w:pPr>
      <w:r>
        <w:t>Es cierto que algunas decisiones de inadmisión de un recurso pueden llegar a ser contrarias al art. 24.1 C.E. en razón a la eventual desproporción entre la decisión de inadmitir y la entidad objetiva del defecto procesal apreciado por el órgano judicial; sobretodo, si el mismo es susceptible de subsanación sin menoscabo de las expectativas de la otra parte. Ello, sin embargo, ha de considerarse de todo punto excepcional, pues el principio general es el de que «los requisitos legales que condicionan la válida interposición de los recursos judiciales son de obligado cumplimiento para quien los promueve, correspon- diendo a los órganos judiciales, como garantes del orden procesal, el velar por su observancia y, en consecuencia, hacer efectivas las consecuencias que la ley anuda a su incumplimiento» (STC 59/1988).</w:t>
      </w:r>
    </w:p>
    <w:p w:rsidR="00A12D44" w:rsidRDefault="00A12D44" w:rsidP="00A12D44">
      <w:pPr>
        <w:pStyle w:val="TextoNormal"/>
      </w:pPr>
    </w:p>
    <w:p w:rsidR="00A12D44" w:rsidRDefault="00A12D44" w:rsidP="00A12D44">
      <w:pPr>
        <w:pStyle w:val="TextoNormal"/>
      </w:pPr>
      <w:r w:rsidRPr="00A12D44">
        <w:rPr>
          <w:rStyle w:val="NumeroAFNegritaCaracter"/>
        </w:rPr>
        <w:t>3</w:t>
      </w:r>
      <w:r>
        <w:t>. A la vista de esta doctrina, la presente demanda de amparo ha de ser necesariamente inadmitida, toda vez que la decisión del Tribunal Superior de Justicia no es lesiva del derecho a la tutela judicial efectiva. Es evidente que, en el supuesto que ahora se plantea, el recurrente no ha cumplido los requisitos establecidos en el art. 45.1 L.P.L. para la válida presentación en el Juzgado de Guardia de escritos dirigidos a los órganos de la jurisdicción social: ni la presentación ante aquél se produjo el último día del plazo legal, sino el penúltimo, ni la preceptiva comparecencia ante el órgano destinatario del escrito tuvo lugar al día siguiente de su presentación, sino dos después.  Es claro, en consecuencia, que el Tribunal Superior de Justicia se ha limitado a aplicar una norma con rango de Ley y de alcance y sentido inequívoco. Esta circunstancia permite ya poner en duda que su decisión, exquisitamente ajustada a la legalidad vigente, sea contraria al derecho a la tutela judicial efectiva, ya que aplicando una Ley procesal el Juez sólo puede lesionar el derecho fun- damental a condición de que la propia Ley sea contraria al mismo (STC 171/1991, fundamento jurídico 3. ). Y no existe ninguna razón que permita sospechar que el art. 45.1 L.P.L. es inconstitucional por contrario al art. 24.1 C.E.</w:t>
      </w:r>
    </w:p>
    <w:p w:rsidR="00A12D44" w:rsidRDefault="00A12D44" w:rsidP="00A12D44">
      <w:pPr>
        <w:pStyle w:val="TextoNormal"/>
      </w:pPr>
      <w:r>
        <w:t>Ciertamente, este Tribunal ha declarado en alguna ocasión (por ejemplo, SSTC 175/1988 y 83/1991) que la norma, tras la unificación del orden jurisdiccional social con los demás órdenes judiciales, ha perdido su sentido originario. En ello insiste el recurrente. Ello no obstante, esta circunstancia no permite proyectar duda alguna sobre su constitu</w:t>
      </w:r>
      <w:r>
        <w:lastRenderedPageBreak/>
        <w:t>cionalidad en cuanto su existencia viene también justificada en las propias particularidades del proceso laboral (SSTC 3/1986 y 185/1987) y, en cualquier caso, en la voluntad del Legislador al que corresponde, como hemos visto, la ordenación del proceso. En este último sentido, tratándose el derecho a los recursos de un derecho de configuración legal, el Legislador sólo queda vinculado por el límite de no establecer obstáculos exorbitantes a los litigantes, lo que en este caso no ocurre.</w:t>
      </w:r>
    </w:p>
    <w:p w:rsidR="00A12D44" w:rsidRDefault="00A12D44" w:rsidP="00A12D44">
      <w:pPr>
        <w:pStyle w:val="TextoNormal"/>
      </w:pPr>
    </w:p>
    <w:p w:rsidR="00A12D44" w:rsidRDefault="00A12D44" w:rsidP="00A12D44">
      <w:pPr>
        <w:pStyle w:val="TextoNormal"/>
      </w:pPr>
      <w:r w:rsidRPr="00A12D44">
        <w:rPr>
          <w:rStyle w:val="NumeroAFNegritaCaracter"/>
        </w:rPr>
        <w:t>4</w:t>
      </w:r>
      <w:r>
        <w:t>. No es posible olvidar, por otra parte, que no todas las lecturas del art.  45 L.P.L. son admisibles desde la perspectiva del art. 24.1 C.E. De hecho, este Tribunal ha reaccionado frente a interpretaciones en exceso rigoristas de este precepto, concediendo el amparo, por ejemplo, en aquellos supuestos en los que, acaso por un error excusable de la parte, la presentación en el Juzgado de Guardia se produjo en el penúltimo día del plazo y no en el último, como exigía el entonces vigente art. 22 de la Ley de Procedimiento Laboral de 1980 y exige el actualmente en vigor art. 45.1 L.P.L. En este sentido se han pronunciado las SSTC 175/1988, 83/1991, 117/1991 y 179/1991.</w:t>
      </w:r>
    </w:p>
    <w:p w:rsidR="00A12D44" w:rsidRDefault="00A12D44" w:rsidP="00A12D44">
      <w:pPr>
        <w:pStyle w:val="TextoNormal"/>
      </w:pPr>
      <w:r>
        <w:t>Tanto el recurrente como el Ministerio Fiscal alegan esta circunstancia para justificar la necesidad de admitir a trámite la demanda. Sin embargo, la misma no puede ser tomada en consideración, pues entre los supuestos resueltos por aquellos pronunciamientos y el que ahora se plantea existe una importante diferencia que impide la extensión de la doctrina constitucional establecida en las Sentencias citadas. En efecto, éstas resuelven supuestos en los que la presentación del escrito en el Juzgado de Guardia se produjo el penúltimo día de plazo y la comparecencia ante la jurisdicción social al día siguiente hábil.  Este hecho es el que justificaba la concesión del amparo, toda vez que, al producirse la comparecencia ante la Magistratura en estas condiciones, la misma se producía dentro del plazo legal; y, por tanto, cuando la parte disponía todavía de la posibilidad efectiva de reparar el defecto existente en la presentación ante el Juzgado de Guardia mediante una nueva formalización.  En atención a ello, los órganos judiciales quedaban obligados, cuando menos, a ofrecer la subsanación de los defectos y al no hacerlo lesionaban el art. 24.1 C.E.</w:t>
      </w:r>
    </w:p>
    <w:p w:rsidR="00A12D44" w:rsidRDefault="00A12D44" w:rsidP="00A12D44">
      <w:pPr>
        <w:pStyle w:val="TextoNormal"/>
      </w:pPr>
      <w:r>
        <w:t>Esta particularidad no concurre, sin embargo, en el supuesto que ahora nos ocupa. No se trata sólo de que el error de la parte en el cómputo del plazo que se consideraba entonces excusable haya dejado de serlo tras la promulgación de la nueva Ley de Procedimiento Laboral -cuyo art. 192.1 suprime las incertidumbres interpretativas del anterior art. 154.2 de la Ley de 1980 que fueron valoradas por la STC 175/1988-. Lo verdaderamente importante es que quien ahora recurre no se ha limitado a presentar el escrito de formalización del recurso en el penúltimo día del plazo sino que, al aguardar dos días hábiles para efectuar la preceptiva comparecencia, la misma se ha producido cuando el plazo legal había ya vencido. Ante esta circunstancia -que no concurría en los supuestos anteriormente resueltos por este Tribunal- el ofrecimiento de subsanación cuya inexistencia motivó los anteriores pronunciamientos de este Tribunal no era va posible ni, por tanto, exigible al órgano judicial. El recurso se ha perjudicado. en definitiva, por la actuación de la parte y no por la del Tribunal Superior de Justicia, lo que excluye cualquier lesión del art. 24.1 C.E.</w:t>
      </w:r>
    </w:p>
    <w:p w:rsidR="00A12D44" w:rsidRDefault="00A12D44" w:rsidP="00A12D44">
      <w:pPr>
        <w:pStyle w:val="TextoNormal"/>
      </w:pPr>
      <w:r>
        <w:t xml:space="preserve">No existe, en fin, ninguna razón atendible que justifique que la comparecencia se produjera no el día siguiente hábil -como exige la Ley-, sino dos días hábiles después. El recurrente insiste en que el día siguiente hábil resultaba ser sábado, día en el que los Secretarios judiciales no trabajan. La alegación es de todo punto inconsistente: el sábado es día hábil, como demuestra el art.  182 L.O.P.J.. resultando indiferente desde la perspectiva del recurso de amparo si los funcionarios cumplen o no sus obligaciones o cómo las cumplan, </w:t>
      </w:r>
      <w:r>
        <w:lastRenderedPageBreak/>
        <w:t>pues la competencia de este Tribunal no alcanza esta cuestión. Sin perjuicio, claro está, de que el recurrente pueda hacer llegar su queja a la autoridad competente.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nueve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5" w:name="AUTO_1992_74"/>
      <w:r>
        <w:lastRenderedPageBreak/>
        <w:t>AUTO 74/1992, de 9 de marzo de 1992</w:t>
      </w:r>
    </w:p>
    <w:bookmarkEnd w:id="145"/>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ECLI:ES:TC:1992:74A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2.633/1991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26 de diciembre de 1991, don Celso de la Cruz Ortega, Procurador de los Tribunales y de don Manuel Acaiñas Muñoz y otras 87 personas más, todas ellas funcionarios del Cuerpo de Policía Nacional, interpone recurso de amparo contra la Sentencia de la Sala Tercera (Sección Primera) del Tribunal Supremo, de fecha 4 de noviembre de 1991, estimatoria del recurso extraordinario de revisión núm. 3.597/89 promovido contra la dictada por la Sala de lo Contencioso de la Audiencia Territorial de Sevilla, de 9 de marzo de 1989, en el recurso núm. 1056/87, sobre denegación presunta por silencio administrativo de las solicitudes dirigidas por los recurrentes al General Inspector de la Policía Nacional en reclamación de indemnizaciones por residencia eventual.</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en los que se fundamenta la demanda son, sucintamente expuestos, los que siguen: </w:t>
      </w:r>
    </w:p>
    <w:p w:rsidR="00A12D44" w:rsidRDefault="00A12D44" w:rsidP="00A12D44">
      <w:pPr>
        <w:pStyle w:val="TextoNormal"/>
      </w:pPr>
      <w:r>
        <w:t xml:space="preserve">a) Los recurrentes elevaron en su día instancias individuales al Inspector general de la Policía Nacional y al Director General de la Policía solicitando el reconocimiento de su derecho a percibir la indemnización por residencia eventual correspondiente al tiempo en el que durante los años 1978 a 1985, indistintamente, permanecieron agregados en comisión de servicio en diferentes guarniciones distintas de aquellas en las que tenían sus destinos. La Inspección General de Policía Nacional vino a reconocer ese derecho en diferentes comunicados internos de 1984 y 1985 que se acompañan a la demanda. </w:t>
      </w:r>
    </w:p>
    <w:p w:rsidR="00A12D44" w:rsidRDefault="00A12D44" w:rsidP="00A12D44">
      <w:pPr>
        <w:pStyle w:val="TextoNormal"/>
      </w:pPr>
      <w:r>
        <w:t xml:space="preserve">b) Pasado el tiempo sin que se les abonasen las cantidades reclamadas. los hoy demandantes de amparo recurrieron ante la Sala de lo Contencioso de la Audiencia Territorial de Sevilla contra las denegaciones presuntas por silencio administrativo de las solicitudes elevadas al General Inspector de la Policía Nacional. Alegaban en su demanda (de la que no se aporta copia) que el derecho reclamado había sido reconocido en vía administrativa a otros funcionarios que se encontraban en idénticas circunstancias, aportándose copias de diferentes Resoluciones de la Dirección General de la Policía que, sin embargo, no se adjuntan a la demanda de amparo. (Se aporta, no obstante, escrito del Defensor del Pueblo en el que se da cuenta de un Informe del Ministerio del Interior en el que se declara que la Dirección General de la Policía está tramitando la aprobación del gasto necesario para hacer frente a las indemnizaciones de todos los policías afectados por traslados como los </w:t>
      </w:r>
      <w:r>
        <w:lastRenderedPageBreak/>
        <w:t xml:space="preserve">que han padecido los recurrentes.) El recurso se tramitó bajo el núm. 1056/87 y se resolvió por Sentencia de 9 de marzo de 1989 en la que, estimando la demanda en su integridad, se declaró nulas y dejó sin efecto las referidas denegaciones presuntas del General Inspector de la Policía Nacional, así como las resoluciones expresas denegatorias dictadas por la Dirección General de la Policía con posterioridad a la interposición del recurso jurisdiccional. (No se aporta copia ni testimonio de estas resoluciones de la Dirección General). La Sentencia fundamenta sus argumentos en la doctrina sentada por el Tribunal Supremo en su Sentencia de 12 de junio de 1987, considerando que la situación de los recurrentes «es calificable de comisión de servicio y como tal da derecho a indemnización por residencia eventual al durar más de un mes, por aplicación del art. 2.1 en relación con el 5.4 del Decreto 176/1975». </w:t>
      </w:r>
    </w:p>
    <w:p w:rsidR="00A12D44" w:rsidRDefault="00A12D44" w:rsidP="00A12D44">
      <w:pPr>
        <w:pStyle w:val="TextoNormal"/>
      </w:pPr>
      <w:r>
        <w:t>c) El Abogado del Estado interpuso recurso extraordinario de revisión contra la mencionada Sentencia ante el Tribunal Supremo. cuya Sala Tercera (Sección Primera) lo tramitó bajo el núm. 3.597/89. El recurso se promovió al amparo de lo dispuesto en el art. 102.1 b) de la L.J.C.A., por contradicción entre la Sentencia del Tribunal Supremo el 22 de enero y 7 de julio de 1988. El recurso de revisión fue resuelto por Sentencia estimatoria de 4 de noviembre de 1991. En ella el Tribunal se remite a lo decidido en sus Sentencias de 13 de octubre de 1987, 22 y 26 de enero, 7 y 17 de julio de 1988 y 28 de abril de 1990, en el sentido de que sólo dan lugar a indemnización las residencias «prolongadas» fuera del domicilio oficial, lo que no es el caso. El Tribunal Supremo no se pronunció, por ser ajena al recurso de revisión interpuesto, acerca de la doctrina contenida en la Sentencia de la Sala Tercera (Sección Primera) de 21 de diciembre de 1990 -pese a ser alegada por los recurrentes- y que coincide con la sustentada en la Sentencia objeto del recurso de revisión.</w:t>
      </w:r>
    </w:p>
    <w:p w:rsidR="00A12D44" w:rsidRDefault="00A12D44" w:rsidP="00A12D44">
      <w:pPr>
        <w:pStyle w:val="TextoNormal"/>
      </w:pPr>
    </w:p>
    <w:p w:rsidR="00A12D44" w:rsidRDefault="00A12D44" w:rsidP="00A12D44">
      <w:pPr>
        <w:pStyle w:val="TextoNormal"/>
      </w:pPr>
      <w:r w:rsidRPr="00A12D44">
        <w:rPr>
          <w:rStyle w:val="NumeroAFNegritaCaracter"/>
        </w:rPr>
        <w:t>3</w:t>
      </w:r>
      <w:r>
        <w:t>. Se interpone recurso de amparo contra los actos administrativos denegatorios antes citados y contra la Sentencia de la Sala Tercera (Sección Primera) del Tribunal Supremo de 4 de noviembre de 1991, solicitando de este Tribunal que dicte Sentencia en la que se reconozca a los recurrentes el derecho a la indemnización reclamada y se decrete la nulidad de las resoluciones administrativas y judicial impugnadas. Se solicita también, por otrosí, el recibimiento del pleito a prueba (que habrá que versar sobre solicitud de docu- mental testimoniada del Defensor del Pueblo sobre el escrito antes mencionado y del Tribunal Supremo sobre autenticidad de las copias de las Sentencias que se acompañan a la demanda). Se solicita, finalmente, que el trámite de alegaciones se sustituya por celebración de vista oral.</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10 de febrero de 1992, la Sección Cuarta de este Tribunal acordó, de conformidad con lo previsto en el art. 50.5 de la LOTC, requerir a los recurrentes para que, en el plazo de diez días, aportaran copia o testimonio de las resoluciones de la Dirección General de la Policía de 16 de marzo, 13 de mayo y 5 de diciembre de 1983 a las que hacen referencia en su demanda, así como para que aportaran escritura de poder de representación procesal todos aquellos demandantes que no la acompañan con la demanda. Se acordó igualmente, de conformidad con lo dispuesto en el art. 50.3 LOTC, requerir a los demandantes y al Ministerio Fiscal para que, en el plazo de diez días, alegaran lo que estimaran pertinente acerca de la posible concurrencia de la causa de inadmisión establecida en el art. 50.1 c) de la LOTC, por carecer la demanda de contenido que justifique una resolución sobre el fondo del asunto por parte de este Tribunal.</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5</w:t>
      </w:r>
      <w:r>
        <w:t>. El Ministerio Público presentó sus alegaciones el 24 de febrero de 1992. Se señala en ellas que el presente recurso de amparo se dirige tanto contra los actos de la Inspección General de la Policía Nacional que denegaron a los actores la percepción de indemnización por residencia eventual fuera de su lugar de destino, como contra la Sentencia de 4 de noviembre de 1991 dictada en revisión por la Sala Especial del Tribunal Supremo que rescindió la dictada por la Sala de lo Contencioso-Administrativo de la entonces Audiencia de Sevilla, la cual había reconocido a los mismos actores el derecho a percibir la referida indemnización. En la medida en que la pretensión de amparo se fundamenta en una lesión del principio de igualdad derivada del hecho de que existen otras resoluciones administrativas contradictoras con las aquí discutidas y dos Sentencias del Tribunal Supremo que fallaron, ante supuestos iguales, en sentido contrario al de la Sentencia que ahora se impugna, procede el Ministerio Fiscal a examinar la concurrencia en cada caso de la presunta vulneración del art. 14 de la Constitución. Así, y por lo que respecta a las resoluciones administrativas, señala el Fiscal que si lo que se denuncia es en realidad una ocultación por parte de la Abogacía del Estado de las resoluciones que reconocían el derecho ahora pretendido, no cabe propiamente alegar una infracción del principio de igualdad, sino a lo sumo una deficiente información de la Sala sentenciadora, pudiendo más bien pensarse que los actores no fueron suficientemente diligentes a la hora de aportar la información necesaria y que, en todo caso, de haber habido efectiva ocultación debieron proceder en la forma legalmente establecida. Por lo demás, dado que ha habido un pronunciamiento judicial final de que a los demandantes no les correspondía el derecho reclamado, poco importa que en otros casos que se dicen idénticos haya resuelto la Administración de manera diferente, pues la igualdad sólo opera desde la legalidad. En cuanto a la infracción del principio de igualdad por parte de la Sentencia del Tribunal Supremo, entiende el Ministerio Público que no puede prosperar su denuncia desde el momento en que las Sentencias aportadas como término de comparación fueron tenidas en cuenta en la que ahora se recurre: la de 12 de junio de 1987, para afirmar -según ya se dijera en Sentencia anterior de la propia Sala- que los supuestos de hecho no son idénticos; la de 21 de diciembre de 1990, para señalar que es ajena al recurso de revisión. Al haber tenido en cuenta el Tribunal Supremo ambas Sentencias no puede hablarse en rigor de desigualdad, sino, en su caso, de fallo viciado, erróneo o infundado, lo que no se alega en la demanda ni sería fácil examinar en esta sede desde el momento en que son afirmaciones de la Sala sobre fácil examinar en esta sede una determinación fáctica que no puede revisar el Tribunal Constitucional [art. 44.1 b) Fiscal, que la Sentencia recurrida sigue la doctrina LOTC]. Señala, por último, el Ministerio Fiscal, que la Sentencia recurrida sigue la doctrina sentada reiteradamente por el Tribunal Supremo en la materia y que el Constitucional (STC 1/1990) desestimó pretensión análoga a la ahora planteada, también con referencia a fallo de revisión del Tribunal Supremo. Concluye el Ministerio Fiscal su escrito de alegaciones afirmando que procede la inadmisión del recurso por concurrencia de la causa prevista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escrito de alegaciones de los recurrentes se registró en este Tribunal el 26 de febrero de 1992. En ellas se insiste en la identidad existente entre las situaciones de las recurrentes y las contempladas por las resoluciones de la Dirección General de la Policía interesadas en el proveído de este Tribunal de 10 de febrero de 1992, identidad expresamente reconocida en la Sentencia del Tribunal Supremo de 21 de diciembre de 1990, de cuya doctrina se separa la que ahora se recurre. En cuanto a la posible identidad entre la cuestión planteada y la que fue objeto del recurso de amparo que dio lugar a la STC 1/1990, </w:t>
      </w:r>
      <w:r>
        <w:lastRenderedPageBreak/>
        <w:t>consideran los recurrentes que, al no haber sido posible aportar entonces el Informe del Ministerio del Interior al Defensor del Pueblo en el que se daba cuenta de la revisión definitiva de cualquier resolución anterior denegatoria de los derechos ahora discutidos, existe una diversidad de planteamientos que impiden la aplicación al caso de la doctrina contenida en aquella Sentencia.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Procede confirmar la concurrencia de la causa de inadmisión contemplada en el art. 50.1 c) de la LOTC, por carecer la demanda, manifiestamente de contenido que justifique una resolución sobre el fondo del asunto por parte de este Tribunal. En cuanto a la pretendida vulneración del principio de igualdad por parte de los actos administrativos denegatorios que dieron lugar al procedimiento sustanciado ante la Audiencia Territorial de Sevilla, cabe decir ahora -en palabras de la STC 1/1990- que «aun cuando otros policías nacionales, en idéntica situación a la de los recurrentes, hubieran percibido las indemnizaciones que estos últimos reclaman, no puede desconocerse que el principio de igualdad en la aplicación de la Ley no llega a fundamentar por sí solo la pretensión de que sean reconocidos determinados derechos en contradicción con el ordenamiento jurídico, por cuanto el principio de igualdad encuentra un límite en el principio de legalidad, desplegando plena eficacia en el ámbito de los derechos e intereses jurídicamente adecuados o conforme a Derecho, pero, a la vez, cesando su virtualidad cuando esa igualdad condujera al mantenimiento o constitución de situaciones ilegales o disconformes a Derecho. Quiere ello decir, por tanto, que la imputación hecha por los recurrentes a las reseñadas resoluciones administrativas, por sí misma -y aun cuando en otros casos equiparables se hubiere accedido por la Administración a las indemnizaciones pretendidas- no puede fundar la declaración de nulidad de esas resoluciones con independencia o al margen del juicio de estricta legalidad que pueda merecer la pretensión por ellos planteada» (fundamento jurídico 2. juicio de legalidad que en el caso ahora debatido fue desarrollado por la Sentencia del Tribunal Supremo de 4 de noviembre de 1991 y sobre el que no puede pronunciarse este Tribunal, quien reiteradamente viene sosteniendo que no constituye una tercera instancia.</w:t>
      </w:r>
    </w:p>
    <w:p w:rsidR="00A12D44" w:rsidRDefault="00A12D44" w:rsidP="00A12D44">
      <w:pPr>
        <w:pStyle w:val="TextoNormal"/>
      </w:pPr>
    </w:p>
    <w:p w:rsidR="00A12D44" w:rsidRDefault="00A12D44" w:rsidP="00A12D44">
      <w:pPr>
        <w:pStyle w:val="TextoNormal"/>
      </w:pPr>
      <w:r w:rsidRPr="00A12D44">
        <w:rPr>
          <w:rStyle w:val="NumeroAFNegritaCaracter"/>
        </w:rPr>
        <w:t>2</w:t>
      </w:r>
      <w:r>
        <w:t>. En cuanto a la vulneración del principio de igualdad por parte del Tribunal Supremo al haberse presuntamente separado de manera injustificada de la doctrina mantenida con anterioridad en la materia, es evidente que no concurren todas y cada una de las condiciones exigidas por este Tribunal para apreciar una infracción del principio de igualdad en la aplicación de la ley (SSTC 82/1990, 200/1990, 174/1991 y 201/1991, entre otras).</w:t>
      </w:r>
    </w:p>
    <w:p w:rsidR="00A12D44" w:rsidRDefault="00A12D44" w:rsidP="00A12D44">
      <w:pPr>
        <w:pStyle w:val="TextoNormal"/>
      </w:pPr>
      <w:r>
        <w:t xml:space="preserve">La Sentencia de 21 de diciembre de 1990 no constituye un término de comparación apropiado, toda vez que, aun prescindiendo de que no fue dictada con ocasión de un recurso de revisión -como es el caso con la ahora impugnada-, sino de un recurso extraordinario de apelación en interés de ley, afirma claramente en su fundamento jurídico 3. que «no puede ignorarse aquí que el Tribunal Supremo, por vía de revisión, en Sentencia de fecha 13 de octubre de 1987, 22 de enero y 7 de julio de 1988. ha establecido un criterio jurisprudencial interpretativo e integrador del art. 2.1 del Decreto 176/1975, de 30 de enero, en el que se define la comisión de servicio a efectos del percibo de dietas y en su caso de indemnizaciones por residencia eventual», resultando acreditado en este caso que «el inicial criterio mantenido por la Sala Quinta en la Sentencia de 12 de junio de 1987 (recurso 792/86) fue corregido, sin mención expresa de esta Sentencia y ampliamente argumentado </w:t>
      </w:r>
      <w:r>
        <w:lastRenderedPageBreak/>
        <w:t>a lo largo de sus fundamentos de las Sentencias de revisión de la propia Sala citada más arriba y al que hay que estar, dado que el ámbito de este proceso extraordinario de apelación viene referido a la impugnación de una Sentencia de una Audiencia no susceptible de apelación, sin que aquí pudiera añadirse nada -para contrarrestar- a lo ya declarado en vía de revisión de obligada observancia para los Tribunales inferiores dado el carácter quasicasacional y de unificación de doctrina que le viene generalmente reconocido».</w:t>
      </w:r>
    </w:p>
    <w:p w:rsidR="00A12D44" w:rsidRDefault="00A12D44" w:rsidP="00A12D44">
      <w:pPr>
        <w:pStyle w:val="TextoNormal"/>
      </w:pPr>
      <w:r>
        <w:t>El hecho de que, por las razones apuntadas en el fundamento jurídico 4. , el Tribunal Supremo fallara no haber lugar al recurso extraordinario de apelación en interés de Ley planteado, no obsta para concluir que de la Sentencia aportada como término de comparación no puede extraerse una doctrina jurisprudencial distinta de la que toma como fundamento la Sentencia que ahora pretende recurrirse. En la medida en que tal doctrina -establecida en las Sentencias mencionadas por la que acaba de transcribirse- no puede ser tildada de arbitraria o irrazonable, no puede considerarse que se hayan infringido los derechos constitucionales de los recurrentes.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consecuencia, procede la inadmisión de la presente demanda.</w:t>
      </w:r>
    </w:p>
    <w:p w:rsidR="00A12D44" w:rsidRDefault="00A12D44" w:rsidP="00A12D44">
      <w:pPr>
        <w:pStyle w:val="TextoNormal"/>
      </w:pPr>
    </w:p>
    <w:p w:rsidR="00A12D44" w:rsidRDefault="00A12D44" w:rsidP="00A12D44">
      <w:pPr>
        <w:pStyle w:val="TextoNormal"/>
      </w:pPr>
      <w:r>
        <w:t>Madrid, a nueve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6" w:name="AUTO_1992_75"/>
      <w:r>
        <w:lastRenderedPageBreak/>
        <w:t>AUTO 75/1992, de 16 de marzo de 1992</w:t>
      </w:r>
    </w:p>
    <w:bookmarkEnd w:id="146"/>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ECLI:ES:TC:1992:75A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625/1991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7" w:name="AUTO_1992_76"/>
      <w:r>
        <w:lastRenderedPageBreak/>
        <w:t>AUTO 76/1992, de 16 de marzo de 1992</w:t>
      </w:r>
    </w:p>
    <w:bookmarkEnd w:id="147"/>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ECLI:ES:TC:1992:76A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parcial de la ejecución del acto que origina el recurso de amparo 864/1991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8" w:name="AUTO_1992_77"/>
      <w:r>
        <w:lastRenderedPageBreak/>
        <w:t>AUTO 77/1992, de 16 de marzo de 1992</w:t>
      </w:r>
    </w:p>
    <w:bookmarkEnd w:id="148"/>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ECLI:ES:TC:1992:77A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1.462/1991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49" w:name="AUTO_1992_78"/>
      <w:r>
        <w:lastRenderedPageBreak/>
        <w:t>AUTO 78/1992, de 16 de marzo de 1992</w:t>
      </w:r>
    </w:p>
    <w:bookmarkEnd w:id="149"/>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ECLI:ES:TC:1992:78A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196/1992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0" w:name="AUTO_1992_79"/>
      <w:r>
        <w:lastRenderedPageBreak/>
        <w:t>AUTO 79/1992, de 17 de marzo de 1992</w:t>
      </w:r>
    </w:p>
    <w:bookmarkEnd w:id="150"/>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ECLI:ES:TC:1992:79A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Declarando la extinción, por allanamiento del demandado, de los conflictos positivos de competencia 600/1988, 1.202/1989, 455/1990 y 456/1990 y la continuación del procedimiento en los conflictos 1.172/1988 y 1.532/1988</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Gobierno Vasco, mediante escrito que se recibió el 4 de abril de 1988, planteó conflicto positivo de competencias frente al Gobierno de la Nación, contra doce resoluciones de la Dirección General de Industrias Siderometalúrgicas y Navales de fecha 16 de marzo, 13 de octubre y 2 de noviembre. todas ellas de 1987, que homologan tubos de acero, aparatos de calefacción, calentadores de agua, frigoríficos y frigoríficos-congeladores, por entender que las citadas resoluciones no respetan el orden de competencias establecido en la Constitución Española y en el Estatuto de Autonomía del País Vasco. Dicho conflicto fue registrado con el núm. 600/88 y admitido a trámite por la Sección Cuarta mediante providencia de 18 de abril de 1988.</w:t>
      </w:r>
    </w:p>
    <w:p w:rsidR="00A12D44" w:rsidRDefault="00A12D44" w:rsidP="00A12D44">
      <w:pPr>
        <w:pStyle w:val="TextoNormal"/>
      </w:pPr>
    </w:p>
    <w:p w:rsidR="00A12D44" w:rsidRDefault="00A12D44" w:rsidP="00A12D44">
      <w:pPr>
        <w:pStyle w:val="TextoNormal"/>
      </w:pPr>
      <w:r w:rsidRPr="00A12D44">
        <w:rPr>
          <w:rStyle w:val="NumeroAFNegritaCaracter"/>
        </w:rPr>
        <w:t>2</w:t>
      </w:r>
      <w:r>
        <w:t>. El Consejo Ejecutivo de la Generalidad de Cataluña, mediante escrito recibido el 23 de junio de 1988, planteó conflicto positivo de competencia frente al Gobierno de la Nación, en relación con el Real Decreto 105/1988, de 12 de febrero, y en particular, por lo que se refiere al segundo párrafo del apartado 4.1.4 del art. 1 del Ministerio de Industria y Energía, por el que se complementan, modifican y actualizan determinados preceptos del Reglamento General de las Actuaciones del Ministerio de Industria y Energía en el campo de la normalización y homologación, aprobado por Real Decreto 2584/1981, de 18 de septiembre. Fue registrado con el núm. 1172/88, y admitido a trámite por la Sección Cuarta mediante providencia de 4 de julio de 1988.</w:t>
      </w:r>
    </w:p>
    <w:p w:rsidR="00A12D44" w:rsidRDefault="00A12D44" w:rsidP="00A12D44">
      <w:pPr>
        <w:pStyle w:val="TextoNormal"/>
      </w:pPr>
    </w:p>
    <w:p w:rsidR="00A12D44" w:rsidRDefault="00A12D44" w:rsidP="00A12D44">
      <w:pPr>
        <w:pStyle w:val="TextoNormal"/>
      </w:pPr>
      <w:r w:rsidRPr="00A12D44">
        <w:rPr>
          <w:rStyle w:val="NumeroAFNegritaCaracter"/>
        </w:rPr>
        <w:t>3</w:t>
      </w:r>
      <w:r>
        <w:t>. Por escrito recibido el 21 de septiembre de 1988, el Gobierno Vasco planteó ante este Tribunal conflicto positivo de competencia frente al Gobierno de la Nación, respecto de los arts. 4, 9, 10, 16 y 1 7. 1, todos ellos en relación con el art. 3 del Anexo del Real Decreto 494/1988, de 20 de mayo, por el que se aprueba el Reglamento de aparatos que utilizan gas como combustible. Fue registrado con el núm. 1532/88 y admitido a trámite por la Sección Segunda mediante providencia de 26 de septiembre de 1988.</w:t>
      </w:r>
    </w:p>
    <w:p w:rsidR="00A12D44" w:rsidRDefault="00A12D44" w:rsidP="00A12D44">
      <w:pPr>
        <w:pStyle w:val="TextoNormal"/>
      </w:pPr>
    </w:p>
    <w:p w:rsidR="00A12D44" w:rsidRDefault="00A12D44" w:rsidP="00A12D44">
      <w:pPr>
        <w:pStyle w:val="TextoNormal"/>
      </w:pPr>
      <w:r w:rsidRPr="00A12D44">
        <w:rPr>
          <w:rStyle w:val="NumeroAFNegritaCaracter"/>
        </w:rPr>
        <w:t>4</w:t>
      </w:r>
      <w:r>
        <w:t>. Mediante escrito recibido en este Tribunal el 23 de junio de 1989, el Consejo Ejecutivo de la Generalidad de Cataluña planteó conflicto positivo de competencia frente al Gobierno de la Nación, en relación con las resoluciones de la Dirección General de Industria, de 28 de noviembre de 1988, por la que se homologan equipos detectores de la concentración de monóxido de carbono fabricados por «MSA Española, S. A.», en Sant Just Desvern (Barcelona), y de la Dirección General de la Energía, de 19 de diciembre de 1988, por la que se homologan los paneles solares fabricados por José María Cañellas Inglés en Tarragona. Dicho conflicto fue registrado con el núm. 1202/89, y admitido a trámite por la Sección Segunda mediante providencia de 17 de julio de 1989.</w:t>
      </w:r>
    </w:p>
    <w:p w:rsidR="00A12D44" w:rsidRDefault="00A12D44" w:rsidP="00A12D44">
      <w:pPr>
        <w:pStyle w:val="TextoNormal"/>
      </w:pPr>
    </w:p>
    <w:p w:rsidR="00A12D44" w:rsidRDefault="00A12D44" w:rsidP="00A12D44">
      <w:pPr>
        <w:pStyle w:val="TextoNormal"/>
      </w:pPr>
      <w:r w:rsidRPr="00A12D44">
        <w:rPr>
          <w:rStyle w:val="NumeroAFNegritaCaracter"/>
        </w:rPr>
        <w:t>5</w:t>
      </w:r>
      <w:r>
        <w:t>. El Gobierno Vasco, por escrito recibido el 21 de febrero de 1990, planteó conflicto positivo de competencia frente al Gobierno de la Nación, en relación con la resolución de 24 de julio de 1989, de la Dirección General de Política Tecnológica, por la que se homologa un equipo emisor móvil, marca «Indelec», modelo FM 1000, fabricado por «Indelec, Sociedad Anónima», en Zamudio (Vizcaya). El citado conflicto fue registrado con el núm. 455/90, y admitido a trámite por la Sección Segunda mediante providencia de 12 de marzo de 1990.</w:t>
      </w:r>
    </w:p>
    <w:p w:rsidR="00A12D44" w:rsidRDefault="00A12D44" w:rsidP="00A12D44">
      <w:pPr>
        <w:pStyle w:val="TextoNormal"/>
      </w:pPr>
    </w:p>
    <w:p w:rsidR="00A12D44" w:rsidRDefault="00A12D44" w:rsidP="00A12D44">
      <w:pPr>
        <w:pStyle w:val="TextoNormal"/>
      </w:pPr>
      <w:r w:rsidRPr="00A12D44">
        <w:rPr>
          <w:rStyle w:val="NumeroAFNegritaCaracter"/>
        </w:rPr>
        <w:t>6</w:t>
      </w:r>
      <w:r>
        <w:t>. Mediante escrito recibido el 12 de febrero de 1990, el Gobierno Vasco planteó ante este Tribunal conflicto positivo de competencia frente al Gobierno de la Nación, en relación con la resolución de la Dirección General de Industria de 18 de septiembre de 1989, por la que se homologa calentador instantáneo de agua sanitaria agas, categoría II243, tipo A, marca «Ofsein» y variantes fabricado por «Fagor Clima, Sociedad Cooperativa Limitada», en Mondragón (Guipúzcoa). Dicho conflicto fue registrado con el núm. 456/90, y admitido a trámite por la Sección Primera mediante providencia de 12 de marzo de 1990.</w:t>
      </w:r>
    </w:p>
    <w:p w:rsidR="00A12D44" w:rsidRDefault="00A12D44" w:rsidP="00A12D44">
      <w:pPr>
        <w:pStyle w:val="TextoNormal"/>
      </w:pPr>
    </w:p>
    <w:p w:rsidR="00A12D44" w:rsidRDefault="00A12D44" w:rsidP="00A12D44">
      <w:pPr>
        <w:pStyle w:val="TextoNormal"/>
      </w:pPr>
      <w:r w:rsidRPr="00A12D44">
        <w:rPr>
          <w:rStyle w:val="NumeroAFNegritaCaracter"/>
        </w:rPr>
        <w:t>7</w:t>
      </w:r>
      <w:r>
        <w:t xml:space="preserve">. El Abogado del Estado, en representación del Gobierno de la Nación, mediante escrito presentado en este Tribunal el 28 de marzo de 1988, planteó conflicto constitucional positivo de competencia, en relación con la resolución del Director de Administración Industrial de la Consejería de Industria y Comercio del Gobierno Vasco, de 16 de noviembre de 1987, por la que se homologa un aparato de televisión modelo BBR-317 fabricado por «Gold Star Co. Ltd.», de Gumi City (Corea del Sur) importado y comercializado bajo la referencia Magnasonic MBW-100 por «Docksa, S. A.», de Pamplona (Navarra). Fue registrado con el núm. 574/88, y admitido a trámite por la Sección Tercera mediante providencia de 6 de abril de 1988. El Pleno acordó por Auto de 21 de junio de 1988 acumular a este conflicto el registrado con el núm. 600/88. </w:t>
      </w:r>
    </w:p>
    <w:p w:rsidR="00A12D44" w:rsidRDefault="00A12D44" w:rsidP="00A12D44">
      <w:pPr>
        <w:pStyle w:val="TextoNormal"/>
      </w:pPr>
      <w:r>
        <w:t>Por Auto de 19 de septiembre de 1989, el Pleno del Tribunal Constitucional acordó tener por allanado al Gobierno Vasco y declarar finalizado, por desaparición de su objeto, el conflicto positivo de competencia núm. 574/88, promovido por el Gobierno de la Nación, continuando la tramitación de los conflictos 600, 1172 y 1532/88 acumulados, en el estado en que se encontraban.</w:t>
      </w:r>
    </w:p>
    <w:p w:rsidR="00A12D44" w:rsidRDefault="00A12D44" w:rsidP="00A12D44">
      <w:pPr>
        <w:pStyle w:val="TextoNormal"/>
      </w:pPr>
    </w:p>
    <w:p w:rsidR="00A12D44" w:rsidRDefault="00A12D44" w:rsidP="00A12D44">
      <w:pPr>
        <w:pStyle w:val="TextoNormal"/>
      </w:pPr>
      <w:r w:rsidRPr="00A12D44">
        <w:rPr>
          <w:rStyle w:val="NumeroAFNegritaCaracter"/>
        </w:rPr>
        <w:t>8</w:t>
      </w:r>
      <w:r>
        <w:t xml:space="preserve">. Por Auto dictado en el conflicto positivo de competencia núm. 456/90, de fecha 24 de abril de 1990, el Pleno acordó acumular los conflictos positivos de competencia núms. 455 y 456/1990 planteados por el Gobierno Vasco, a los ya acumulados registrados con los núms. 600, 1172 y 1532/88 y 1202/89. </w:t>
      </w:r>
    </w:p>
    <w:p w:rsidR="00A12D44" w:rsidRDefault="00A12D44" w:rsidP="00A12D44">
      <w:pPr>
        <w:pStyle w:val="TextoNormal"/>
      </w:pPr>
      <w:r>
        <w:lastRenderedPageBreak/>
        <w:t>Los promovientes de los respectivos conflictos y demás partes personadas, formularon sus respectivos escritos de alegaciones, en los conflictos indicados, en solicitud de que en su día se dicte Sentencia resolutoria de los mismos.</w:t>
      </w:r>
    </w:p>
    <w:p w:rsidR="00A12D44" w:rsidRDefault="00A12D44" w:rsidP="00A12D44">
      <w:pPr>
        <w:pStyle w:val="TextoNormal"/>
      </w:pPr>
    </w:p>
    <w:p w:rsidR="00A12D44" w:rsidRDefault="00A12D44" w:rsidP="00A12D44">
      <w:pPr>
        <w:pStyle w:val="TextoNormal"/>
      </w:pPr>
      <w:r w:rsidRPr="00A12D44">
        <w:rPr>
          <w:rStyle w:val="NumeroAFNegritaCaracter"/>
        </w:rPr>
        <w:t>9</w:t>
      </w:r>
      <w:r>
        <w:t xml:space="preserve">. Con fecha 19 de febrero último, tuvo entrada escrito del Abogado del Estado, por el que debidamente autorizado por el Gobierno por acuerdos del Consejo de Ministros de 14 de febrero de 1992, cuyas certificaciones acompaña, se allana, en los conflictos positivos de competencia núms. 600/88, 1202/89, 455 y 456/90, promovidos por el Gobiemo Vasco (conflictos núms. 600/88, 455/90 y 456/90) y por el Consejo Ejecutivo de la Generalidad de Cataluña (conflicto núm. 1202/89), todos ellos contra diversas resoluciones de las Direcciones Generales de Industrias Siderometalúrgicas y Navales, de Industria y de Política Tecnológica, dictadas con fechas 16 de marzo, 13 de octubre y 2 de noviembre de 1987, 28 de noviembre de 1988 y 24 de julio y 18 de septiembre de 1989 en materia de homologación. </w:t>
      </w:r>
    </w:p>
    <w:p w:rsidR="00A12D44" w:rsidRDefault="00A12D44" w:rsidP="00A12D44">
      <w:pPr>
        <w:pStyle w:val="TextoNormal"/>
      </w:pPr>
      <w:r>
        <w:t>Por providencia de 20 de febrero siguiente, la Sección Tercera acordó incorporar a los autos el escrito anterior presentado por el Abogado del Estado y dar traslado a las representaciones procesales del Gobierno Vasco y Consejo Ejecutivo de la Generalidad de Cataluña, para que, en el plazo común de diez días, expongan lo que estimen procedente acerca del allanamiento en los conflictos positivos de competencia núms. 600/88, 1202/89, 455/90 y 456/90, que efectúa el Abogado del Estado en el citado escrito.</w:t>
      </w:r>
    </w:p>
    <w:p w:rsidR="00A12D44" w:rsidRDefault="00A12D44" w:rsidP="00A12D44">
      <w:pPr>
        <w:pStyle w:val="TextoNormal"/>
      </w:pPr>
    </w:p>
    <w:p w:rsidR="00A12D44" w:rsidRDefault="00A12D44" w:rsidP="00A12D44">
      <w:pPr>
        <w:pStyle w:val="TextoNormal"/>
      </w:pPr>
      <w:r w:rsidRPr="00A12D44">
        <w:rPr>
          <w:rStyle w:val="NumeroAFNegritaCaracter"/>
        </w:rPr>
        <w:t>10</w:t>
      </w:r>
      <w:r>
        <w:t xml:space="preserve">. EI Gobierno Vasco, por escrito recibido el 29 de febrero último, muestra su conformidad con el allanamiento, por lo que procede declarar terminados los conflictos 600/88, 455/90 y 456190. </w:t>
      </w:r>
    </w:p>
    <w:p w:rsidR="00A12D44" w:rsidRDefault="00A12D44" w:rsidP="00A12D44">
      <w:pPr>
        <w:pStyle w:val="TextoNormal"/>
      </w:pPr>
      <w:r>
        <w:t>El Consejo Ejecutivo de la Generalidad de Cataluña en escrito que se recibe el 9 de marzo manifiesta su conformidad con la petición de allanamiento instada por el Abogado del Estado respecto del conflicto positivo de competencia 1202/89, en tanto que supone el reconocimiento de la competencia de la Generalidad de Cataluña en el punto que fue controvertido, procediendo en consecuencia que dé por finalizado dicho conflicto.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Aun cuando la figura de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 y ATC 1239/1988). Y, como señalamos en las mencionadas resoluciones, tal pronunciamiento deberá ser en forma de Auto. por analogía con lo previsto para la figura paralela de la renuncia del actor en el art. 86.1 de la LOTC.</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En el presente caso, el allanamiento formulado por el Abogado del Estado, debidamente autorizado por el Gobierno de la Nación, en relación con los conflictos positivos de competencia núms. 600/88, 1202/89, 455190 y 456/90, promovidos por el Gobierno Vasco y el Consejo Ejecutivo de la Generalidad de Cataluña comporta efectivamente la desaparición del objeto de dichos procesos constitucionales, porque ya no existe controversia, en concreto, sobre la titularidad de la competencia para dictar las resoluciones objeto de los conflictos. Así lo han entendido los promovientes de los conflictos, que no se oponen a la terminación de los mismos en virtud de la desaparición sobrevenida de la controversia manifestada en el allanamiento.</w:t>
      </w:r>
    </w:p>
    <w:p w:rsidR="00A12D44" w:rsidRDefault="00A12D44" w:rsidP="00A12D44">
      <w:pPr>
        <w:pStyle w:val="TextoNormal"/>
      </w:pPr>
      <w:r>
        <w:t>Al no existir ya, como se ha expuesto, controversia alguna sobre la titularidad de la competencia, procede tan sólo declarar finalizados los procesos, por desaparición de su objeto, en virtud del allanamiento.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Constitucional acuerda tener por allanado al Gobierno de la Nación y declarar finalizados, por desaparición de su objeto, los conflictos positivos de competencia núms. 600/88, 1202/89, 455/90 y 456/90, planteados</w:t>
      </w:r>
    </w:p>
    <w:p w:rsidR="00A12D44" w:rsidRDefault="00A12D44" w:rsidP="00A12D44">
      <w:pPr>
        <w:pStyle w:val="TextoNormal"/>
      </w:pPr>
      <w:r>
        <w:t>por el Gobierno Vasco, excepto el segundo, que lo fue por el Consejo Ejecutivo de la Generalidad de Cataluña, continuando la tramitación de los conflictos 1172 y 1532/88 (acumulados) en el estado en que se encuentran.</w:t>
      </w:r>
    </w:p>
    <w:p w:rsidR="00A12D44" w:rsidRDefault="00A12D44" w:rsidP="00A12D44">
      <w:pPr>
        <w:pStyle w:val="TextoNormal"/>
      </w:pPr>
    </w:p>
    <w:p w:rsidR="00A12D44" w:rsidRDefault="00A12D44" w:rsidP="00A12D44">
      <w:pPr>
        <w:pStyle w:val="TextoNormal"/>
      </w:pPr>
      <w:r>
        <w:t>Publíquese en los «Boletines Oficiales» del Estado, del País Vasco y de la Generalidad de Cataluña.</w:t>
      </w:r>
    </w:p>
    <w:p w:rsidR="00A12D44" w:rsidRDefault="00A12D44" w:rsidP="00A12D44">
      <w:pPr>
        <w:pStyle w:val="TextoNormal"/>
      </w:pPr>
      <w:r>
        <w:t>Madrid, a diecisiete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1" w:name="AUTO_1992_80"/>
      <w:r>
        <w:lastRenderedPageBreak/>
        <w:t>AUTO 80/1992, de 17 de marzo de 1992</w:t>
      </w:r>
    </w:p>
    <w:bookmarkEnd w:id="151"/>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ECLI:ES:TC:1992:80A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Declarando la extinción, por allanamiento del demandado; de los conflictos positivos de competencia 171/1990 y 179/1990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Abogado de la Generalidad de Cataluña, en representación del Consejo Eje- cutivo, mediante escrito presentado en este Tribunal el 19 de enero de 1990, planteó conflicto positivo de competencia en relación con la resolución de 1 de septiembre de 1989 de la Dirección General de Trabajo del Ministerio de Trabajo y Seguridad Social, por la que se homologa con el número 2888 el ocular de protección contra impactos, marca «Optor», modelo 104, fabricado y presentado por la empresa «Optor, S. A.», de Barcelona. Dicho conflicto fue registrado con el número 171/90. </w:t>
      </w:r>
    </w:p>
    <w:p w:rsidR="00A12D44" w:rsidRDefault="00A12D44" w:rsidP="00A12D44">
      <w:pPr>
        <w:pStyle w:val="TextoNormal"/>
      </w:pPr>
      <w:r>
        <w:t>Por providencia de la Sección Tercera del Pleno de este Tribunal, de 29 de enero de 1990, se tuvo por planteado el conflicto positivo de competencia y se acordó dar traslado de la demanda y documentos presentados al Gobierno, según establece el art. 82.2 de la LOTC y publicar la incoación del conflicto en el «Boletín Oficial del Estado» y en el «Diario Oficial de la Generalidad de Cataluña».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Abogado de la Comunidad Autónoma del País Vasco, en representación del Gobierno Vasco, mediante escrito presentado el 22 de enero de 1990 en este Tribunal, planteó conflicto positivo de competencia, en relación con la resolución dictada el 21 de julio de 1989 por la Dirección General de Trabajo, por la que se homologa con el núm. 2862 la herramienta manual aislada llave carraca con cuadrado macho conductor de 1/2" (12,5 mm), marca «Palmera», referencia 656.080, fabricada y representada por la firma «Palmera Industrial, S. A.», de Irún (Guipúzcoa). Se registró con el número 179/90. </w:t>
      </w:r>
    </w:p>
    <w:p w:rsidR="00A12D44" w:rsidRDefault="00A12D44" w:rsidP="00A12D44">
      <w:pPr>
        <w:pStyle w:val="TextoNormal"/>
      </w:pPr>
      <w:r>
        <w:t>Por providencia de la Sección Tercera del Pleno de este Tribunal, de 29 de enero de 1990, se admitió a trámite el conflicto planteado y se acordó dar traslado de la demanda y documentos presentados al Gobierno, según establece el art. 82.2 de la LOTC, y publicar la incoación del conflicto en los «Boletines Oficiales» del Estado y del País Vasco.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Por escrito presentado el 9 de febrero de 1990, comparece el Abogado del Estado en ambos conflictos, solicitando la acumulación por existir conexión objetiva en los mismos. </w:t>
      </w:r>
    </w:p>
    <w:p w:rsidR="00A12D44" w:rsidRDefault="00A12D44" w:rsidP="00A12D44">
      <w:pPr>
        <w:pStyle w:val="TextoNormal"/>
      </w:pPr>
      <w:r>
        <w:lastRenderedPageBreak/>
        <w:t>Previa audiencia del Consejo Ejecutivo de la Generalidad de Cataluña y del Gobierno Vasco, se acordó mediante Auto de 13 de marzo de 1990, la acumulación de ambos conflictos, concediéndose nuevo plazo al Abogado del Estado para formulación de alegaciones, que fueron formuladas mediante escrito de 29 de marzo de 1990, en las que se solicitó que previos los trámites legales pertinentes se dicte en su día sentencia resolutoria de los conflictos.</w:t>
      </w:r>
    </w:p>
    <w:p w:rsidR="00A12D44" w:rsidRDefault="00A12D44" w:rsidP="00A12D44">
      <w:pPr>
        <w:pStyle w:val="TextoNormal"/>
      </w:pPr>
    </w:p>
    <w:p w:rsidR="00A12D44" w:rsidRDefault="00A12D44" w:rsidP="00A12D44">
      <w:pPr>
        <w:pStyle w:val="TextoNormal"/>
      </w:pPr>
      <w:r w:rsidRPr="00A12D44">
        <w:rPr>
          <w:rStyle w:val="NumeroAFNegritaCaracter"/>
        </w:rPr>
        <w:t>4</w:t>
      </w:r>
      <w:r>
        <w:t>. Por escrito del Abogado del Estado recibido en este Tribunal el 19 de febrero último se manifiesta que debidamente autorizado por el Gobierno (acuerdos del Consejo de Ministros de 14 de febrero de 1992, cuyas certificaciones se acompañan) se allana en los conflictos positivos de competencia acumulados números 171/90 y 179/90, promovidos, respectivamente, por el Consejo Ejecutivo de la Generalidad de Cataluña y por el Gobierno Vasco de 1989 en materia de homologación.</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Por providencia de 20 de febrero de 1992, la Sección, en los asuntos acumulados, acuerda incorporar a los autos el escrito de 19 de febrero de 1992 que con la documentación adjunta, ha sido presentado por el Ahogado del Estado, de lo que se dio traslado a las representaciones procesales de los promovientes, Consejo Ejecutivo de la Generalidad de Cataluña y Gobierno Vasco, para que, en el plazo común de diez días, expusieran lo que estimasen procedente acerca del allanamiento en ambos conflictos acumulados que efectúa el Abogado del Estado en aquel escrito. </w:t>
      </w:r>
    </w:p>
    <w:p w:rsidR="00A12D44" w:rsidRDefault="00A12D44" w:rsidP="00A12D44">
      <w:pPr>
        <w:pStyle w:val="TextoNormal"/>
      </w:pPr>
      <w:r>
        <w:t xml:space="preserve">El Gobierno Vasco, en escrito recibido el 29 de febrero siguiente, manifiesta su conformidad con el allanamiento formulado por el Gobierno respecto del conflicto positivo de competencia número 179/90, por lo que procede declarar terminado el mismo. </w:t>
      </w:r>
    </w:p>
    <w:p w:rsidR="00A12D44" w:rsidRDefault="00A12D44" w:rsidP="00A12D44">
      <w:pPr>
        <w:pStyle w:val="TextoNormal"/>
      </w:pPr>
      <w:r>
        <w:t>El Consejo Ejecutivo de la Generalidad de Cataluña, en escrito recibido el 9 de marzo, manifiesta que muestra su conformidad con la petición de allanamiento formulada por el Abogado del Estado en relación con el conflicto positivo de competencia número 171190, en tanto que supone el reconocimiento de la competencia de la Generalidad de Cataluña en el punto que fue controvertido, por lo que procede dar por finalizado el presente conflicto.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coripetencia en la medida y hasta tanto se trate de una competencia controvertida» (STC 119/1986, fundamento jurídico 3. , y ATC 1239/1988). Y, como señalamos en las mencionadas resoluciones, tal pronunciamiento deberá ser en forma de Auto. por analogía con lo previsto para la figura paralela de la renuncia del actor en el art. 86.1 de la LOTC.</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En el presente caso, el allanamiento formulado por el Abogado del Estado, debidamente autorizado por el Gobierno de la Nación, en relación con los conflictos positivos de competencia núms. 171/90 y 179/90, promovidos por el Consejo Ejecutivo de la Generalidad de Cataluña y el Gobierno Vasco, comporta efectivamente la desaparición del objeto de dichos procesos constitucionales, porque ya no existe controversia, en concreto, sobre la titularidad de la competencia para dictar las resoluciones objeto de los conflictos. Así lo han entendido los promovientes de los conflictos, que no se oponen a la terminación de los mismos en virtud de la desaparición sobrevenida de la controversia manifestada en el allanamiento.</w:t>
      </w:r>
    </w:p>
    <w:p w:rsidR="00A12D44" w:rsidRDefault="00A12D44" w:rsidP="00A12D44">
      <w:pPr>
        <w:pStyle w:val="TextoNormal"/>
      </w:pPr>
      <w:r>
        <w:t>Al no existir ya, como se ha expuesto, controversia alguna sobre la titularidad de la competencia, procede tan sólo declarar finalizados los procesos, por desaparición de su objeto, en virtud del allanamiento.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Constitucional acuerda tener por allanado al Gobierno de la Nación y declarar finalizados, por desaparición de su objeto, los conflictos positivos de competencia núms. 171/90 y 179/90, planteados por el Consejo</w:t>
      </w:r>
    </w:p>
    <w:p w:rsidR="00A12D44" w:rsidRDefault="00A12D44" w:rsidP="00A12D44">
      <w:pPr>
        <w:pStyle w:val="TextoNormal"/>
      </w:pPr>
      <w:r>
        <w:t>Ejecutivo de la Generalidad de Cataluña y el Gobierno Vasco.</w:t>
      </w:r>
    </w:p>
    <w:p w:rsidR="00A12D44" w:rsidRDefault="00A12D44" w:rsidP="00A12D44">
      <w:pPr>
        <w:pStyle w:val="TextoNormal"/>
      </w:pPr>
    </w:p>
    <w:p w:rsidR="00A12D44" w:rsidRDefault="00A12D44" w:rsidP="00A12D44">
      <w:pPr>
        <w:pStyle w:val="TextoNormal"/>
      </w:pPr>
      <w:r>
        <w:t>Publíquese en los «Boletines Oficiales» del Estado, de la Generalidad de Cataluña y del País Vasco.</w:t>
      </w:r>
    </w:p>
    <w:p w:rsidR="00A12D44" w:rsidRDefault="00A12D44" w:rsidP="00A12D44">
      <w:pPr>
        <w:pStyle w:val="TextoNormal"/>
      </w:pPr>
      <w:r>
        <w:t>Madrid, a diecisiete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2" w:name="AUTO_1992_81"/>
      <w:r>
        <w:lastRenderedPageBreak/>
        <w:t>AUTO 81/1992, de 17 de marzo de 1992</w:t>
      </w:r>
    </w:p>
    <w:bookmarkEnd w:id="152"/>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ECLI:ES:TC:1992:81A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Levantando la suspensión, previamente acordada, de determinados preceptos de la Ley del Parlamento de Cataluña 16/1991, de lo de julio, en el recurso de inconstitucionalidad 2.091/1991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Abogado del Estado, en representación del Presidente del Gobierno, mediante escrito presentado en este Tribunal el 18 de octubre de 1991, planteó recurso de inconstitucionalidad contra los arts. 15.1 b), 18 y 23 de la Ley del Parlamento de Cataluña 16/1991, de 10 de julio, de los Policías Locales de la Comunidad de Cataluña, con invocación expresa del art. 161.2 de la Constitución al objeto de que fuese ordenada la suspensión de los preceptos impugnados. </w:t>
      </w:r>
    </w:p>
    <w:p w:rsidR="00A12D44" w:rsidRDefault="00A12D44" w:rsidP="00A12D44">
      <w:pPr>
        <w:pStyle w:val="TextoNormal"/>
      </w:pPr>
      <w:r>
        <w:t>Por providencia de la Sección Segunda de este Tribunal, de 28 de octubre de 1991, se tuvo por planteado el recurso y se dio traslado de la demanda y documentos presentados, conforme establece el art. 34.1 de la LOTC, al Congreso de los Diputados, Senado, Parlamento y Consejo Ejecutivo de la Generalidad de Cataluña se comunicó a estos dos últimos la suspensión de la vigencia y aplicación de los preceptos impugnados de la citada Ley 16/1991, de 10 de julio, del Parlamento de Cataluña, según dispone el art. 30 de la LOTC, y se publicó la formalización del recurso y la suspensión acordada en el «Boletín Oficial del Estado» y en el «Diario Oficial de Cataluña».</w:t>
      </w:r>
    </w:p>
    <w:p w:rsidR="00A12D44" w:rsidRDefault="00A12D44" w:rsidP="00A12D44">
      <w:pPr>
        <w:pStyle w:val="TextoNormal"/>
      </w:pPr>
    </w:p>
    <w:p w:rsidR="00A12D44" w:rsidRDefault="00A12D44" w:rsidP="00A12D44">
      <w:pPr>
        <w:pStyle w:val="TextoNormal"/>
      </w:pPr>
      <w:r w:rsidRPr="00A12D44">
        <w:rPr>
          <w:rStyle w:val="NumeroAFNegritaCaracter"/>
        </w:rPr>
        <w:t>2</w:t>
      </w:r>
      <w:r>
        <w:t>. El Consejo Ejecutivo de la Generalidad de Cataluña y el Parlamento de Cataluña, mediante escritos recibidos el 21 y 27 de noviembre de 1991, respectivamente, comparecieron y formularon alegaciones en solicitud de que en su día se dicte Sentencia por la que con desestimación de la petición adversa, se declara la constitucionalidad de los preceptos objeto de este recurso.</w:t>
      </w:r>
    </w:p>
    <w:p w:rsidR="00A12D44" w:rsidRDefault="00A12D44" w:rsidP="00A12D44">
      <w:pPr>
        <w:pStyle w:val="TextoNormal"/>
      </w:pPr>
    </w:p>
    <w:p w:rsidR="00A12D44" w:rsidRDefault="00A12D44" w:rsidP="00A12D44">
      <w:pPr>
        <w:pStyle w:val="TextoNormal"/>
      </w:pPr>
      <w:r w:rsidRPr="00A12D44">
        <w:rPr>
          <w:rStyle w:val="NumeroAFNegritaCaracter"/>
        </w:rPr>
        <w:t>3</w:t>
      </w:r>
      <w:r>
        <w:t>. Por providencia de 13 de febrero de 1992, la Sección Segunda de este Tribunal acordó oír a las partes personadas para que. en el plazo común de cinco días, pudieran exponer lo que estimasen procedente acerca del mantenimiento o levantamiento de dicha suspensión.</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4</w:t>
      </w:r>
      <w:r>
        <w:t xml:space="preserve">. El Abogado del Estado, en escrito recibido el 22 de febrero último, se opone al levantamiento de la suspensión de la eficacia de los preceptos impugnados, y formula las siguientes alegaciones: </w:t>
      </w:r>
    </w:p>
    <w:p w:rsidR="00A12D44" w:rsidRDefault="00A12D44" w:rsidP="00A12D44">
      <w:pPr>
        <w:pStyle w:val="TextoNormal"/>
      </w:pPr>
      <w:r>
        <w:t xml:space="preserve">La extensión de los servicios de la policía local más allá de su propio municipio en supuestos distintos de los previstos en la Ley Orgánica de Fuerzas y Cuerpos de Seguridad del Estado podría originar disfunciones derivadas de la concurrencia en las actuaciones policiales de las Fuerzas y Cuerpos de Seguridad del Estado y Cuerpos de Policía Local de un municipio. Incluso los conflictos pudieran derivarse de la intervención en un determinado asunto de policías locales pertenecientes a municipios distintos. </w:t>
      </w:r>
    </w:p>
    <w:p w:rsidR="00A12D44" w:rsidRDefault="00A12D44" w:rsidP="00A12D44">
      <w:pPr>
        <w:pStyle w:val="TextoNormal"/>
      </w:pPr>
      <w:r>
        <w:t xml:space="preserve">El art. 15, párrafo 1, apartado b), de la Ley recurrida permite que la coordinación llevada a cabo por la Generalidad de Cataluña pueda extenderse a «establecer los medios e instrumentos que posibiliten un sistema de información recíproca». El alcance autonómico de este sistema -cuya coordinación o integración con el sistema de información de las Fuerzas y Cuerpos de Seguridad del Estado no prevé- representa un desbordamiento del ámbito municipal propio de las policías locales con el mismo riesgo de duplicidades, disfunciones y controversias. Mediante este sistema autonómico de información, los datos sobre un ciudadano en posesión de la policía local de un municipio del sur de Cataluña podrían dar lugar a actuaciones de la policía local de un municipio del norte de la Comunidad Autónoma, lo que pone de manifiesto, con toda plasticidad, la extralimitación de la esfera municipal. </w:t>
      </w:r>
    </w:p>
    <w:p w:rsidR="00A12D44" w:rsidRDefault="00A12D44" w:rsidP="00A12D44">
      <w:pPr>
        <w:pStyle w:val="TextoNormal"/>
      </w:pPr>
      <w:r>
        <w:t xml:space="preserve">En cuanto al art. 18 impugnado, se pregunta el Abogado del Estado qué eficacia produce la aplicación de esta norma. Señala que determina el desplazamiento de la normativa estatal que recoge los estándares mínimos de seguridad en la materia. Nada se dice respecto de la aplicación transitoria de la normativa del Estado en tanto no se dicte el reglamento anunciado. Por otra parte, las medidas de seguridad que recoja el próximo reglamento autonómico pueden ser inferiores a las previstas en las disposiciones estatales reguladoras del régimen de tenencia, uso o conservación de las armas. El levantamiento de la suspensión de este artículo puede determinar la desaparición de los estándares mínimos de seguridad en materia tan delicada como la del depósito, administración, seguridad y uso indebido de armas regulados en la legislación del Estado en la Comunidad Autónoma de Cataluña y su sustitución, en el futuro, por otros que pueden ser menos rigurosos y que pueden originar perjuicios de todo orden imposibles de reparar si se declara la inconstitucionalidad del art. 18 de la Ley catalana. </w:t>
      </w:r>
    </w:p>
    <w:p w:rsidR="00A12D44" w:rsidRDefault="00A12D44" w:rsidP="00A12D44">
      <w:pPr>
        <w:pStyle w:val="TextoNormal"/>
      </w:pPr>
      <w:r>
        <w:t xml:space="preserve">El art. 23.1 de la Ley objeto del recurso permite a los municipios suscribir convenios con la Consejería de Gobernación para que la policía autonómica pueda realizar actuaciones concretas y de cooperación propias de la policía local. La actuación de la policía autonómica en estos casos no impediría que, en aplicación de la Ley Orgánica 2/1986, de 13 de marzo, de Fuerzas y Cuerpos de Seguridad (art 51.2), los Guardias Vigilantes, Agentes o Alguaciles que desempeñen funciones de custodia de bienes, edificios o instalaciones realicen, bajo la autoridad municipal, las funciones propias de los policías locales. En este caso existiría una duplicidad de agentes realizando las mismas funciones e, incluso, una duplicidad de autoridades (autonómica y municipal) que dirigirían su actuación. </w:t>
      </w:r>
    </w:p>
    <w:p w:rsidR="00A12D44" w:rsidRDefault="00A12D44" w:rsidP="00A12D44">
      <w:pPr>
        <w:pStyle w:val="TextoNormal"/>
      </w:pPr>
      <w:r>
        <w:t xml:space="preserve">El art. 23.2 de la Ley posibilita que la autoridad local solicite del Departamento de Gobernación el apoyo de la policía autonómica sin recoger mecanismo de coordinación. La aplicación de este precepto puede generar duplicidad y disfunciones. Además, las plantillas de los Cuerpos de Policía Autonómica y de Policías Locales se han determinado en función del cumplimiento de determinados fines. La asunción por la policía autonómica de </w:t>
      </w:r>
      <w:r>
        <w:lastRenderedPageBreak/>
        <w:t xml:space="preserve">funciones propias de las policías locales si se levanta la suspensión del precepto, haría que aquélla desatendiera sus propios fines, en perjuicio de la seguridad de los ciudadanos. </w:t>
      </w:r>
    </w:p>
    <w:p w:rsidR="00A12D44" w:rsidRDefault="00A12D44" w:rsidP="00A12D44">
      <w:pPr>
        <w:pStyle w:val="TextoNormal"/>
      </w:pPr>
      <w:r>
        <w:t xml:space="preserve">Por último, el art. 23.2 de la Ley permite «en caso de necesidad» a los municipios limítrofes suscribir acuerdos de cooperación entre sus policías. La actuación de las policías locales fuera del ámbito de sus municipios puede originar conflictos, controversias, duplicidades y disfunciones a las actuaciones de los Cuerpos Policiales que redundarían en perjuicio de la seguridad pública y serían de difícil reparación en caso de declararse inconstitucionales los preceptos. Ello condujo al Tribunal en otras ocasiones similares, «atendiendo a las repercusiones negativas que podrían producirse para los intereses públicos, en cuestión tan delicada que, por lo demás, ya viene cubierta por las Fuerzas y Cuerpos de Seguridad del Estado», a mantener la suspensión. </w:t>
      </w:r>
    </w:p>
    <w:p w:rsidR="00A12D44" w:rsidRDefault="00A12D44" w:rsidP="00A12D44">
      <w:pPr>
        <w:pStyle w:val="TextoNormal"/>
      </w:pPr>
      <w:r>
        <w:t>Termina el Ahogado del Estado señalando que del mantenimiento de la suspensión no se sigue un perjuicio notorio para el bien jurídico que la Comunidad Autónoma pretende proteger, toda vez que por una parte las Fuerzas y Cuerpos de Seguridad del Estado deben cubrir los servicios de seguridad supramunicipales y de información y la aplicación de la normativa del Estado en materia de armas permitirá que se respeten los estándares mínimos de seguridad. La suspensión de la eficacia de los preceptos impugnados, si no prosperase el recurso de inconstitucionalidad, determinará, a lo sumo, un mero retraso en su entrada en vigor.</w:t>
      </w:r>
    </w:p>
    <w:p w:rsidR="00A12D44" w:rsidRDefault="00A12D44" w:rsidP="00A12D44">
      <w:pPr>
        <w:pStyle w:val="TextoNormal"/>
      </w:pPr>
    </w:p>
    <w:p w:rsidR="00A12D44" w:rsidRDefault="00A12D44" w:rsidP="00A12D44">
      <w:pPr>
        <w:pStyle w:val="TextoNormal"/>
      </w:pPr>
      <w:r w:rsidRPr="00A12D44">
        <w:rPr>
          <w:rStyle w:val="NumeroAFNegritaCaracter"/>
        </w:rPr>
        <w:t>5</w:t>
      </w:r>
      <w:r>
        <w:t>. El Parlamento de Cataluña, en escrito que se recibe el 24 de febrero último, dice que se ratifica en su escrito de alegaciones y, como sea que en el mismo se sostenía la constitucionalidad de los preceptos impugnados, considera que no debe prorrogarse la suspensión y por tanto, de conformidad con el art. 77 de la Ley Orgánica del Tribunal Constitucional, entiende que debería levantarse.</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Consejo Ejecutivo de la Generalidad, en escrito recibido el 25 de febrero último, formula alegaciones en solicitad del levantamiento de la suspensión acordada en su día. Señala el Abogado de la Generalidad que la norma cuya suspensión se revisa en este caso es una Ley del Parlamento de Cataluña y, por consiguiente, en tanto que se trata de una disposición general emanada del Parlamento de Cataluña, órgano cuya voluntad tiene una conexión directa con la voluntad popular, la posibilidad de que sea mantenida la suspensión de los preceptos que han sido impugnados ha de ser contemplada como verdaderamente excepcional y únicamente procedente si la parte actora llegase a demostrar que de la vigencia de esos preceptos produciría unos perjuicios muy graves al interés general o a terceros afectados, Y difícilmente el Abogado del Estado podrá demostrar ese extremo, puesto que el contenido dispositivo de los preceptos objeto de impugnación únicamente añadía unas previsiones de tipo general en orden a facilitar los mecanismos de cooperación y coordinación entre las policías locales y entre las locales y la autonómica de Cataluña. Y de la previsión legal de mecanismos de cooperación o coordinación interadministrativas, difícilmente cabe imaginar que pueda dimanar perjuicio alguno. </w:t>
      </w:r>
    </w:p>
    <w:p w:rsidR="00A12D44" w:rsidRDefault="00A12D44" w:rsidP="00A12D44">
      <w:pPr>
        <w:pStyle w:val="TextoNormal"/>
      </w:pPr>
      <w:r>
        <w:t xml:space="preserve">Así, el 15.1 b) de la Ley enuncia la posibilidad de establecer instrumentos y medios que posibiliten un sistema de información recíproca de las policías locales. Pues bien, del intercambio de información entre las policías locales o incluso de las policías locales con la autonómica, mal puede derivar perjuicio alguno para nadie. Antes al contrario, la única forma de optimizar los siempre escasos recursos humanos y materiales disponibles por las policías locales, y poder desempeñar con un mínimo de eficacia la función que les corresponde, es precisamente poniendo a su disposición, las modernas tecnologías que les per- </w:t>
      </w:r>
      <w:r>
        <w:lastRenderedPageBreak/>
        <w:t xml:space="preserve">mitirán comunicarse entre sí y acceder a información de uso común. De hecho estos instrumentos y medios de información recíproca se podrían concretar. entre otros elementos. en la red de transmisiones y el banco de datos previsto por el art. 21 de la propia Ley de Policías Locales; artículo éste que no fue impugnado en el recurso de inconstitucionalidad planteado y que no se encuentra suspendido. </w:t>
      </w:r>
    </w:p>
    <w:p w:rsidR="00A12D44" w:rsidRDefault="00A12D44" w:rsidP="00A12D44">
      <w:pPr>
        <w:pStyle w:val="TextoNormal"/>
      </w:pPr>
      <w:r>
        <w:t xml:space="preserve">A su vez, el art. 18 de la Ley únicamente es una habilitación legal para que por la Administración de la Generalidad se determinen reglamentariamente determinadas condiciones. Presumir que de ello pueden derivar perjuicios para el interés general o situaciones irreversibles, supondría presumir una actuación ilegítima por parte de la Autoridad autonómica que haya de dictar en su día los reglamentos en cuestión, cuando la presunción debe hacerse siempre en sentido contrario. Además, de la habilitación para normas reglamentarias en ningún caso pueden derivar situaciones irreversibles, puesto que siempre existen los cauces legales de reacción frente a tales reglamentos. </w:t>
      </w:r>
    </w:p>
    <w:p w:rsidR="00A12D44" w:rsidRDefault="00A12D44" w:rsidP="00A12D44">
      <w:pPr>
        <w:pStyle w:val="TextoNormal"/>
      </w:pPr>
      <w:r>
        <w:t xml:space="preserve">Pero es que incluso si se entra a examinar cuál puede ser el futuro contenido del reglamento a aprobar, ese futuro reglamento tiene su perfecto encaje en la competencia de coordinación de las policías locales que estatutariamente tiene asumida la Generalidad de Cataluña, y no es éste el momento procesal oportuno para insistir en ello, pero no cabe esperar que de una norma de coordinación y de homogeneización de medios materiales, y de medidas de seguridad en el uso, depósito y custodia de armamento, siempre respetuosa con la legislación estatal aplicable, puedan derivar perjuicios; máxime si, como es el caso, no existen actualmente esas normas generales de seguridad. </w:t>
      </w:r>
    </w:p>
    <w:p w:rsidR="00A12D44" w:rsidRDefault="00A12D44" w:rsidP="00A12D44">
      <w:pPr>
        <w:pStyle w:val="TextoNormal"/>
      </w:pPr>
      <w:r>
        <w:t xml:space="preserve">Por último, también es preciso admitir que de la vigencia y aplicación del art. 23 de la Ley de Policías Locales no dimanará perjuicio alguno al interés general. En realidad, este precepto se limita a admitir la posibilidad de que los municipios establezcan convenios de cooperación de sus respectivas policías locales entre sí o con la policía autonómica, y que, en determinadas circunstancias extraordinarias, la policía autonómica pueda prestar su apoyo en actuaciones concretas y temporales. Pues bien, puesto que el concepto de «Cooperación interadministrativa» es plenamente antitético del de «perjuicio al interés general», ello hace innecesario cualquier otro comentario en ese sentido. </w:t>
      </w:r>
    </w:p>
    <w:p w:rsidR="00A12D44" w:rsidRDefault="00A12D44" w:rsidP="00A12D44">
      <w:pPr>
        <w:pStyle w:val="TextoNormal"/>
      </w:pPr>
      <w:r>
        <w:t>Afirma además el Abogado de la Generalidad, que estima necesario el levantamiento de la suspensión que pesa sobre los preceptos objeto de impugnación, por cuanto de la misma dimanan graves perjuicios para la Generalidad de Cataluña, para el interés general y para terceros. Dice que basta con pensar que en la actualidad se encuentran preparados, pero sin poderse concluir y formalizar, debido a la suspensión de estos preceptos legales, un gran número de convenios de cooperación con el objeto que la policía autonómica dé soporte a las policías locales en situaciones extraordinarias, o de que esas policías locales actúen coordinadamente ante acontecimientos que afectan a varios municipios limítrofes. Se trata en realidad de situaciones que hasta la actualidad se habían venido solucionando pacíficamente mediante la celebración de esos convenios, como por ejemplo, la cobertura policial de acontecimientos multitudinarios como las procesiones de Corpus Christi en el municipio de Sitges y la celebración de los carnavales en el de Vilanova i la Geltrú, o el refuerzo de los servicios policiales en los municipios turísticos de la Costa Brava durante los meses de julio y agosto. Pero además, este mecanismo de los convenios interadministrativos resulta especialmente indicado para solucionar buena parte de las situaciones que se pueden plantear durante la celebración de los Juegos Olímpicos de 1992, en los 15 municipios de Cataluña que han sido designados como subsedes olímpicas y que han de acoger la celebración de buena parte de las competiciones, y ha de tenerse en cuenta que un acontecimiento de la magnitud y proyección internacional de unos Juegos Olímpicos re</w:t>
      </w:r>
      <w:r>
        <w:lastRenderedPageBreak/>
        <w:t>quiere unas condiciones de seguridad y eficacia extraordinarias y, por ello, enfrenta a las policías locales a unos compromisos de los que únicamente podrán salir airosas si optimizan sus propios recursos y si además pueden contar con la cooperación de los demás Cuerpos de Policía, es decir, también con la autonómica.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Sabido es que en nuestro sistema procesal constitucional, la admisión de un recurso de inconstitucionalidad no suspende la vigencia ni la aplicación de la ley, excepto en el caso en que el Gobierno se ampare en lo dispuesto por el art. 161.2 de la C.E. para impugnar, por medio de su Presidente, leyes, disposiciones normativas o actos con fuerza de ley de las Comunidades Autónomas (art. 30 de la Ley Orgánica del Tribunal Constitucional). Este efecto suspensivo -ha dicho este Tribunal Constitucional reiteradamente es un privilegio procesal establecido en beneficio del Gobierno de la Nación en cuanto supone una excepción al principio general que prima la vigencia y eficacia de las normas jurídicas.</w:t>
      </w:r>
    </w:p>
    <w:p w:rsidR="00A12D44" w:rsidRDefault="00A12D44" w:rsidP="00A12D44">
      <w:pPr>
        <w:pStyle w:val="TextoNormal"/>
      </w:pPr>
      <w:r>
        <w:t>En atención a ese carácter excepcional y privilegiado del citado efecto es lógico que, en el trance de mantener o levantar la medida, trámite que la LOTC prevé al transcurrir los cinco meses del Acuerdo del Tribunal, se tenga en cuenta, primero, ese principio general de eficacia de las leyes derivado de su presunción de constitucionalidad, restringiéndose por ello el mantenimiento de la suspensión, y después, para adoptar uno u otro criterio, valorar los perjuicios que puedan causarse al interés general o de terceros, evitándose en lo posible la producción de situaciones irreversibles que desnaturalizaren o eliminaren el efecto natural que haya de producir la resolución definitiva del proceso. De ahí también que este Tribunal haya tenido en cuenta las alegaciones y argumentos apuntados, cuidando asimismo, y a la vez, de no prejuzgar el fondo de la cuestión.</w:t>
      </w:r>
    </w:p>
    <w:p w:rsidR="00A12D44" w:rsidRDefault="00A12D44" w:rsidP="00A12D44">
      <w:pPr>
        <w:pStyle w:val="TextoNormal"/>
      </w:pPr>
    </w:p>
    <w:p w:rsidR="00A12D44" w:rsidRDefault="00A12D44" w:rsidP="00A12D44">
      <w:pPr>
        <w:pStyle w:val="TextoNormal"/>
      </w:pPr>
      <w:r w:rsidRPr="00A12D44">
        <w:rPr>
          <w:rStyle w:val="NumeroAFNegritaCaracter"/>
        </w:rPr>
        <w:t>2</w:t>
      </w:r>
      <w:r>
        <w:t>. En el caso presente se trata de una disposición general emanada del Parlamento de Cataluña (Ley 16/1991, de 10 de julio, de las Policías Locales), y en concreto de la impugnación de aquellos preceptos (arts. 15, 18 y 23) que se refieren a la coordinación de las policías locales, al alcance de esa coordinación en cuanto a los tipos de armas y a los convenios de cooperación de los municipios que no disponen de policía local con el Departamento de la Gobernación.</w:t>
      </w:r>
    </w:p>
    <w:p w:rsidR="00A12D44" w:rsidRDefault="00A12D44" w:rsidP="00A12D44">
      <w:pPr>
        <w:pStyle w:val="TextoNormal"/>
      </w:pPr>
      <w:r>
        <w:t>Para el Abogado del Estado, que se opone al levantamiento de la suspensión, la aplicación de estas normas puede ocasionar disfunciones, según se ha reseñado en los antecedentes de hecho. Para el Parlamente de Cataluña y el Consejo Ejecutivo de la Generalidad no se da ese efecto, ni se advierten los perjuicios o disfunciones que se denuncian; antes bien, suponen tales medidas legales un buen procedimiento de coordinación y armonización, que en nada contradice la legislación vigente ni el interés general, extremo éste muy digno de consideración ante la perspectiva de la celebración en Cataluña de los Juegos Olímpicos.</w:t>
      </w:r>
    </w:p>
    <w:p w:rsidR="00A12D44" w:rsidRDefault="00A12D44" w:rsidP="00A12D44">
      <w:pPr>
        <w:pStyle w:val="TextoNormal"/>
      </w:pPr>
      <w:r>
        <w:t>Cierto es que no son convincentes los temores que explicita el Abogado del Estado, de entidad inferior en todo caso a la mayor razonabilidad de los efectos beneficiosos que se aducen por la Comunidad Autónoma derivados de la aplicación -pendiente el proceso constitucional- de las normas cuestionadas.</w:t>
      </w:r>
    </w:p>
    <w:p w:rsidR="00A12D44" w:rsidRDefault="00A12D44" w:rsidP="00A12D44">
      <w:pPr>
        <w:pStyle w:val="TextoNormal"/>
      </w:pPr>
      <w:r>
        <w:t>No se aprecia, en efecto, y prima facie, el perjuicio o perjuicios. ni las contradicciones que se dicen, en el levantamiento de la suspensión, pues se trata de medidas de coordina</w:t>
      </w:r>
      <w:r>
        <w:lastRenderedPageBreak/>
        <w:t>ción y armonización que no traspasan sus propios límites, al menos en lo que hasta ahora, en esta frase procesal, se puede apreciar y sin perjuicio de lo que se resuelva en definitiva.</w:t>
      </w:r>
    </w:p>
    <w:p w:rsidR="00A12D44" w:rsidRDefault="00A12D44" w:rsidP="00A12D44">
      <w:pPr>
        <w:pStyle w:val="TextoNormal"/>
      </w:pPr>
      <w:r>
        <w:t>De otro lado, ya este Tribunal tuvo ocasión de pronunciarse en un supuesto análogo -por no decir idéntico- tal en el Auto 439/1990, de 18 de diciembre, también respecto de una ley -2/1990- de la Generalidad Valenciana de Coordinación de Policías Locales de dicha Comunidad. En dicha resolución se dijo (fundamento jurídico 3. ) que «los apartados d) y e) del art. 4.1 de la Ley impugnada se limitan a enumerar algunas de las funciones que corresponden al Consejo de la Generalidad en la coordinación de las Policías Locales, en relación con la creación de un marco en el que deberán desarrollarse el apoyo y la colaboración interpolicial y la creación de un sistema de intercomunicaciones policiales, cuestión ésta sobre la que el Abogado del Estado no argumenta que el levantamiento de la suspensión vaya a producir perjuicios a los intereses públicos, sino únicamente la duplicidad con las llevadas a cabo por el Gobierno de la Nación. Pero esta alegación, además de recaer sobre el fondo del recurso planteado, sobre el que no podemos entrar en este trámite, no parece argumento suficiente para ratificar el mantenimiento de la suspensión, puesto que de su levantamiento no sólo no se derivan perjuicios para los particulares, ni del apoyo, colaboración y comunicación interpolicial se alcanza a ver que puedan derivarse perjuicios para la seguridad pública, más bien al contrario».</w:t>
      </w:r>
    </w:p>
    <w:p w:rsidR="00A12D44" w:rsidRDefault="00A12D44" w:rsidP="00A12D44">
      <w:pPr>
        <w:pStyle w:val="TextoNormal"/>
      </w:pPr>
      <w:r>
        <w:t>Estas razones, aplicadas a situaciones normativas semejantes, son por ello dignas de tenerse en cuenta en el caso presente y, en consecuencia, han de provocar la misma solución que se adoptó en el citado caso, resuelto por el ATC 439/1990.</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acuerda levantar la suspensión de la aplicación de los arts. 15.1 b), 18 y 23 de la Ley del Parlamento de Cataluña 16/1991, de 10 de julio, de las Policías Locales.</w:t>
      </w:r>
    </w:p>
    <w:p w:rsidR="00A12D44" w:rsidRDefault="00A12D44" w:rsidP="00A12D44">
      <w:pPr>
        <w:pStyle w:val="TextoNormal"/>
      </w:pPr>
    </w:p>
    <w:p w:rsidR="00A12D44" w:rsidRDefault="00A12D44" w:rsidP="00A12D44">
      <w:pPr>
        <w:pStyle w:val="TextoNormal"/>
      </w:pPr>
      <w:r>
        <w:t>Madrid, a diecisiete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3" w:name="AUTO_1992_82"/>
      <w:r>
        <w:lastRenderedPageBreak/>
        <w:t>AUTO 82/1992, de 23 de marzo de 1992</w:t>
      </w:r>
    </w:p>
    <w:bookmarkEnd w:id="153"/>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ECLI:ES:TC:1992:82A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imponer sanción disciplinaria de apercibimiento al Letrado que intervino en el recurso de amparo 1.974/1990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4" w:name="AUTO_1992_83"/>
      <w:r>
        <w:lastRenderedPageBreak/>
        <w:t>AUTO 83/1992, de 23 de marzo de 1992</w:t>
      </w:r>
    </w:p>
    <w:bookmarkEnd w:id="154"/>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ECLI:ES:TC:1992:83A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571/1991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Don Paulino Monsalve Gurrea, Procurador de los Tribunales y de don Vicente Vaya Montaña, interpuso recurso de amparo contra el Auto del Juzgado de Instrucción núm. 1 de Gandía, de 30 de enero de 1991. por el que se declara la apertura del juicio oral en procedimiento abreviado por supuestos delitos de falsedad en documento público y estafa.</w:t>
      </w:r>
    </w:p>
    <w:p w:rsidR="00A12D44" w:rsidRDefault="00A12D44" w:rsidP="00A12D44">
      <w:pPr>
        <w:pStyle w:val="TextoNormal"/>
      </w:pPr>
    </w:p>
    <w:p w:rsidR="00A12D44" w:rsidRDefault="00A12D44" w:rsidP="00A12D44">
      <w:pPr>
        <w:pStyle w:val="TextoNormal"/>
      </w:pPr>
      <w:r w:rsidRPr="00A12D44">
        <w:rPr>
          <w:rStyle w:val="NumeroAFNegritaCaracter"/>
        </w:rPr>
        <w:t>2</w:t>
      </w:r>
      <w:r>
        <w:t>. La demanda trae origen en los siguientes antecedentes de hecho: el recurrente afirma que en el procedimiento abreviado de referencia (núm. 596/89), seguido ante el Juzgado de Instrucción núm. 1 de Gandía por supuestos delitos de falsedad en documento público y estafa, declaró como testigo el 31 de mayo de 1990, viéndose luego sorprendido por el Auto de apertura del juicio oral, de fecha 30 de enero de 1991, en el que se le tenía por acusado, en virtud de la acusación particular, sin que hasta entonces en momento alguno hubiera sido citado ni tenido por imputado. En la mencionada resolución se dispuso, además, que prestasen una fianza los acusados, para asegurar las responsabilidades civiles, de 7.200.000 pesetas, de forma conjunta y solidaria, y se les concedió un plazo para que comparecieran en la causa con Abogado y Procurador.</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solicitante de amparo entiende que la actuación judicial descrita transgrede sus derechos fundamentales a la prohibición constitucional de indefensión (art. 24.1) y a un proceso con todas las garantías (art. 24.2). Todo ello como consecuencia de que, en el citado Auto de apertura del juicio oral, el Juez de Instrucción le tuvo, sorprendentemente, por acusado sin que previamente hubiera tenido el status de imputado en la fase de instrucción -en vez de sólo testigo- y fuera sujeto pasivo del procedimiento y, por tanto, pudiera proponer pruebas, argumentar en su defensa y contradecir con igualdad de armas la posición acusatoria, de modo que el Instructor pudiera adoptar alguna de las resoluciones que prevé el art. 789.5 de la Ley procesal penal, tras haberse producido la necesaria igualdad entre las partes. En definitiva, el recurrente que ha declarado únicamente como testigo se vio obligado a sufrir las medidas cautelares previstas en el Auto recurrido y a soportar la llamada «pena del banquillo», sin posibilidad previa al-una de defensa. En beneficio de su tesis, se invoca en la demanda la STC 186/1990 referida a la interpretación conforme a la Constitución que corresponde hacer del art. 790 de la L.E.Crim., en vez de la seguida por el Juez de Instrucción de referencia. No puede, en suma, admitirse -se denuncia que el </w:t>
      </w:r>
      <w:r>
        <w:lastRenderedPageBreak/>
        <w:t xml:space="preserve">imputado sólo pueda intervenir como tal tras los escritos de acusación y apertura del juicio oral. </w:t>
      </w:r>
    </w:p>
    <w:p w:rsidR="00A12D44" w:rsidRDefault="00A12D44" w:rsidP="00A12D44">
      <w:pPr>
        <w:pStyle w:val="TextoNormal"/>
      </w:pPr>
      <w:r>
        <w:t>Por otrosí se solicita la suspensión de la ejecución de la resolución judicial recaída.</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18 de febrero de 1991, la Sección Primera de este Tribunal, a tenor de lo dispuesto en el art. 50.3 de la Ley Orgánica del Tribunal Constitucional (en adelante, LOTC), concedió un plazo de diez días al Ministerio Fiscal y al recurrente para que alegasen lo que estimasen pertinente en relación con la posible existencia de los siguientes motivos de inadmisión: a) haber desestimado este Tribunal en el fondo recursos en supuestos sustancialmente iguales [art. 50.1 d) de la LOTC], esto es, en las SSTC 135/1989; 21, 22 y 23/1991 y 54/1991; b) carecer la demanda de contenido constitucional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Ministerio Fiscal interesa que se inadmita el recurso al concurrir ambas causas de inadmisión puestas de manifiesto en la providencia precisada. Señala el Ministerio Público que el objeto del recurso radica en la denuncia de una «sorpresiva» apertura del juicio oral para quien sólo declaré como testigo en la fase de instrucción. </w:t>
      </w:r>
    </w:p>
    <w:p w:rsidR="00A12D44" w:rsidRDefault="00A12D44" w:rsidP="00A12D44">
      <w:pPr>
        <w:pStyle w:val="TextoNormal"/>
      </w:pPr>
      <w:r>
        <w:t xml:space="preserve">A la vista de este planteamiento, es de aplicación a los hechos la doctrina recogida en la STC 135/1989 en su fundamento jurídico 3. , pues el reconocimiento de la condición de imputado del recurrente «no debía ser tarea fácil cuando el Ministerio Fiscal no formuló acusación contra él». También resulta relevante la STC 54/1991, en la cual el Tribunal declaró que es deber del órgano jurisdiccional de ilustrar al interesado del hecho de la causa abierta en su contra; se entiende cumplido cuando admite a trámite la querella y se ordena el interrogatorio del querellado, notificándole tanto esta condición como su derecho de asistencia le~ A su vez, en las SSTC 21/1991, 22/1991 y 23/1991, referidas a recursos de amparo contra los Autos que acordaron la apertura del juicio oral en procedimientos abreviados, se declaró que el hecho de que la intervención del imputado en la fase de preparación del juicio oral tenga lugar en un momento posterior al de las acusaciones resulta constitucionalmente admisible, toda vez que la contradicción en esta fase del proceso se limita a la formulación de la acusación y de la defensa y no sobre otras cuestiones. </w:t>
      </w:r>
    </w:p>
    <w:p w:rsidR="00A12D44" w:rsidRDefault="00A12D44" w:rsidP="00A12D44">
      <w:pPr>
        <w:pStyle w:val="TextoNormal"/>
      </w:pPr>
      <w:r>
        <w:t>Pues bien, los hechos, la petición y la causa de pedir en el presente recurso vienen a ser sustancialmente iguales a los reseñados. esta semejanza esencial hace que concurra el motivo de inadmisibilidad dispuesto en el art. 50.1 d) de la LOTC. Esto supuesto, sólo en el caso de que los hechos que resultasen a la luz de las actuaciones modificasen este planteamiento, habría que dictar una decisión de fondo.</w:t>
      </w:r>
    </w:p>
    <w:p w:rsidR="00A12D44" w:rsidRDefault="00A12D44" w:rsidP="00A12D44">
      <w:pPr>
        <w:pStyle w:val="TextoNormal"/>
      </w:pPr>
    </w:p>
    <w:p w:rsidR="00A12D44" w:rsidRDefault="00A12D44" w:rsidP="00A12D44">
      <w:pPr>
        <w:pStyle w:val="TextoNormal"/>
      </w:pPr>
      <w:r w:rsidRPr="00A12D44">
        <w:rPr>
          <w:rStyle w:val="NumeroAFNegritaCaracter"/>
        </w:rPr>
        <w:t>6</w:t>
      </w:r>
      <w:r>
        <w:t>. Por su parte, el recurrente interesa la admisión a trámite de la demanda e insiste en que el recurso se basa en la doctrina recogida en la STC 186/1990. Respecto de la posible aplicación al caso de las SSTC 21/1991, 22/1991 y 23/1991, que deniegan los amparos solicitados, se trataba en ellas de personas ya imputadas en la fase de instrucción y a las que se les notificó la incoación por Auto, conforme al art. 789.5 de la L.E.Crim., y que, en consecuencia, pudieron proponer en fase de instrucción las pruebas propuestas y luego recurrir esa resolución; los supuestos no son, pues, análogos a este caso, a efectos del art. 50.1 d) de la LOTC, donde el recurrente se vio sorprendentemente sometido a la «pena del banquillo». Por estas mismas razones, tampoco es de aplicación el art. 50.1 c) de la LOTC.</w:t>
      </w:r>
    </w:p>
    <w:p w:rsidR="00A12D44" w:rsidRDefault="00A12D44" w:rsidP="00A12D44">
      <w:pPr>
        <w:pStyle w:val="TextoNormal"/>
      </w:pPr>
    </w:p>
    <w:p w:rsidR="00A12D44" w:rsidRDefault="00A12D44" w:rsidP="00A12D44">
      <w:pPr>
        <w:pStyle w:val="TextoNormalNegritaCentrado"/>
        <w:keepNext/>
      </w:pPr>
      <w:r>
        <w:lastRenderedPageBreak/>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indudable la inexistencia de lesión alguna de derechos fundamentales, tal y como reconoce el Ministerio Fiscal tras la apertura del trámite de inadmisión previsto en el art. 50.3 de la LOTC, así como que la cuestión que se plantea ya ha sido resuelta de manera desestimatoria en la jurisprudencia constitucional.</w:t>
      </w:r>
    </w:p>
    <w:p w:rsidR="00A12D44" w:rsidRDefault="00A12D44" w:rsidP="00A12D44">
      <w:pPr>
        <w:pStyle w:val="TextoNormal"/>
      </w:pPr>
    </w:p>
    <w:p w:rsidR="00A12D44" w:rsidRDefault="00A12D44" w:rsidP="00A12D44">
      <w:pPr>
        <w:pStyle w:val="TextoNormal"/>
      </w:pPr>
      <w:r w:rsidRPr="00A12D44">
        <w:rPr>
          <w:rStyle w:val="NumeroAFNegritaCaracter"/>
        </w:rPr>
        <w:t>2</w:t>
      </w:r>
      <w:r>
        <w:t>. En efecto, carece aquí de relevancia constitucional la alegada infracción del art. 24, apartados 1. y 2. , de la Constitución, prohibición de indefensión y derecho a un proceso con todas las garantías, por el hecho de haber declarado en fase de instrucción el solicitante de amparo únicamente como testigo, a pesar de que posteriormente se dictara Auto de apertura del juicio oral contra su persona, porque, en primer lugar, el dato de que el recurrente declarase previamente como testigo no supone, por sí mismo y sin necesidad de ulteriores razonamientos, infracción constitucional alguna, ya que no siempre la condición de imputado aparece en el inicio del proceso penal y es perfectamente posible -y a veces lógicamente inevitable- que la implicación de una persona en los hechos delictivos aparezca a resultas de la instrucción (ATC 211/1990, fundamento jurídico 2. ); y sobre todo porque, si bien es innegable que la condición de imputado nace de la admisión de una denuncia o querella no lo es menos que la exigencia establecida en el art.  118.2 de la L.E.Crim., relativa a que cualquier actuación procesal de la que resulte la imputación de un delito contra persona o personas determinadas debe ser puesta inmediatamente en conocimiento de los presuntamente inculpados, debe ser modulada y completada por «la circunstanciada del Juez Instructor», sin que pueda ser inter- imprescindible valoración pretado aquel precepto legal literalmente (ibídem).En el mismo sentido, en la STC 135/1989 (fundamento jurídico 5. ) se dijo que «tan pronto como» el Juez Instructor -pero obviamente no antes-, tras efectuar una provisional ponderación de la verosimilitud de la imputación de un hecho punible contra persona determinada, considere dicha imputación fundada, deberá considerar a tal persona imputada, evitando retrasar el otorgamiento de esta condición, ya que el conocimiento de la imputación forma parte del contenido esencial del derecho fundamental a la defensa en fase de instrucción; de suerte que sólo el Juez Instructor puede efectuar una provisional ponderación acerca de si la atribución de un hecho punible a cierta persona, efectuada en el curso de una actuación, está o no suficientemente fundada, a los efectos de: considerar a dicha persona como imputado, poner en su conocimiento la imputación y permitirle o proporcionarle la asistencia de Letrado.</w:t>
      </w:r>
    </w:p>
    <w:p w:rsidR="00A12D44" w:rsidRDefault="00A12D44" w:rsidP="00A12D44">
      <w:pPr>
        <w:pStyle w:val="TextoNormal"/>
      </w:pPr>
    </w:p>
    <w:p w:rsidR="00A12D44" w:rsidRDefault="00A12D44" w:rsidP="00A12D44">
      <w:pPr>
        <w:pStyle w:val="TextoNormal"/>
      </w:pPr>
      <w:r w:rsidRPr="00A12D44">
        <w:rPr>
          <w:rStyle w:val="NumeroAFNegritaCaracter"/>
        </w:rPr>
        <w:t>3</w:t>
      </w:r>
      <w:r>
        <w:t>. En el caso que nos ocupa, es cierto que el recurrente compareció y declaró como testigo el día 16 de julio de 1988 -conviene resaltar que asistido de Abogado-, pues todavía la causa no se había dirigido contra él, pero del contenido de esa declaración y del resto de la documentación que consta en las actuaciones se desprende su evidente conexión con los hechos, lo que permite presumir las razones por las cuales el Juez Instructor se dirigió después contra el recurrente a instancias de la acusación particular, dentro de su razonable margen de apreciación de los hechos.</w:t>
      </w:r>
    </w:p>
    <w:p w:rsidR="00A12D44" w:rsidRDefault="00A12D44" w:rsidP="00A12D44">
      <w:pPr>
        <w:pStyle w:val="TextoNormal"/>
      </w:pPr>
      <w:r>
        <w:t>Así, son datos que es preciso señalar para la comprensión del asunto: que el querellante por supuesto delitos de falsedad en documento público y estafa don Carlos Gilabert Martínez, dirigió la acusación contra doña Isabel Angeles Soto Gilabert y su esposo, don Francisco Gilabert Martínez; que dona Isabel Angeles vendió en 1966, cuando era soltera y en documento privado, una finca a don Carlos Gilabert, parcela con una extensión de 12 ha</w:t>
      </w:r>
      <w:r>
        <w:lastRenderedPageBreak/>
        <w:t>negadas; que, años después y una vez casada, doña Isabel Angeles y su esposo, don Francisco, otorgaron una escritura pública en compraventa de diversas parcelas con una extensión de 41 hanegadas, a don Vicente Vaya Montaña -ahora solicitante de amparo- y, entre ellas, la parcela antes indicada y previamente vendida; que el mismo día aclararon la escritura ante el Notario haciendo constar que la verdadera extensión de la finca era de 71 hanegadas, según la medida hecha por los vendedores; que cinco años más tarde ambos acusados otorgaron otra segunda escritura manifestando que la finca vendida al señor Vaya Montaña incluía la parcela mencionada en primer lugar, pese a que era una finca registrar independiente.</w:t>
      </w:r>
    </w:p>
    <w:p w:rsidR="00A12D44" w:rsidRDefault="00A12D44" w:rsidP="00A12D44">
      <w:pPr>
        <w:pStyle w:val="TextoNormal"/>
      </w:pPr>
      <w:r>
        <w:t>A la luz de estos datos, no es verosímil la afirmación del recurrente relativa a que se vio sorprendentemente convertido en imputado, sin que pudiera ejercer su derecho a la defensa, dentro de un procedimiento penal en el que era un mero testigo: un tercero totalmente ajeno a los hechos.</w:t>
      </w:r>
    </w:p>
    <w:p w:rsidR="00A12D44" w:rsidRDefault="00A12D44" w:rsidP="00A12D44">
      <w:pPr>
        <w:pStyle w:val="TextoNormal"/>
      </w:pPr>
    </w:p>
    <w:p w:rsidR="00A12D44" w:rsidRDefault="00A12D44" w:rsidP="00A12D44">
      <w:pPr>
        <w:pStyle w:val="TextoNormal"/>
      </w:pPr>
      <w:r w:rsidRPr="00A12D44">
        <w:rPr>
          <w:rStyle w:val="NumeroAFNegritaCaracter"/>
        </w:rPr>
        <w:t>4</w:t>
      </w:r>
      <w:r>
        <w:t>. Por otra parte y de forma altamente significativa, nada se alega en la demanda sobre la existencia de una situación material de indefensión derivada de la imposibilidad de proponer en fase de instrucción o en la fase intermedia diligencia alguna de prueba, ni tampoco se afirma haber solicitado la nulidad de las actuaciones o haber denunciado la invalidez de su declaración anterior; y habida cuenta de que el Auto de apertura del juicio oral configura una resolución interlocutoria cuya impugnación debe admitirse en sede constitucional excepcionalmente -matizando el rigor que pueda extraerse de una lectura apresurada de la doctrina expuesta en la STC 18611990 que el recurrente invoca-, resulta razonable la exigencia de anudar siempre la pretendida lesión de los derechos fundamentales del investigado por unos hechos a la presencia de una situación de indefensión materiaL Esta y no otra es la conclusión a la que inevitablemente se llega desde la concepción, antes expuesta, del derecho al conocimiento de la imputación como mero instrumento del derecho fundamental a la defensa en fase de instrucción.</w:t>
      </w:r>
    </w:p>
    <w:p w:rsidR="00A12D44" w:rsidRDefault="00A12D44" w:rsidP="00A12D44">
      <w:pPr>
        <w:pStyle w:val="TextoNormal"/>
      </w:pPr>
      <w:r>
        <w:t>En este sentido, en la ya mencionada STC 135/1989, fundamento jurídico 3. , este Tribunal sostuvo que la invalidez de las declaraciones sumariales prestadas con incumplimiento de las garantías reconocidas al imputado, sólo trascenderán con efecto difusor a otros actos del procedimiento «cuando se produzca una efectiva indefensión del imputado», y si no se da tal circunstancia aquella irregularidad no debe trascender por sí sola hasta causar la nulidad del juicio. Del mismo modo, en las SSTC 21/1991, 22/1991 y 23/1991 esta Sala mantuvo que la existencia de una lesión constitucional por las razones que ahora nos ocupan exigía la imposibilidad de haber tenido, de hecho, una actividad procesal durante el período de instrucción y previamente a la apertura del juicio oral, extremo que aquí no se acredita. Y en las fechas recientes la STC 54/1991 matizó que lo que resultaba contrario a la Constitución era que la actora no hubiera tenido participación en las diligencias de investigación y que el primer Auto de incoación del procedimiento abreviado y su reiteración por el de apertura del juicio oral fueran adoptados sin haber dado audiencia al interesado.</w:t>
      </w:r>
    </w:p>
    <w:p w:rsidR="00A12D44" w:rsidRDefault="00A12D44" w:rsidP="00A12D44">
      <w:pPr>
        <w:pStyle w:val="TextoNormal"/>
      </w:pPr>
      <w:r>
        <w:t>Nada de esto ha ocurrido en el caso que nos ocupa o, cuando menos, nada se dice a este respecto en la demanda ni se desprende de la documentación que a ella se adjunta.</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Es patente, en suma, la necesidad de aplicar a los hechos la doctrina jurisprudencial elaborada en las resoluciones de este Tribunal señaladas en la providencia por la que se abrió el trámite de alegaciones previsto en el art.  50.3 de la LOTC (SSTC 135/1989; 21/1991, 22/1991 y 23/1991; 54/1991) y en la que se puso de manifiesto al recurrente la </w:t>
      </w:r>
      <w:r>
        <w:lastRenderedPageBreak/>
        <w:t>posible concurrencia del motivo de inadmisión establecido en el art. 50.1 d) de la LOTC, consistente en haberse desestimado ya en el fondo un supuesto de hecho sustancialmente igual, toda vez que la petición y la causa de pedir en este recurso resultan ser sustancialmente iguales a los resueltos en aquellas resoluciones. Esta circunstancia, unida a la falta de nuevas alegaciones en Derecho, obligan a reiterar la misma solución jurisprudencial; y es precisamente la sustancial igualdad de los casos enjuiciados en sede constitucional y sobre todo de la razón de decidir, la finalidad a la que atiende el indicado motivo de inadmisión [art. 50.1 d) de la LOTC], sin que sea menester para su aplicación - como parece creer el recurrente-, pues no existe fundamento legal alguno para ello, una absoluta identidad de los hechos, de las personas o del objeto del recurso, requisitos que cabe acaso reclamar de otras instituciones procesales como pueden ser la cosa juzgada material y su función negativa o excluyente de otros procesos o, en parte, de la acumulación, pero no de las decisiones que lleven este Tribunal a la inadmisión a trámite de demandas de amparo en virtud de la fuerza vinculante de la doctrina jurisprudencial establecida en los pronunciamientos anteriores que resuelvan el fondo del asunto. Como va se dijo en la STC 18/1992, fundamento jurídico 2. , el citado art. 50.1 d) encierra una «cláusula de habilitación» a este Tribunal para inadmitir recursos de amparo sobre cuestiones ya examinadas y decididas en resoluciones anteriores y que conforman una doctrina válida hasta que se considere conveniente bien su revisión o apartarse de ella en virtud de las circunstancias especiales del caso. Es evidente que este precepto no opera de forma equiparable a una «causa impeditiva» de la impugnación para hipotéticos recurrentes, pero puede ser utilizado por este Tribunal para rechazar la admisión de demandas.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recurso y el archivo de las actuaciones por incidir la demanda en la causa prevista en el art. 50.1 d) de la LOTC.</w:t>
      </w:r>
    </w:p>
    <w:p w:rsidR="00A12D44" w:rsidRDefault="00A12D44" w:rsidP="00A12D44">
      <w:pPr>
        <w:pStyle w:val="TextoNormal"/>
      </w:pPr>
    </w:p>
    <w:p w:rsidR="00A12D44" w:rsidRDefault="00A12D44" w:rsidP="00A12D44">
      <w:pPr>
        <w:pStyle w:val="TextoNormal"/>
      </w:pPr>
      <w:r>
        <w:t>Madrid, a veintitrés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5" w:name="AUTO_1992_84"/>
      <w:r>
        <w:lastRenderedPageBreak/>
        <w:t>AUTO 84/1992, de 23 de marzo de 1992</w:t>
      </w:r>
    </w:p>
    <w:bookmarkEnd w:id="155"/>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ECLI:ES:TC:1992:84A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208/1992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que tiene entrada en este Tribunal el 23 de enero de 1992, la Procuradora de los Tribunales doña Rosalía Rosique Samper interpone, en nombre y representación de don Wolfgang Gregor Hekimi, recurso de amparo contra Auto de 7 de enero de 1992 de la Sección Segunda de la Sala de lo Penal de la Audiencia Nacional.</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recurso de amparo se contrae, sin síntesis, a los siguientes hechos: </w:t>
      </w:r>
    </w:p>
    <w:p w:rsidR="00A12D44" w:rsidRDefault="00A12D44" w:rsidP="00A12D44">
      <w:pPr>
        <w:pStyle w:val="TextoNormal"/>
      </w:pPr>
      <w:r>
        <w:t xml:space="preserve">a) En fecha 31 de octubre de 1991, el Juzgado Central de Instrucción núm. 2 dictó Auto en el que se acordó prolongar por dos años más la prisión provisional del hoy recurrente, imputado en el procedimiento abreviado núm. 1/90 instruido por el citado Juzgado Central de Instrucción. La prolongación de la prisión fue adoptada previo informe del Ministerio Fiscal, pero sin audiencia del imputado, como ordena el art. 504.4. de la L.E.Crim. La audiencia del imputado tuvo lugar el 12 de noviembre de 1991, doce días después de haberse acordado la prolongación de la prisión provisional. </w:t>
      </w:r>
    </w:p>
    <w:p w:rsidR="00A12D44" w:rsidRDefault="00A12D44" w:rsidP="00A12D44">
      <w:pPr>
        <w:pStyle w:val="TextoNormal"/>
      </w:pPr>
      <w:r>
        <w:t xml:space="preserve">b) Contra dicha resolución interpuso la representación del recurrente recurso de reforma, alegando indefensión e infracción de los principios de audiencia y defensa por no haberse cumplido con el trámite de audiencia al imputado previo a acordar la prolongación de la prisión provisional. Por Auto de 18 de noviembre de 1991, el Juzgado desestimó el recurso y confirmó la prolongación de la prisión provisional al considerar, en síntesis, que el defecto procesal advertido había sido subsanado y que el mismo no había producido indefensión alguna al imputado. </w:t>
      </w:r>
    </w:p>
    <w:p w:rsidR="00A12D44" w:rsidRDefault="00A12D44" w:rsidP="00A12D44">
      <w:pPr>
        <w:pStyle w:val="TextoNormal"/>
      </w:pPr>
      <w:r>
        <w:t>c) Formulado recurso de apelación ante la Sección Segunda de la Sala de la Audiencia Nacional, fue desestimado en Auto de 7 de enero de 1992, confirmatorio de las resoluciones impugnadas. En los fundamentos jurídicos la Sala razona, de una parte, que la posible situación de indefensión no subsiste, ya que el imputado fue oído y pudo interponer los recursos pertinentes contra la prórroga de la prisión provisional. Y, de otra parte, que el Juez Instructor, después de oír al imputado, había ponderado y explicitado las causas para el mantenimiento de la prisión provisional.</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La representación de recurrente considera que las resoluciones impugnadas infringen los derechos a la tutela judicial efectiva Y a la no indefensión (art. 24.1 C.E.), los principios de audiencia y contradicción (art. 24.2 C.E.) y el derecho al Juez imparcial (art. 24.2 </w:t>
      </w:r>
      <w:r>
        <w:lastRenderedPageBreak/>
        <w:t xml:space="preserve">C.E.), en relación con el derecho a la libertad del art. 17.4 C.E. Al respecto formula las siguientes alegaciones: a) la prolongación de la prisión preventiva, en cuanto medida restrictiva de la libertad de la persona, ha de realizarse atendiendo al estricto cumplimiento de las garantías procesales previstas en la Ley. Y precisamente uno de los requisitos esenciales que el art. 504.4.1 de la L.E.Crim. establece para prolongar la prisión provisional es la audiencia previa del inculpado; b) la omisión del trámite de audiencia del inculpado no puede ser subsanada tardíamente cuando el Juez ya ha acordado la prolongación de la prisión provisional, entre otras razones porque el Juez, que ya se ha pronunciado al respecto, no puede oír con absoluta imparcialidad la declaración del inculpado. La audiencia tardía, como ha ocurrido en el presente caso, carece de toda trascendencia, salvo la de intentar darle una apariencia de cumplimiento formal a lo que no puede ser ya subsanado; y c) el hoy recurrente tenía derecho a gozar de la garantía que supone la audiencia ante el Instructor antes de que se tomara por éste la decisión de prolongar la prisión provisional, y el incumplimiento de dicho trámite supone la infracción de los derechos constitucionales a la tutela judicial y al Juez imparcial, con indefensión para el hoy recurrente. </w:t>
      </w:r>
    </w:p>
    <w:p w:rsidR="00A12D44" w:rsidRDefault="00A12D44" w:rsidP="00A12D44">
      <w:pPr>
        <w:pStyle w:val="TextoNormal"/>
      </w:pPr>
      <w:r>
        <w:t>En atención a lo expuesto, solicita de este Tribunal que otorgue el amparo y declare la nulidad de las resoluciones impugnadas, ordenando la inmediata libertad provisional del recurrente. Por otrosí pide, dada la situación de prisión provisional incondicional que sufre el recurrente, la más urgente tramitación del recurso (petición ésta reiterada mediante telegrama de 31 de enero de 1992).</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18 de febrero de 1992, la Sección Primera (Sala Primera) acuerda tener por interpuesto recurso de amparo por don Wolfgang Gregor Hekimi, y por personado y parte en su nombre y representación a la Procuradora doña Rosalía Rosique Samper. Asimismo, y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de conformidad con lo prevenido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5</w:t>
      </w:r>
      <w:r>
        <w:t>. En su escrito de alegaciones, presentado el 3 de marzo de 1992, el Ministerio Fiscal considera, en primer término, que aunque en el presente caso se produjo el defecto de no oír el Juez al inculpado antes de dictar el Auto de prolongación de la prisión provisional, tal defecto ha sido subsanado posteriormente sin que se haya producido indefensión. En efecto, antes de resolver el recurso de reforma el Juez acordó oír al inculpado, a fin de cumplir con el requisito de audiencia que antes había omitido. De este modo se subsanó el defecto procesal, y no importa, a efectos del derecho de defensa, que la audiencia se efectuara con ocasión del recurso de reforma ejercitado por el interesado, que es uno de los modos de subsanar los defectos de forma en los actos procesales que impliquen ausencia de los requisitos indispensables para alcanzar su fin o determinen efectiva indefensión, conforme establece el art. 240.1 de la L.O.P.J. Por eso, como dice la Sala que resolvió el recurso de apelación, lo decisivamente importante es determinar si, después de ser oído el inculpado, se ponderaron por el Instructor las causas que aconsejaban el mantenimiento de la medida restrictiva de la libertad. Esas causas o circunstancias fueron valoradas por el Juez a la vista de lo dispuesto en el art. 504 de la L.E.Crim., al resolver el recurso de reforma, aunque fuera para estimar procedente la prolongación del período ordinario de prisión provisional. De otra parte, si la audiencia que se concedió al inculpado por ser poste</w:t>
      </w:r>
      <w:r>
        <w:lastRenderedPageBreak/>
        <w:t xml:space="preserve">rior al Auto inicial careciera de toda eficacia convalidante o sanatoria, como pretende el recurrente, entonces no sería posible la subsanación de los vicios o defectos procesales por la vía de los recursos, y si, como pretende también el mismo recurrente, el Juez que resuelve un recurso de reforma tiene la tacha de Juez especialmente prevenido, perdiendo por ello la imparcialidad, entonces llegaríase a la conclusión de que todos los recursos de reforma, reposición y súplica serían lesivos del derecho fundamental a un Juez imparcial, quedando también inhabilitados para dar efectividad al derecho a la tutela judicial efectiva. </w:t>
      </w:r>
    </w:p>
    <w:p w:rsidR="00A12D44" w:rsidRDefault="00A12D44" w:rsidP="00A12D44">
      <w:pPr>
        <w:pStyle w:val="TextoNormal"/>
      </w:pPr>
      <w:r>
        <w:t xml:space="preserve">En segundo término, el Fiscal alega que la STC 40/1987 que cita el recurrente para apoyar la pretensión deducida se refiere a un supuesto completamente distinto a éste. La cuestión aquí planteada era la de si el órgano judicial vulneró el derecho fundamental a la libertad personal al no acordar la prolongación o ampliación del plazo para permanecer en situación de prisión preventiva antes de que hubiera transcurrido el plazo ordinario para permanecer en dicha situación. El Tribunal acordó otorgar el amparo «porque cuando a instancias del procesado se acuerda la prórroga de la prisión dos meses y unos días más tarde de la fecha en la que cumplía el plazo legal perentorio ya no cabía subsanar la vulneración constitucional de la garantía de la libertad personal no respetada por la omisión judicial» (fundamento jurídico 3. ). La vulneración del derecho a la libertad se produjo porque la prolongación se efectuó cuando ya había expirado el plazo inicial u ordinario, siendo así que la decisión judicial debe rea&amp;me antes de concluir el primer plazo, porque en otro caso se vulnera el derecho a la libertad reconocido en el art. 17.4 de la Constitución. En el caso del presente recurso la decisión judicial de prolongación del plazo se efectuó antes de que venciera el plazo inicial u ordinario; el defecto consistió en acordarse sin previa audiencia del inculpado, que sí es defecto subsanable. </w:t>
      </w:r>
    </w:p>
    <w:p w:rsidR="00A12D44" w:rsidRDefault="00A12D44" w:rsidP="00A12D44">
      <w:pPr>
        <w:pStyle w:val="TextoNormal"/>
      </w:pPr>
      <w:r>
        <w:t>Por lo expuesto, el Fiscal estima que concurre la causa de inadmisibilidad prevista en el art. 50.1 c) de la LOTC, por carecer la demanda manifiestamente de contenido que justifique una decisión de fondo, debiéndose dictar Auto en este sentido.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La representación del recurrente, en escrito presentado el 26 de febrero de 1992, alega que el tema planteado en el recurso tiene un máximo contenido constitucional, puesto que afecta a la vulneración de los arts. 17 y 17.2 de la C.E. sobre el derecho a la libertad personal, desarrollado posteriormente en el art. 504.4 de la L.E.Crim. y al art. 24 de la C.E. sobre tutela judicial efectiva. También afecta a los arts. 3.9 y 11.2 de la Declaración Universal de los Derechos Humanos y los arts. 6.1, 9.3 y 14.2 del Pacto Internacional de Derechos Civiles y Políticos que, conforme al art. 10.2 de nuestra Constitución, son normas internacionales que han de servir de base a la interpretación de las normas legales internas. </w:t>
      </w:r>
    </w:p>
    <w:p w:rsidR="00A12D44" w:rsidRDefault="00A12D44" w:rsidP="00A12D44">
      <w:pPr>
        <w:pStyle w:val="TextoNormal"/>
      </w:pPr>
      <w:r>
        <w:t xml:space="preserve">En el presente caso se produce una clara quiebra de la doctrina sentada por este Alto Tribunal sobre materia muy similar en la STC 40/1987, en la que se concedió el amparo solicitado a una persona privada de libertad a quien no se soltó al llegar al plazo máximo de prisión preventiva incondicional marcado por Ley (art. 504.4 L.E.Crim.). </w:t>
      </w:r>
    </w:p>
    <w:p w:rsidR="00A12D44" w:rsidRDefault="00A12D44" w:rsidP="00A12D44">
      <w:pPr>
        <w:pStyle w:val="TextoNormal"/>
      </w:pPr>
      <w:r>
        <w:t xml:space="preserve">La novedad de nuestro caso de que, si bien el Magistrado Juez del Central de Instrucción notificó al inculpado la prolongación de la prisión preventiva incondicional el mismo día en que vencía el plazo máximo de dos años (1 de noviembre de 1991), en su precipitación lo hizo sin oírle. Es decir, adopta tan trascendental decisión de prolongar la situación personal sin darle la mínima oportunidad al inculpado de alegar personalmente sus razones para que dicha prolongación no se produjese, especialmente cuando dicha situación representaba, adicionalmente, un agravio comparativo en relación con otros inculpados </w:t>
      </w:r>
      <w:r>
        <w:lastRenderedPageBreak/>
        <w:t xml:space="preserve">(incluida una extranjera residente en el extranjero), quienes desde hace muchos meses, más de un año, disfrutan del beneficio de la libertad pro- visional a pesar de que el Ministerio Fiscal, en su escrito de calificación provisional, pide para todos ellos idéntica punición. Y no es hasta el día 12 de noviembre (once días después de vencido el plazo) y, como reacción ante sendas impugnaciones por nulidad esgrimidas tanto personalmente por el propio afectado como por su representación procesal, cuando el Juez Central de Instrucción oye finalmente al privado de libertad; pero le escucha como Juez especialmente prevenido por cuanto que, además de haber tomado ya una decisión judicial, pesaba sobre el Magistrado una carga emocional adicional que humanamente impedía la rectificación de la anterior resolución: la clara y admitida conciencia de haber incurrido en flagrante «defecto procesal» al no haber «oído» personalmente al inculpado antes de dictar la primera resolución (Auto del 31 de octubre de 1991) sobre prolongación por dos años más de la situación de prisión preventiva incondicional y según taxativamente exigía el art. 504.4 L.E.Crim. </w:t>
      </w:r>
    </w:p>
    <w:p w:rsidR="00A12D44" w:rsidRDefault="00A12D44" w:rsidP="00A12D44">
      <w:pPr>
        <w:pStyle w:val="TextoNormal"/>
      </w:pPr>
      <w:r>
        <w:t xml:space="preserve">Según las normas de la sana crítica y las reglas del comportamiento humano cabe, cuando menos, dudar si, cuando el Magistrado-Juez del Central de Instrucción escucha finalmente los varios argumentos expuestos ante él por el privado de libertad, entre ellos el ya mencionado del «agravio comparativo», se encuentra prevenido. Si se trata o no de un Juez absolutamente imparcial dadas las especiales circunstancias concurrentes o si por el contrario está «contaminado» y lo que simplemente pretende es «oír» para «subsanar». La sola duda en cuanto a esta crucial cuestión entrañaría la necesidad de conceder el amparo solicitado, puesto que el Juez tiene que ser, por definición, absolutamente imparcial, sin sombra de dudas, aspecto que tiene que estimarse de manera tan escrupulosa que, como ha mantenido reiteradamente la jurisprudencia del Tribunal Europeo de Derechos Humanos, la mera apariencia de alguna parcialidad infringe los principios de tutela judicial efectiva y de defensión, proclamados en el art. 24.1 de la C.E. y denunciados en este recurso de amparo. </w:t>
      </w:r>
    </w:p>
    <w:p w:rsidR="00A12D44" w:rsidRDefault="00A12D44" w:rsidP="00A12D44">
      <w:pPr>
        <w:pStyle w:val="TextoNormal"/>
      </w:pPr>
      <w:r>
        <w:t>En atención a lo expuesto, solicita de este Tribunal la tramitación urgente del presente recurso y que otorgue el amparo interesado.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Concurre en el presente caso el motivo de inadmisión previsto en el art.  50.1 c) de la LOTC, consistente en carecer la demanda manifiestamente de contenido que justifique una decisión sobre el fondo por parte de este Tribunal, y que pusimos de manifiesto a las partes en nuestra providencia de 18 de febrero de 1992.</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En materia de prisión provisional, la observancia de los requisitos exigidos por el art. 504 de la L.E.Crim. tiene una gran importancia, puesto que el incumplimiento de tales exigencias legales puede implicar la vulneración del derecho fundamental a la libertad reconocido en el art. 17 C.E. (por todas, STC 85/1985). Ello no significa, sin embargo, que la omisión del trámite de audiencia previsto en el art, 504.4 de la L.E.Crim. signifique sin más y en todos los casos la comisión de una infracción constitucional que determine la lesión del derecho a la libertad personal. En este sentido es necesario precisar que lo que el art. 17 de la Constitución impone es que la prisión se adopte «en los casos y en la forma previstos en la Ley» (apartado 1) y que se respete «el plazo máximo de duración de la prisión provisional» (apartado 4).  En concreto, la garantía que para el inculpado constituye </w:t>
      </w:r>
      <w:r>
        <w:lastRenderedPageBreak/>
        <w:t>la previsión del art.  504.4 L.E.Crim. de que la prolongación de la prisión se acuerde mediante Auto, con audiencia previa del inculpado y del Ministerio Fiscal, ha de situarse no ante una de las formas de privación de libertad a las que el art. 17.1 C.E.  alude, sino ante un modo o procedimiento de adoptar la decisión judicial de prolongar la prisión provisional. En consecuencia, así como este Tribunal ha declarado que no tiene la misma relevancia constitucional «el incumplimiento del plazo de prisión que el incumplimiento del plazo para adoptar la decisión de prolongación de la prisión» (ATC 527/1988), es necesario distinguir también, desde el punto de vista constitucional, entre la prolongación de la prisión fuera de los casos previstos en la Ley (prohibida por el art. 17, apartados 1 y 4, de la Constitución) y la prolongación de una prisión provisional que es conforme con el art. 17 de la Constitución y con los supuestos previstos en la legislación procesal, pero en la que se ha omitido inicialmente -y se ha subsanado posteriormente- un requisito legalmente previsto, el de audiencia previa del art. 504.4 de la L.E.Crim. No cabe, pues, apreciar ni siquiera indiciariamente en el presente caso lesión del derecho a la libertad del art.  17 de la Constitución.</w:t>
      </w:r>
    </w:p>
    <w:p w:rsidR="00A12D44" w:rsidRDefault="00A12D44" w:rsidP="00A12D44">
      <w:pPr>
        <w:pStyle w:val="TextoNormal"/>
      </w:pPr>
    </w:p>
    <w:p w:rsidR="00A12D44" w:rsidRDefault="00A12D44" w:rsidP="00A12D44">
      <w:pPr>
        <w:pStyle w:val="TextoNormal"/>
      </w:pPr>
      <w:r w:rsidRPr="00A12D44">
        <w:rPr>
          <w:rStyle w:val="NumeroAFNegritaCaracter"/>
        </w:rPr>
        <w:t>3</w:t>
      </w:r>
      <w:r>
        <w:t>. Tampoco ha habido vulneración alguna del art. 24 de la Constitución, con indefensión para el hoy recurrente, derivada del momento en que se llevó a cabo el trámite de audiencia previsto en el art. 504.4 de la L.E.Crim. De una parte, la indefensión que el recurrente aduce es puramente formal, puesto que en la demanda de amparo no se acreditan ni se dicen los perjuicios que el recurrente ha sufrido como consecuencia de no haber sido oído por el Juez antes de la prolongación de la prisión. El recurrente pretende así obtener la libertad provisional, no obstante la legalidad de la prolongación de la prisión preventiva adoptada, con base pura y simplemente en una errónea omisión judicial, luego subsanada. El recurrente fue, en efecto, oído por el juez antes de confirmar la prisión provisional; tuvo la oportunidad de interponer e interpuso los recursos pertinentes contra la decisión judicial de prolongar su situación de prisión provisional, en los que alegó lo que estimó conveniente en contra de la procedencia de la prórroga de la prisión; y ningún reparo opone a la legalidad de la prolongación de la prisión provisional. De otra parte, la alegada lesión del derecho al Juez imparcial (art. 24.2 de la Constitución) no ha tenido lugar en modo alguno. No sólo no se justifica, al menos indiciariamente, que la decisión del Magistrado-Juez al confirmar la prolongación de la prisión ha sido una decisión «predeterminada», sino que la queja del recurrente carece aquí de todo fundamento, pues es obvio que el Juez resuelve siempre el recurso de reforma después de haberse pronunciado sobre la procedencia o no de prolongar la prisión provisional. Además, como se pone de manifiesto por la Audiencia Nacional en el Auto resolutorio del recurso de apelación (resolución ésta a la que ningún reproche de «prevención» o «contaminación» cabe hacer), el Magistrado-instructor, después de oír al inculpado, «ha ponderado y explicitado las causas que aconsejan el mantenimiento de la medida restrictiva de libertad».</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recurso de amparo formulado por don Wolfgang Gregor Hekimi y el archivo de las actuaciones.</w:t>
      </w:r>
    </w:p>
    <w:p w:rsidR="00A12D44" w:rsidRDefault="00A12D44" w:rsidP="00A12D44">
      <w:pPr>
        <w:pStyle w:val="TextoNormal"/>
      </w:pPr>
    </w:p>
    <w:p w:rsidR="00A12D44" w:rsidRDefault="00A12D44" w:rsidP="00A12D44">
      <w:pPr>
        <w:pStyle w:val="TextoNormal"/>
      </w:pPr>
      <w:r>
        <w:lastRenderedPageBreak/>
        <w:t>Madrid, a veintitrés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6" w:name="AUTO_1992_85"/>
      <w:r>
        <w:lastRenderedPageBreak/>
        <w:t>AUTO 85/1992, de 30 de marzo de 1992</w:t>
      </w:r>
    </w:p>
    <w:bookmarkEnd w:id="156"/>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ECLI:ES:TC:1992:85A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328/1991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Mediante escrito registrado el 14 de febrero de 1991, don José María Morugán Avila, representado por el Procurador don Argimiro Vázquez Guillén y defendido por el Abogado don José María Suárez González, interpuso recurso de amparo contra el Auto emitido por la Audiencia Provincial de León, de 23 de enero de 1991 (r. 229-90), que desestimó el recurso de apelación interpuesto contra los dictados por el Juzgado de Primera Instancia e Instrucción núm. 2 de León, de 11 y 23 de julio de 1990 (d. 681-90), que habían autorizado la entrada en el domicilio del actor para su desalojo forzoso. </w:t>
      </w:r>
    </w:p>
    <w:p w:rsidR="00A12D44" w:rsidRDefault="00A12D44" w:rsidP="00A12D44">
      <w:pPr>
        <w:pStyle w:val="TextoNormal"/>
      </w:pPr>
      <w:r>
        <w:t>En la demanda se pide la anulación de las resoluciones impugnadas «con reserva expresa al recurrente de las acciones que puedan incumbirle y demás resulte pertinente en justicia». Por otrosí interesa el recibimiento a prueba.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pretensión de amparo nace al respecto de los siguientes hechos: </w:t>
      </w:r>
    </w:p>
    <w:p w:rsidR="00A12D44" w:rsidRDefault="00A12D44" w:rsidP="00A12D44">
      <w:pPr>
        <w:pStyle w:val="TextoNormal"/>
      </w:pPr>
      <w:r>
        <w:t xml:space="preserve">A) El señor Morugán fue destinado a León en 1986, como General Jefe de la VI Zona de la Guardia Civil. Aunque en el acuartelamiento existe un pabellón adecuado, pasó a habitar -junto con su mujer y sus hijas- una vivienda sita en la calle Condesa de Sagasta, 26 2º. El piso es propiedad de la Diputación Provincial, a la que entrega mensualmente unas cantidades simbólicas en torno a las 450 pesetas. </w:t>
      </w:r>
    </w:p>
    <w:p w:rsidR="00A12D44" w:rsidRDefault="00A12D44" w:rsidP="00A12D44">
      <w:pPr>
        <w:pStyle w:val="TextoNormal"/>
      </w:pPr>
      <w:r>
        <w:t xml:space="preserve">En 1990 fue cesado, por Orden del Director General de Personal insertada en el «Boletín Oficial de Defensa» de 31 de enero de 1990. El 15 de marzo recibió una comunicación por «fax», concediéndole un plazo de diez días para desalojar la vivienda, toda vez que «ya había transcurrido el plazo máximo de treinta días desde la publicación de su baja en el destino». Tras un recurso de reposición que no obtuvo respuesta, el Director de la Guardia Civil acordó el 6 de junio de 1990 reiterar el desalojo de la vivienda de referencia, en el perentorio término de cinco días. </w:t>
      </w:r>
    </w:p>
    <w:p w:rsidR="00A12D44" w:rsidRDefault="00A12D44" w:rsidP="00A12D44">
      <w:pPr>
        <w:pStyle w:val="TextoNormal"/>
      </w:pPr>
      <w:r>
        <w:t xml:space="preserve">B) El señor Morugán abandonó material y personalmente la vivienda el 12 de junio de 1990, en acatamiento disciplinado de este acuerdo de su Director General, contra el que simultáneamente interpuso el pertinente recurso administrativo. Sin embargo, su esposa, doña Amalia Gómez García, retuvo la vivienda para su propio cobijo y el de sus hijas. </w:t>
      </w:r>
    </w:p>
    <w:p w:rsidR="00A12D44" w:rsidRDefault="00A12D44" w:rsidP="00A12D44">
      <w:pPr>
        <w:pStyle w:val="TextoNormal"/>
      </w:pPr>
      <w:r>
        <w:t xml:space="preserve">Su sucesor en el cargo de General Jefe de la VI Zona se dirigió al Juzgado, por el cauce del art. 87.1 L.O.P.J., solicitando autorización para entrar en el domicilio de la calle Condesa de Sagasta, con el fin de proceder a la ejecución forzosa de los acuerdos de desalojo </w:t>
      </w:r>
      <w:r>
        <w:lastRenderedPageBreak/>
        <w:t xml:space="preserve">dimanantes de la Dirección de la Guardia Civil. En su escrito se apoyó en los arts. 102 y 104 L.P.A., con mención de los arts. 93 y 134.1 del Reglamento de Bienes de las Entidades Locales (R.B.E.L., aprobado por Real Decreto 1372/1986, de 13 de junio). </w:t>
      </w:r>
    </w:p>
    <w:p w:rsidR="00A12D44" w:rsidRDefault="00A12D44" w:rsidP="00A12D44">
      <w:pPr>
        <w:pStyle w:val="TextoNormal"/>
      </w:pPr>
      <w:r>
        <w:t xml:space="preserve">C) El Juzgado núm. 2 no dio traslado ni audiencia de clase alguna al afectado. El mismo día en que se presentó la solicitud, el 4 de julio de 1990, libró oficio a la autoridad peticionaria interesando, entre otros extremos, certificación de que el acto administrativo que se trataba de ejecutar estaba en vía de ejecución forzosa, y de que no estaba suspendida su ejecutividad ni por la propia Administración ni por la Autoridad judicial. Tras recibir el día 9 la información y documentación interesada, dictó el primero de los Autos impugnados, de 11 de julio de 1990. En él autorizó la entrada en el domicilio del señor Morugán, «con el fin de proceder a la ejecución forzosa del acuerdo de desalojo dimanante de la Dirección General de la Guardia Civil de fecha 6 de junio de 1990, que se practicará en horas de día y dentro de los diez días siguientes al de la fecha de la presente resolución, levantándose acta de la diligencia al efecto practicada, en la que se constatará el nombre de las personas que efectuaron la entrada y de la que se dará cuenta a este Juzgado». </w:t>
      </w:r>
    </w:p>
    <w:p w:rsidR="00A12D44" w:rsidRDefault="00A12D44" w:rsidP="00A12D44">
      <w:pPr>
        <w:pStyle w:val="TextoNormal"/>
      </w:pPr>
      <w:r>
        <w:t xml:space="preserve">Dicho Auto, notificado conforme a lo dispuesto en el art. 566 L.E.Crim., fue sometido a recurso de reforma por el actor. Recurso que dio lugar al Auto de 23 de julio de 1990, que confirmó el recurrido. No obstante, para eliminar el riesgo de inseguridad jurídica, «y de conformidad con ambas partes, se recogerá el estricto cumplimiento del art. 569 y del 558 de la Ley de Enjuiciamiento Criminal, en el sentido de la presencia del señor Secretario del Juzgado, debiendo indicar la Dirección General de la Guardia Civil la identidad de las personas que realizarán la entrada en el mencionado domicilio». </w:t>
      </w:r>
    </w:p>
    <w:p w:rsidR="00A12D44" w:rsidRDefault="00A12D44" w:rsidP="00A12D44">
      <w:pPr>
        <w:pStyle w:val="TextoNormal"/>
      </w:pPr>
      <w:r>
        <w:t xml:space="preserve">La Audiencia Provincial desestimó el recurso de apelación interpuesto contra las resoluciones del Juzgado, mediante Auto de 23 de enero de 1991. </w:t>
      </w:r>
    </w:p>
    <w:p w:rsidR="00A12D44" w:rsidRDefault="00A12D44" w:rsidP="00A12D44">
      <w:pPr>
        <w:pStyle w:val="TextoNormal"/>
      </w:pPr>
      <w:r>
        <w:t>D) El recurso de reposición interpuesto contra la orden de desalojo había sido, entretanto, desestimado por resolución del Director General de la Guardia Civil de 29 de junio de 1990, notificada en forma al actor el 5 de julio. El señor Morugán acudió a la vía contencioso-administrativa el día 29/30 de julio (sic), donde pende su recurso contra el acuerdo administrativo de desalojo ante la Sala de lo Contencioso-Administrativo del Tribunal Superior de Justicia de Castilla-León con sede en Valladolid (r.1.273/90). El desalojo material de su familia se produjo el día 24 del mismo mes y año, al haberse admitido en un solo efecto el recurso de apelación contra el Auto que había autorizado la entrada. Por consiguiente no solicitó la suspensión cautelar del acto administrativo recurrido, por entenderlo manifiestamente superfluo.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recurso de amparo estima vulnerado el derecho fundamental a la inviolabilidad del domicilio, con cita de los apartados 1 y 2 del art. 18 C.E. A esta alegación principal añade otra, fundada en el art. 24. </w:t>
      </w:r>
    </w:p>
    <w:p w:rsidR="00A12D44" w:rsidRDefault="00A12D44" w:rsidP="00A12D44">
      <w:pPr>
        <w:pStyle w:val="TextoNormal"/>
      </w:pPr>
      <w:r>
        <w:t xml:space="preserve">A) Entiende que el Juzgado nunca debió autorizar la entrada en su domicilio, porque el acto administrativo de desalojo carecía de los mínimos requisitos de validez. El más grave consiste en la carencia de toda cobertura legal para ordenar el desalojo: la Administración del Estado no puede ordenar desahucios administrativos (siendo la recuperación de bienes ante usurpaciones que recoge el art. 8 de la Ley del Patrimonio del Estado de 1964 un supuesto en todo diferente); sin que pueda de ningún modo acogerse a las facultades previstas por el Reglamento de Bienes de las Entidades Locales, como indebidamente hicieron las autoridades que pertenecen a la Administración del Estado, ni tampoco al Reglamento de Viviendas de Protección Oficial (arts. 141 a 144 del Decreto 2114/1968, de 24 de julio), por no tratarse de una de ellas. Así que había que estar a la regla básica de nuestro </w:t>
      </w:r>
      <w:r>
        <w:lastRenderedPageBreak/>
        <w:t xml:space="preserve">Derecho en esta materia, establecida por el art. 1561 L.E.C., que atribuye en exclusiva a la jurisdicción ordinaria el conocimiento de las demandas de desahucio, incluso en el supuesto extremo -y que no es del caso- de precario (art. 1565.3). Sin que la ejecución forzosa que preven con carácter abstracto los arts. 102 y 104 L.P.A. permita otorgar un fundamento legal suficiente. </w:t>
      </w:r>
    </w:p>
    <w:p w:rsidR="00A12D44" w:rsidRDefault="00A12D44" w:rsidP="00A12D44">
      <w:pPr>
        <w:pStyle w:val="TextoNormal"/>
      </w:pPr>
      <w:r>
        <w:t xml:space="preserve">La demanda igualmente señala la falta de competencia de las autoridades que intervinieron en el lanzamiento, analizando su legislación específica; y alega que no se siguió procedimiento administrativo alguno, en el que hubiera podido defenderse, al tratarse de estrictas órdenes de evocación castrense. Finalmente subraya la falta de proporcionalidad entre el lanzamiento y los bienes que se pretenden proteger. </w:t>
      </w:r>
    </w:p>
    <w:p w:rsidR="00A12D44" w:rsidRDefault="00A12D44" w:rsidP="00A12D44">
      <w:pPr>
        <w:pStyle w:val="TextoNormal"/>
      </w:pPr>
      <w:r>
        <w:t xml:space="preserve">Entiende que estos hechos han vulnerado la inviolabilidad de su domicilio, así como su intimidad personal y familiar, con cita de las SSTC 22/1984 y 144/1987. </w:t>
      </w:r>
    </w:p>
    <w:p w:rsidR="00A12D44" w:rsidRDefault="00A12D44" w:rsidP="00A12D44">
      <w:pPr>
        <w:pStyle w:val="TextoNormal"/>
      </w:pPr>
      <w:r>
        <w:t>B) A esta alegación principal añade la vulneración del art. 24 de la Constitución, pues su esposa no fue oída en momento alguno de las actuaciones administrativas y judiciales, ni fueron tenidos para nada en cuenta sus legítimos derechos al domicilio. Ello a pesar de que la mujer casada dispone de domicilio propio, tras la sustitución del art. 58 C.C. por su actual art. 70; lo que se refuerza porque el esposo carece de facultades dispositivos sobre la vivienda habitual (art. 1320 C.C.), y que los vínculos matrimoniales por sí solos no originan solidaridad jurídica, salvo supuestos excepcionales (art. 1365 y ss. del Código Civil).</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La Sección, por providencia de 4 de marzo de 1991, tuvo por interpuesto el recurso y, a tenor de lo dispuesto en el art. 50.5 LOTC, requirió al solicitante de amparo para que dentro del término de diez días presentara copias de los Autos dictados por el Juzgado, y -en relación con el recurso contencioso-administrativo seguido ante el Tribunal Superior de Justicia de Castilla y León- aportara documentación acreditativa del estado procesal de la pieza separada de suspensión y, en su caso, resoluciones recaídas en ella. </w:t>
      </w:r>
    </w:p>
    <w:p w:rsidR="00A12D44" w:rsidRDefault="00A12D44" w:rsidP="00A12D44">
      <w:pPr>
        <w:pStyle w:val="TextoNormal"/>
      </w:pPr>
      <w:r>
        <w:t>El Procurador señor Vázquez dijo, por escrito registrado el siguiente 12 de marzo, que acompañaba copias de los Autos de instancia; y con respecto al recurso contencioso-administrativo pendiente ante la Sala de Valladolid, que se encontraba en fase probatoria, pero que no existía pieza separada de suspensión porque la resolución de la Dirección General de la Guardia Civil que puso Fin a la vía administrativa les había sido notificada el 5 de julio de 1990, y cuando tuvieron ocasión de acudir a la vía contencioso-administrativa -para lo que disponía de dos meses, elementalmente- en 29/30 de julio, resultaba mani- fiestamente superfluo pretender suspensiones de lo que devino irreversible, al haberse consumado el desalojo el anterior día 24, en virtud del Auto del Juzgado de Instrucción de 11 de julio de 1990, apelado en un solo efecto ante la Audiencia.</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Por providencia de 9 de octubre de 1991 se abrió trámite de alegaciones, en virtud del art. 50.3 LOTC, acerca de la eventual existencia de dos motivos de inadmisión: carencia de contenido de la demanda y no agotamiento de la vía judicial [LOTC, arts. 50.1 c) y 50.1 a) en relación con el 44.1 a)]. </w:t>
      </w:r>
    </w:p>
    <w:p w:rsidR="00A12D44" w:rsidRDefault="00A12D44" w:rsidP="00A12D44">
      <w:pPr>
        <w:pStyle w:val="TextoNormal"/>
      </w:pPr>
      <w:r>
        <w:t xml:space="preserve">El Fiscal ante el Tribunal Constitucional informó el siguiente día 28 en favor de la inadmisión del recurso. En primer lugar, por no haber vulneración de los derechos fundamentales invocados. Los órganos judiciales estudian en profundidad (en cumplimiento de una misión limitada, sin que puedan ni deban convertirse en jurisdicción contencioso-administrativa) la solicitud de entrada en el domicilio del recurrente, y tras examinar los argumentos sometidos a su consideración por éste, y ponderar razonadamente la legalidad </w:t>
      </w:r>
      <w:r>
        <w:lastRenderedPageBreak/>
        <w:t xml:space="preserve">aparente de la resolución administrativa, que es firme, ejecutiva y goza de presunción de legalidad, acceden a la solicitud de entrada de manera razonada, motivada y fundada en Derecho. Al no existir vulneración del art. 24 C.E., tampoco existe vulneración del derecho fundamental a la inviolabilidad del domicilio ni a la intimidad, porque la entrada se ha llevado a cabo con autorización del Juez competente en base a una resolución que razonadamente aplica la norma. </w:t>
      </w:r>
    </w:p>
    <w:p w:rsidR="00A12D44" w:rsidRDefault="00A12D44" w:rsidP="00A12D44">
      <w:pPr>
        <w:pStyle w:val="TextoNormal"/>
      </w:pPr>
      <w:r>
        <w:t xml:space="preserve">En segundo lugar, añade el Fiscal, tampoco se ha agotado la vía judicial. No es posible la admisión o estimación de un recurso de amparo cuando está pendiente otro procedimiento con el mismo objeto ante los Tribunales ordinarios, aun cuando no fuera necesario, pero que se interpuso voluntariamente (STC 43/1987, ATC 65/1985 y providencia de 11 de diciembre de 1989). Siendo el objeto del recurso de amparo que el actor vuelva a ocupar la vivienda, es determinante que está pendiente un recurso contencioso-administrativo que va a dar lugar a un pronunciamiento definitivo sobre la legalidad del desalojo, que de prosperar haría carecer de sentido a la petición de amparo. </w:t>
      </w:r>
    </w:p>
    <w:p w:rsidR="00A12D44" w:rsidRDefault="00A12D44" w:rsidP="00A12D44">
      <w:pPr>
        <w:pStyle w:val="TextoNormal"/>
      </w:pPr>
      <w:r>
        <w:t xml:space="preserve">El recurrente formuló alegaciones el 25 de octubre de 1991, en favor de la admisión. La demanda versa incuestionablemente sobre sus derechos fundamentales, en particular de los arts. 18.2, 19 y 24 de la Constitución, en la medida en que se irrumpió en domicilio inviolable sin más cobertura que la irregular decisión de órganos inferiores de la Guardia Civil, tras obtenerse improcedente, inmotivada e inidónea licencia judicial; se forzó a los interesados a variar su residencia, y se les situó en indefensión, por no habérseles siquiera ofrecido audiencia, así como por las circunstancias y características de las resoluciones judiciales impugnadas. </w:t>
      </w:r>
    </w:p>
    <w:p w:rsidR="00A12D44" w:rsidRDefault="00A12D44" w:rsidP="00A12D44">
      <w:pPr>
        <w:pStyle w:val="TextoNormal"/>
      </w:pPr>
      <w:r>
        <w:t>Igualmente en la demanda quedó expresado que se ha dado cumplimiento a lo pre- venido en el art. 44.1 a) LOTC, por cuanto contra los Autos dictados en grado de apelación por las Audiencias Provinciales contra Autos de los Juzgados no procede recurso alguno. La falta de desarrollo reglamentario del núm. 2 del art. 87 L.O.P.J., soporte aparente de toda la actuación judicial, hace ciertamente resbaladiza y opinable la materia. Pero el agotamiento parece claro, ya se examina desde el prisma del procedimiento abreviado (analogía del art. 796 L.E.Crim.), ya desde las reglas generales (arts. 216 y ss.), sin que pueda acudiese al art. 236 L.E. Crim., dada la doctrina pacífica que lo interpreta desde la Memoria de la Fiscalía del Tribunal Supremo del año 1920 en sentido restrictivo.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actor fue desalojado de la vivienda que ocupaba por razón de su cargo como Jefe de la Guardia Civil, tras haber cesado en él en enero de 1990. El desalojo fue ordenado por el Director General de la Guardia Civil, por Acuerdo de 6 de junio de 1990, confirmado en reposición por otro Acuerdo que fue notificado al interesado el siguiente 5 de julio. El día anterior, 4 de julio, el General que le había sucedido en el cargo de Jefe de Zona de la Guardia Civil solicitó del Juzgado de Instrucción la pertinente autorización de entrada para llevar a efecto la resolución administrativa, autorización que fue otorgada por Auto de 11 de julio de 1990. El lanzamiento fue efectivamente nevado a cabo el siguiente día 24.</w:t>
      </w:r>
    </w:p>
    <w:p w:rsidR="00A12D44" w:rsidRDefault="00A12D44" w:rsidP="00A12D44">
      <w:pPr>
        <w:pStyle w:val="TextoNormal"/>
      </w:pPr>
      <w:r>
        <w:t xml:space="preserve">La pretensión de amparo se dirige contra este Auto judicial, que permitió que los funcionarios de la Administración entraran en la vivienda ocupada por el señor Morugán para proceder al desalojo ordenado por el Director General, así como contra los Autos que confirmaron aquél al desestimar los recursos de reforma y de apelación que interpuso inmediatamente el afectado. Por ello este proceso constitucional, y conviene resaltarlo, no versa </w:t>
      </w:r>
      <w:r>
        <w:lastRenderedPageBreak/>
        <w:t>sobre la validez constitucional de las resoluciones administrativas que dispusieron que el General abandonara su domicilio a consecuencia de su cese, ni de las que -a la vista de su negativa a mudarse- ordenaron el desalojo de la vivienda. Respecto a esta cuestión no es posible que nos pronunciemos, pues su enjuiciamiento pende de un recurso interpuesto por el actor ante la Sala competente del orden jurisdiccional contencioso-administrativo [art. 44.1 a) LOTC]. El único tema sometido ahora a nuestro conocimiento consiste en dilucidar si el Juzgado de Instrucción, respaldado en apelación por la Audiencia Provincial de León, vulneró los derechos del actor a la inviolabilidad de su domicilio, a su intimidad familiar y a la tutela judicial efectiva sin indefensión, al haber autorizado la entrada para la ejecución de las resoluciones a de desalojo.</w:t>
      </w:r>
    </w:p>
    <w:p w:rsidR="00A12D44" w:rsidRDefault="00A12D44" w:rsidP="00A12D44">
      <w:pPr>
        <w:pStyle w:val="TextoNormal"/>
      </w:pPr>
      <w:r>
        <w:t>Desde esta perspectiva, es claro que el objeto de este proceso es distinto al que permanece abierto ante el Tribunal contencioso-administrativo, por lo que no es de aplicación la doctrina de la STC 43/1987 que se refiere el Fiscal.  Sin que resulte aceptable la invocación que hace en apoyo de sus tesis a una providencia de este Tribunal, cuya virtualidad jurídica se agota en la inadmisión en ella decretada (arts. 50.2 y 86.1 LOTC). Asimismo, y una vez debidamente acotado el objeto de este recurso de amparo, es manifiesto que la demanda carece de contenido que justifique su admisión, para su plena sustanciación y sometimiento a decisión de la Sala [art. 50.1 c) LOTC].</w:t>
      </w:r>
    </w:p>
    <w:p w:rsidR="00A12D44" w:rsidRDefault="00A12D44" w:rsidP="00A12D44">
      <w:pPr>
        <w:pStyle w:val="TextoNormal"/>
      </w:pPr>
    </w:p>
    <w:p w:rsidR="00A12D44" w:rsidRDefault="00A12D44" w:rsidP="00A12D44">
      <w:pPr>
        <w:pStyle w:val="TextoNormal"/>
      </w:pPr>
      <w:r w:rsidRPr="00A12D44">
        <w:rPr>
          <w:rStyle w:val="NumeroAFNegritaCaracter"/>
        </w:rPr>
        <w:t>2</w:t>
      </w:r>
      <w:r>
        <w:t>. El Juzgado de León, al conocer de la solicitud de autorización para entrar en el domicilio del actor, ha actuado de manera respetuosa con la inviolabilidad que de él predica el art. 18.2 de la Constitución. Sólo la concedió tras constatar: a) la existencia y autenticidad del acto administrativo; b) que su ejecución requería efectivamente la entrada -al tratarse precisamente de un desalojo, por cese en el cargo anejo a la residencia oficial-; y c) que le acto administrativo se encontraba en fase de ejecución, y no había sido objeto de suspensión por parte de autoridad administrativa o judicial alguna.</w:t>
      </w:r>
    </w:p>
    <w:p w:rsidR="00A12D44" w:rsidRDefault="00A12D44" w:rsidP="00A12D44">
      <w:pPr>
        <w:pStyle w:val="TextoNormal"/>
      </w:pPr>
      <w:r>
        <w:t>Tanto el Juzgado como la Audiencia tuvieron muy en cuenta la jurisprudencia constitucional que, especialmente en la STC 144/1987, fundamento jurídico 2. , ha perfilado la potestad que ejerce el Juez en este tipo de supuestos, en que - al margen de encuadrarse en el orden judicial penal- actúa como garante del derecho fundamental a la inviolabilidad del domicilio que consagra la Constitución. Por lo que no era posible revisar en su totalidad la legalidad del acto cuya ejecución se pretendía con la entrada domiciliar, competencia que corresponde según la legislación vigente a los Tribunales del orden contencioso-administrativo; era suficiente con asegurar, como afirmamos en la mencionada Sentencia, que dicha entrada es necesaria para «la ejecución de un acto que prima facie parece dictado por autoridad competente en ejercicio de facultades propias» (STC 144/1987, fundamento jurídico 2. ).</w:t>
      </w:r>
    </w:p>
    <w:p w:rsidR="00A12D44" w:rsidRDefault="00A12D44" w:rsidP="00A12D44">
      <w:pPr>
        <w:pStyle w:val="TextoNormal"/>
      </w:pPr>
      <w:r>
        <w:t>Por lo que se refiere a la audiencia previa, como ha puesto de manifiesto el ATC 129/1990, fundamento jurídico 6. , el ejercicio de esta función de control, preventivo y prima facie, no requiere que necesariamente y en todo caso el órgano judicial se pronuncie después de conocer los motivos de oposición del morador, como si se tratase de un proceso, salvo que la Ley así lo dispusiera.  Por lo demás, al prever que se le notificase el Auto que otorgó la autorización (de acuerdo con el art. 566 L.E.Crim.), y efectuarse esa notificación con antelación al lanzamiento, el Juzgado de León hizo posible que -mediante el correspondiente recurso de reforma- el afectado gozara de la oportunidad de ofrecer en tiempo útil sus razones, de tal modo que la autoridad judicial pudo recapacitar su decisión sin entorpecer indebidamente la ejecución administrativa. La cual sólo fue llevada a efecto después de que el Auto de 23 de julio de 1990 hubiera desestimado las alegaciones verti</w:t>
      </w:r>
      <w:r>
        <w:lastRenderedPageBreak/>
        <w:t>das por el interesado en su recurso de reforma. Este dato, y la matización en el control que efectuó el Juzgado al inquirir acerca del estado de ejecutividad o suspensión del acto administrativo, son dignos de encomio.</w:t>
      </w:r>
    </w:p>
    <w:p w:rsidR="00A12D44" w:rsidRDefault="00A12D44" w:rsidP="00A12D44">
      <w:pPr>
        <w:pStyle w:val="TextoNormal"/>
      </w:pPr>
    </w:p>
    <w:p w:rsidR="00A12D44" w:rsidRDefault="00A12D44" w:rsidP="00A12D44">
      <w:pPr>
        <w:pStyle w:val="TextoNormal"/>
      </w:pPr>
      <w:r w:rsidRPr="00A12D44">
        <w:rPr>
          <w:rStyle w:val="NumeroAFNegritaCaracter"/>
        </w:rPr>
        <w:t>3</w:t>
      </w:r>
      <w:r>
        <w:t>. No obstante, el demandante de amparo niega que el Juzgado haya realizado adecuadamente el juicio acerca de si la orden de desalojo había sido dictada realmente «por autoridad competente en ejercicio de funciones propias».</w:t>
      </w:r>
    </w:p>
    <w:p w:rsidR="00A12D44" w:rsidRDefault="00A12D44" w:rsidP="00A12D44">
      <w:pPr>
        <w:pStyle w:val="TextoNormal"/>
      </w:pPr>
      <w:r>
        <w:t>Hay que desdeñar sin más la detallada alegación que formula negando la competencia del Director General de la Guardia Civil para ordenar el desalojo, y la del General Jefe de Zona para solicitar la autorización judicial, pues en ningún caso cabría hablar de incompetencia manifiesta, en línea con lo establecido por el art. 47.1 a) de la Ley de Procedimiento Administrativo (L.P.A.). Es palmario que a la hora de resolver sobre una autorización de entrada en domicilio, no es razonable ni adecuado exigir del Juzgado que controle la distribución interna de facultades entre las autoridades administrativas, según resultan en este caso del Reglamento para el Servicio del Cuerpo de la Guardia Civil aprobado por la Orden del Ministerio de la Gobernación de 14 de mayo de 1943, del Reglamento orgánico de la Dirección de la Guardia Civil, formado junto con otras disposiciones por el Real Decreto 58/1987, de 16 de enero, y por la Orden del Ministerio de Relaciones con las Cortes de 20 de mayo de 1988, y de otros preceptos legales y reglamentarios que el recurrente no cita, pero que se podían traer igualmente a colación.</w:t>
      </w:r>
    </w:p>
    <w:p w:rsidR="00A12D44" w:rsidRDefault="00A12D44" w:rsidP="00A12D44">
      <w:pPr>
        <w:pStyle w:val="TextoNormal"/>
      </w:pPr>
      <w:r>
        <w:t>El nudo del recurso, no obstante, se cifra en denunciar la carencia de cobertura legal de la actuación administrativa. Es indudable que la entrada en un domicilio particular contra la voluntad de su ocupante sólo puede ser llevada a cabo cuando se encuentra prevista expresamente por una Ley. Esta exigencia de habilitación legal específica mana directamente de la Constitución, dado que la entrada forzosa supone una inmisión en un ámbito protegido por su art. 18. No está de más señalar que este requisito esencial no es una novedad en nuestro Derecho, como luego veremos; pero ahora encuentra un fundamento constitucional que refuerza sus efectos.</w:t>
      </w:r>
    </w:p>
    <w:p w:rsidR="00A12D44" w:rsidRDefault="00A12D44" w:rsidP="00A12D44">
      <w:pPr>
        <w:pStyle w:val="TextoNormal"/>
      </w:pPr>
      <w:r>
        <w:t>Es indudable que el Juez que garantiza la inviolabilidad del domicilio, que según la L.O.P.J. de 1985 es del orden penal, no tiene que asegurar en fase preventiva el control de legalidad de la actividad de la Administración. Pero, para enjuiciar si el acto que conlleva la entrada domiciliar ha sido dictado «por autoridad competente en ejercicio de funciones propias», parece imprescindible que la Administración muestre el precepto de Ley que le permite imponer su entrada en el domicilio de un ciudadano. Lo cual no excede el control judicial prima facie que la Constitución requiere para preservar la inviolabilidad del domicilio. Pues bien, la apariencia de legalidad que ofrece el art. 8 de la Ley de Patrimonio del Estado, precepto con rango de Ley, es suficiente para entender cumplida la función de enjuiciar si el acto que conlleva la entrada domiciliar ha sido dictado «por autoridad competente en ejercicio de funciones propias», que es todo lo que requiere el art. 18.2 C.E.</w:t>
      </w:r>
    </w:p>
    <w:p w:rsidR="00A12D44" w:rsidRDefault="00A12D44" w:rsidP="00A12D44">
      <w:pPr>
        <w:pStyle w:val="TextoNormal"/>
      </w:pPr>
      <w:r>
        <w:t>Por consiguiente, es manifiesto que no hubo vulneración del derecho fundamental a la inviolabilidad del domicilio del señor Morugán.</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Esta conclusión priva de todo contenido a la demanda de amparo. Pues resulta evidente que la autorización judicial de entrada fue emitida mediante resoluciones judiciales suficientemente motivadas y fundadas en Derecho, desde la óptica del art. 24.1 de la Constitución. Sin que el recurso constitucional de amparo pueda servir para corregir la fundamentación jurídica de resoluciones dictadas en apelación, que sustentan un fallo que no vulnera ningún derecho fundamental (STC 68/1988, fundamento jurídico 3. ). Y sin </w:t>
      </w:r>
      <w:r>
        <w:lastRenderedPageBreak/>
        <w:t>que pueda estimarse en modo alguno lesionada la intimidad familiar del actor que protege el art.  18.1 C.E., sin duda perturbada por la entrada y el lanzamiento de la vivienda en la que se venía desarrollando, pero que no puede esgrimiese para retener indebidamente la posesión de una vivienda.</w:t>
      </w:r>
    </w:p>
    <w:p w:rsidR="00A12D44" w:rsidRDefault="00A12D44" w:rsidP="00A12D44">
      <w:pPr>
        <w:pStyle w:val="TextoNormal"/>
      </w:pPr>
      <w:r>
        <w:t>En cuanto a la supuesta indefensión en que se habría encontrado su esposa, al no haber sido oída por los órganos judiciales, es patente la contradicción en que incurre la demanda de amparo. Pues si los derechos e intereses legítimos de la señora Gómez García sobre la residencia que ocupaba la familia eran discernibles de los de su cónyuge, es a ella a quien corresponde ejercer las acciones que estime precisas para su defensa (art. 71 C.C., y arts. 32 y 14 C.E.), careciendo su esposo de legitimación y de apoderamiento para ello [art.  46.1 b) LOTC]. Y si, en cambio, existe una coincidencia de intereses que justifica la actuación del marido en su defensa, resultaría evidente que no hubo asomo de la indefensión alegada, porque la enérgica y competente actuación desplegada por él ante los Tribunales hizo sin duda uso de los medios legales de defensa disponibles (STC 7/1981, fundamento jurídico 1. ).</w:t>
      </w:r>
    </w:p>
    <w:p w:rsidR="00A12D44" w:rsidRDefault="00A12D44" w:rsidP="00A12D44">
      <w:pPr>
        <w:pStyle w:val="TextoNormal"/>
      </w:pPr>
    </w:p>
    <w:p w:rsidR="00A12D44" w:rsidRDefault="00A12D44" w:rsidP="00A12D44">
      <w:pPr>
        <w:pStyle w:val="TextoNormal"/>
      </w:pPr>
      <w:r w:rsidRPr="00A12D44">
        <w:rPr>
          <w:rStyle w:val="NumeroAFNegritaCaracter"/>
        </w:rPr>
        <w:t>5</w:t>
      </w:r>
      <w:r>
        <w:t>. Por último, no es posible dejar de señalar que el actor abandonó su residencia un mes antes de que fuera pedida, y fuera concedida, la autorización judicial en litigio. Y que, desde el día 5 de juro de 1990 en que se le notificó la desestimación de su recurso de reposición contra la orden de desalojo, pudo interponer recurso contencioso-administrativo, e instar en ese mismo momento la suspensión cautelar (art. 123.1 L.J.C.A.), cosa que no hizo hasta el siguiente día 30, cuando ya era demasiado tarde, como él mismo reconoce, porque el desalojo había tenido lugar el día 24 de julio de 1990.</w:t>
      </w:r>
    </w:p>
    <w:p w:rsidR="00A12D44" w:rsidRDefault="00A12D44" w:rsidP="00A12D44">
      <w:pPr>
        <w:pStyle w:val="TextoNormal"/>
      </w:pPr>
      <w:r>
        <w:t>5. Por último, no es posible dejar de señalar que el actor abandonó su residencia un mes antes de que fuera pedida, y, fuera concedida, la autorización judicial en litigio. Y que, desde el día 5 de julio de 1990 en que se le notificó la desestimación de su recurso de reposición contra la orden de desalojo, pudo interponer recurso contencioso-administrativo, e instar en ese mismo momento la suspensión cautelar (art. 123.1 L.J.C.A.), cosa que no hizo hasta el siguiente día 30, cuando ya era demasiado tarde, como él mismo reconoce, porque el desalojo había tenido lugar el día 24 de julio de 1990.</w:t>
      </w:r>
    </w:p>
    <w:p w:rsidR="00A12D44" w:rsidRDefault="00A12D44" w:rsidP="00A12D44">
      <w:pPr>
        <w:pStyle w:val="TextoNormal"/>
      </w:pPr>
      <w:r>
        <w:t xml:space="preserve">Si se tienen en cuenta todos estos datos, fluyen con naturalidad dos conclusiones. Primera, que lo que en este recurso de amparo se pretende (la anulación de la autorización judicial de entrada) no serviría en absoluto para preservar o restablecer su derecho a la inviolabilidad del domicilio. Y secunda, que la falta de protección judicial de que se queja el demandante proviene de su inactividad, en una medida igual de su actividad desencaminada, ante los Tribunales. El afectado pudo acudir a los Tribunales contencioso- administrativos desde el momento mismo en que la resolución de desalojo causó estado en la vía administrativa; pues, aunque es un dato elemental que la ley permite interponer el recurso contencioso-administrativo en el término de dos meses, es igualmente elemental que el justiciable no está obligado a aguardar a que el plazo transcurra para impetrar la tutela judicial de sus derechos e intereses legítimos. Y, como hemos señalado con ocasión de un supuesto análogo en nuestro reciente STC 371/1991, al habérsele notificado personalmente el acto administrativo de desalojo, cuya ejecución requería la entrada en el domicilio, el actor contó con una oportunidad para impetrar la protección que proveen los Tribunales del orden contencioso-administrativo, que se extiende incluso a las vías de hecho (STC 160/1991, fundamento jurídico 4. ), e incluye la facultad de suspender cautelarmente los actos administrativos en vía de ejecución en los términos que resulten precisos para garantizar la tutela judicial efectiva de los derechos implicados (STC 144/1987, fundamento </w:t>
      </w:r>
      <w:r>
        <w:lastRenderedPageBreak/>
        <w:t>jurídico 2. , y 66/1984, fundamento jurídico 3. ). Desde luego, no puede alegar falta de tutela judicial en los términos que ordena el art. 24.1 de la Constitución quien no la solicita con la celeridad que razonablemente exigen las circunstancias, o quien formula ante los Juzgados de Instrucción las pretensiones cuyo conocimiento corresponde a los Tribunales de lo contencioso-administrativo.</w:t>
      </w:r>
    </w:p>
    <w:p w:rsidR="00A12D44" w:rsidRDefault="00A12D44" w:rsidP="00A12D44">
      <w:pPr>
        <w:pStyle w:val="TextoNormal"/>
      </w:pPr>
      <w:r>
        <w:t>El art. 41.3 LOTC exige que las pretensiones hechas valer en el recurso constitucional de amparo sean dirigidas a restablecer o preservar los derechos fundamentales invocados. Lo cual enlaza con la imperiosa necesidad de que el hipotético otorgamiento del amparo surta un efecto útil (STC 175/1990, fundamento jurídico 2. ). Y es doctrina consolidada que no puede pretender la reparación de supuestas indefensiones quien, por su pasividad, negligencia o impericia, la ha causado (STC 92/1983, fundamento jurídico 3. ; 58/1987, fundamento jurídico 3. ; 102/1987, fundamento jurídico 2. ; 147/1990, fundamento jurídico 4. ; y 196/1990, fundamento jurídico 2. ). La propia actuación del demandante de amparo, al no haber instado temporáneamente la suspensión cautelar de la orden de desalojo a quien tenía competencia para decidirlo, que era la Sala correspondiente del orden contencioso- administrativo, conduce a entender no sólo inútil su recurso de amparo [y por ende inadmisible, ex arts. 50.1 a) y 41.3 LOTC], sino asimismo carente de contenido que justifique su admisión [LOTC art. 50.1 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de amparo.</w:t>
      </w:r>
    </w:p>
    <w:p w:rsidR="00A12D44" w:rsidRDefault="00A12D44" w:rsidP="00A12D44">
      <w:pPr>
        <w:pStyle w:val="TextoNormal"/>
      </w:pPr>
    </w:p>
    <w:p w:rsidR="00A12D44" w:rsidRDefault="00A12D44" w:rsidP="00A12D44">
      <w:pPr>
        <w:pStyle w:val="TextoNormal"/>
      </w:pPr>
      <w:r>
        <w:t>Notifíquese al recurrente y al Ministerio Fiscal.</w:t>
      </w: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7" w:name="AUTO_1992_86"/>
      <w:r>
        <w:lastRenderedPageBreak/>
        <w:t>AUTO 86/1992, de 30 de marzo de 1992</w:t>
      </w:r>
    </w:p>
    <w:bookmarkEnd w:id="157"/>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ECLI:ES:TC:1992:86A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478/1991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el 1 de marzo de 1991, don Argimiro Vázquez Guillén, Procurador de los Tribunales, en nombre y representación de don Manuel Jiménez Alcaide, presenta demanda de amparo contra la resolución del Fondo de Garantía Salarial de 4 de diciembre de 1989 y la Sentencia de 15 de enero de 1991 (se indica que por error en la Sentencia figura 1990) del Juzgado de lo Social núm. 5 de Málaga.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en que se funda la demanda son, en síntesis, los siguientes: </w:t>
      </w:r>
    </w:p>
    <w:p w:rsidR="00A12D44" w:rsidRDefault="00A12D44" w:rsidP="00A12D44">
      <w:pPr>
        <w:pStyle w:val="TextoNormal"/>
      </w:pPr>
      <w:r>
        <w:t xml:space="preserve">a) El demandante de amparo presentó demanda ante la Magistratura de Trabajo, el 11 de mayo de 1987, contra las empresas «Construcciones Rojas García, S. A.», y contra «Industrias Merchán, S. A.» (esta última en suspensión de pagos) y sus interventores judiciales. En esta demanda pedía el pago de determinadas cantidades en concepto de deudas salariales. </w:t>
      </w:r>
    </w:p>
    <w:p w:rsidR="00A12D44" w:rsidRDefault="00A12D44" w:rsidP="00A12D44">
      <w:pPr>
        <w:pStyle w:val="TextoNormal"/>
      </w:pPr>
      <w:r>
        <w:t xml:space="preserve">b) Por Sentencia de 17 de noviembre de 1987, la Magistratura de Trabajo núm. 4 de Málaga estimó la demanda condenando solidariamente a los demandados al pago de la cantidad. </w:t>
      </w:r>
    </w:p>
    <w:p w:rsidR="00A12D44" w:rsidRDefault="00A12D44" w:rsidP="00A12D44">
      <w:pPr>
        <w:pStyle w:val="TextoNormal"/>
      </w:pPr>
      <w:r>
        <w:t xml:space="preserve">c) Por Auto de 10 de enero de 1989 ambas empresas fueron declaradas en situación de insolvencia provisional. </w:t>
      </w:r>
    </w:p>
    <w:p w:rsidR="00A12D44" w:rsidRDefault="00A12D44" w:rsidP="00A12D44">
      <w:pPr>
        <w:pStyle w:val="TextoNormal"/>
      </w:pPr>
      <w:r>
        <w:t xml:space="preserve">d) El ahora demandante de amparo, el 18 de octubre de 1989 solicitó el Fondo de Garantía Salarial el pago de la cantidad acordada en la Sentencia, con causa en la operatitividad de la declaración de insolvencia. </w:t>
      </w:r>
    </w:p>
    <w:p w:rsidR="00A12D44" w:rsidRDefault="00A12D44" w:rsidP="00A12D44">
      <w:pPr>
        <w:pStyle w:val="TextoNormal"/>
      </w:pPr>
      <w:r>
        <w:t xml:space="preserve">e) Por resolución de 4 de diciembre de 1989 el Fondo de Garantía Salarial desestimó la solicitud consignando dos motivos para la negación que eran: 1. que los créditos de los trabajadores no aparecían incluidos en la lista de acreedores de las empresas suspensas, y 2. que no había sido citado en el procedimiento concursal. </w:t>
      </w:r>
    </w:p>
    <w:p w:rsidR="00A12D44" w:rsidRDefault="00A12D44" w:rsidP="00A12D44">
      <w:pPr>
        <w:pStyle w:val="TextoNormal"/>
      </w:pPr>
      <w:r>
        <w:t xml:space="preserve">f) El 24 de octubre de 1990 presentó demanda contra el Fondo de Garantía Salarial pidiendo el pago de la cantidad denegada en vía administrativa. </w:t>
      </w:r>
    </w:p>
    <w:p w:rsidR="00A12D44" w:rsidRDefault="00A12D44" w:rsidP="00A12D44">
      <w:pPr>
        <w:pStyle w:val="TextoNormal"/>
      </w:pPr>
      <w:r>
        <w:t>g) En la demanda se razonaba (sintéticamente expuesto) que la solicitud de pago subrogado se hacía en base a la insolvencia provisional de las demandadas, que el crédito reclamado era deuda de la masa de la suspensión de pagos de la empresa «Industrias Merchán, S. A.», al tratarse de un crédito producido con posterioridad a la iniciación del procedimiento de suspensión de pagos, por lo que no pudo ser incluido en la lista de acreedo</w:t>
      </w:r>
      <w:r>
        <w:lastRenderedPageBreak/>
        <w:t xml:space="preserve">res, y ello con independencia de que, al ser créditos salariales, gozaban del privilegio de la ejecución singular aunque existiese un procedimiento concursal, ya que no fue iniciado por él y su crédito era posterior al concurso: por último se indicaba que la actuación del Fondo de Garantía Salarial era totalmente discriminatoria, ya que la solicitud de pago subrogado de otros trabajadores que estarían en las mismas circunstancias (exp. 308/1989), fue atendida directamente por el Fondo de Garantía Salarial. </w:t>
      </w:r>
    </w:p>
    <w:p w:rsidR="00A12D44" w:rsidRDefault="00A12D44" w:rsidP="00A12D44">
      <w:pPr>
        <w:pStyle w:val="TextoNormal"/>
      </w:pPr>
      <w:r>
        <w:t>h) El 15 de enero de 1991, el Juzgado de lo Social núm. 5 de los de Málaga dictó Sentencia desestimando la demanda, acogiendo la argumentación de la resolución del Fondo de Garantía Salarial.</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la demanda de amparo, en síntesis, se razona que el art. 14 de la C.E. se habría violado porque a otros trabajadores en su misma situación se les habría reconocido por el Fondo de Garantía Salarial el derecho que a él se le niega e indica que no se puede mantener que, en este caso, se tratase de una igualación en la ilegalidad, pues la legalidad aplicable no llevaría a la consecuencia reflejada en la Sentencia, va que sólo «Industrias Merchan, S. A.» había sido declarada en estado legal de suspensión de pagos; por otro lado, los créditos de los trabajadores constituían deudas de la masa de la suspensión de pagos y no era posible incluirlos en la lista de acreedores de la suspensa; tampoco los trabajadores son parte en el procedimiento concursal; y por último, la petición no fue formulada porque la empresa estuviese en suspensión de pagos, sino porque había sido declarada insolvente provisional en ejecución de Sentencia. </w:t>
      </w:r>
    </w:p>
    <w:p w:rsidR="00A12D44" w:rsidRDefault="00A12D44" w:rsidP="00A12D44">
      <w:pPr>
        <w:pStyle w:val="TextoNormal"/>
      </w:pPr>
      <w:r>
        <w:t xml:space="preserve">Con referencia al art. 24.1 de la C.E., aduce que se habría violado, pues el Juzgador no habría resuelto sobre la no aplicación del art. 33.3 del Estatuto de los Trabajadores, ni sobre la invocación referente al principio de igualdad, por lo que concurriría incongruencia y denegación técnica de justicia. </w:t>
      </w:r>
    </w:p>
    <w:p w:rsidR="00A12D44" w:rsidRDefault="00A12D44" w:rsidP="00A12D44">
      <w:pPr>
        <w:pStyle w:val="TextoNormal"/>
      </w:pPr>
      <w:r>
        <w:t>Acaba solicitando que se declare la nulidad de la resolución del Fondo de Garantía Salarial de 4 de diciembre de 1989 y de la Sentencia de 15 de enero de 1991, dictada por el Juzgado de lo Social núm. 5 de los de Málaga en los autos 1822/90, que se declare su derecho a recibir un trato no discriminatorio, y subsidiariamente, que se retrotraigan las actuaciones al momento posterior a la celebración del juicio oral, para que el Juzgado resuelva en una nueva Sentencia sobre las cuestiones planteadas.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6 de mayo de 1991, se acordó abrir el trámite previsto en el art. 50.3 de la LOTC, concediendo un plazo común de diez días al Ministerio Fiscal y al solicitante de amparo, para que alegasen lo que estimasen pertinente acerca de la posibilidad de que la demanda careciera,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5</w:t>
      </w:r>
      <w:r>
        <w:t>. El demandante de amparo en este trámite, por escrito registrado el 22 de mayo de 1991, viene a reproducir, sucintamente, los argumentos de la demanda.</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Por escrito registrado el 23 de mayo de 1991, el Ministerio Fiscal interesa la inadmisión de la demanda por entender que carece de contenido constitucional, que justifique la decisión de este Tribunal en forma de Sentencia. En síntesis, indica que a través del cauce procesal elegido (art. 44 de la LOTC), se constata que no se ha violado el principio de igualdad en la aplicación de la Ley, pues no está acreditado que el caso de los trabajadores ofrecido como término de comparación sea igual al del recurrente, sin que la identidad pueda deducirse, sin más, de las fotocopias de las resoluciones aportadas con la demanda. </w:t>
      </w:r>
      <w:r>
        <w:lastRenderedPageBreak/>
        <w:t>Asimismo, manifiesta que el término de comparación es totalmente inidóneo, ya que la vulneración podría haberse producido si la modificación de criterio proviniese del mismo órgano judicial, por lo que más bien se está en presencia de una pura discrepancia con los hechos y la valoración de la norma que ha hecho el Juzgador. Por último, por lo que respecta a la posible lesión del art. 24.1 de la C.E., se refiere a que la congruencia como postulado constitucional obliga, no a contestar uno por uno los razonamientos de las partes, sino a fallar sobre lo pedido, no alterando los términos del debate procesal; por tanto, la congruencia ha de en relación con el fallo, y en este caso no puede decirse que el Juzgado haya resuelto algo distinto de lo pedido, pues ha argumentado que el Fogasa no es responsable del pago de la cantidad reclamada desestimando la demanda. En consecuencia, la Sentencia no ha incurrido en incongruencia omisiva, pues asimismo estaría rechazando implícitamente que concurra discriminación.</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demandante denuncia, en primer lugar, que se ha vulnerado el art. 14 de la Constitución, pues a otros trabajadores, en su misma situación, se les ha reconocido por el Fondo de Garantía Salarial el derecho que a él se le niega definitivamente por la Sentencia recurrida del Juzgado de lo Social.</w:t>
      </w:r>
    </w:p>
    <w:p w:rsidR="00A12D44" w:rsidRDefault="00A12D44" w:rsidP="00A12D44">
      <w:pPr>
        <w:pStyle w:val="TextoNormal"/>
      </w:pPr>
      <w:r>
        <w:t>Este Tribunal ha declarado que la vulneración del principio de igualdad en la aplicación de la ley requiere la presencia de tres elementos, a saber: primero, que el término de comparación ofrecido esté constituido por una resolución recaída en un supuesto igual; segundo, que la resolución proceda del mismo órgano judicial; y, por último, que el apartamiento del criterio anterior se realice, en todo caso, de forma no razonada o arbitraria.</w:t>
      </w:r>
    </w:p>
    <w:p w:rsidR="00A12D44" w:rsidRDefault="00A12D44" w:rsidP="00A12D44">
      <w:pPr>
        <w:pStyle w:val="TextoNormal"/>
      </w:pPr>
      <w:r>
        <w:t>Pues bien, si como indica el Ministerio Fiscal, no está acreditado que el supuesto de los trabajadores que el recurrente ofrece como término de comparación sea igual al suyo, y además la comparación no se establece entre resoluciones del mismo Juzgado de lo Social, sino poniendo en relación una Sentencia de éste con una resolución administrativa, es claro que no se dan los presupuestos de la lesión alegada.</w:t>
      </w:r>
    </w:p>
    <w:p w:rsidR="00A12D44" w:rsidRDefault="00A12D44" w:rsidP="00A12D44">
      <w:pPr>
        <w:pStyle w:val="TextoNormal"/>
      </w:pPr>
    </w:p>
    <w:p w:rsidR="00A12D44" w:rsidRDefault="00A12D44" w:rsidP="00A12D44">
      <w:pPr>
        <w:pStyle w:val="TextoNormal"/>
      </w:pPr>
      <w:r w:rsidRPr="00A12D44">
        <w:rPr>
          <w:rStyle w:val="NumeroAFNegritaCaracter"/>
        </w:rPr>
        <w:t>2</w:t>
      </w:r>
      <w:r>
        <w:t>. El demandante de amparo afirma también que la Sentencia recurrida ha vulnerado el art. 24.1 de la Constitución, incurriendo en incongruencia omisiva o denegación técnica de justicia, pues el Juzgador no se ha pronunciado sobre la inaplicabilidad del art. 33.3 del Estatuto de los Trabajadores, ni sobre la presunta vulneración del principio de igualdad.</w:t>
      </w:r>
    </w:p>
    <w:p w:rsidR="00A12D44" w:rsidRDefault="00A12D44" w:rsidP="00A12D44">
      <w:pPr>
        <w:pStyle w:val="TextoNormal"/>
      </w:pPr>
      <w:r>
        <w:t>Es doctrina de este Tribunal que para que se produzca la vulneración del art.  24.1 de la Constitución por esta causa se requiere que se haya planteado la cuestión cuyo conocimiento y decisión por el órgano sea trascendente para el fallo, que no se le dé una respuesta razonada por parte del órgano judicial (STC 5/1990) y, en fin,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razonablemente interpretado o no como una desestimación tácita que satisfaga suficientemente la exigencia del derecho a la tutela judicial (STC 198/1990). Asimismo, este Tribunal ha declarado en una abundante jurisprudencia que el derecho a la tutela judicial efectiva se satisface cuando el órgano jurisdiccional se pronuncia sobre las cuestiones planteadas en el proceso o en sus incidentes mediante una resolución razonada y fundada en Derecho (STC 124/1988), sin que quepa residenciar en vía de amparo constitucional el enjui</w:t>
      </w:r>
      <w:r>
        <w:lastRenderedPageBreak/>
        <w:t>ciamiento de la parquedad o concentración del razonamiento, si éste permite conocer el motivo que justifique la decisión y garantiza, consecuentemente, la exclusión de arbitrariedad.</w:t>
      </w:r>
    </w:p>
    <w:p w:rsidR="00A12D44" w:rsidRDefault="00A12D44" w:rsidP="00A12D44">
      <w:pPr>
        <w:pStyle w:val="TextoNormal"/>
      </w:pPr>
      <w:r>
        <w:t>En el presente caso el Juez de lo Social ha considerado aplicable el art. 33.3 del Estatuto de los Trabajadores, lo que determina la desestimación de la demanda. Esta decisión no atenta contra el principio de congruencia, pues responde a la tesis mantenida por el Fondo de Garantía Salarial y, en todo caso, implícitamente supone la desestimación de la argumentación mantenida por el actor en vía judicial, ya que, según la fundamentación de la Sentencia recurrida, resultaría que, de acceder a lo que pretende el demandante de amparo, se produciría una igualación en la ilegalidad. No ha habido, pues, incongruencia omisiva, por lo que la demanda carece manifiestamente de contenido constitucional.</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8" w:name="AUTO_1992_87"/>
      <w:r>
        <w:lastRenderedPageBreak/>
        <w:t>AUTO 87/1992, de 30 de marzo de 1992</w:t>
      </w:r>
    </w:p>
    <w:bookmarkEnd w:id="158"/>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ECLI:ES:TC:1992:87A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el levantamiento de la suspensión acordada por ATC 302/1991 en el recurso de amparo 955/1991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este Tribunal el 10 de mayo de 1991, don José Manuel Villasante García, Procurador de los Tribunales, interpuso, en nombre y representación de la «Asociación de Grandes y Medianas Empresas de Distribución» (ANGED), recurso de amparo contra la Sentencia de la Sala de lo Social de la Audiencia Nacional de 19 de febrero de 1991, que revocó en suplicación la dictada por el Juzgado de lo Social núm. 19 de Madrid el 30 de junio de 1990.</w:t>
      </w:r>
    </w:p>
    <w:p w:rsidR="00A12D44" w:rsidRDefault="00A12D44" w:rsidP="00A12D44">
      <w:pPr>
        <w:pStyle w:val="TextoNormal"/>
      </w:pPr>
    </w:p>
    <w:p w:rsidR="00A12D44" w:rsidRDefault="00A12D44" w:rsidP="00A12D44">
      <w:pPr>
        <w:pStyle w:val="TextoNormal"/>
      </w:pPr>
      <w:r w:rsidRPr="00A12D44">
        <w:rPr>
          <w:rStyle w:val="NumeroAFNegritaCaracter"/>
        </w:rPr>
        <w:t>2</w:t>
      </w:r>
      <w:r>
        <w:t>. En providencia de 1 de julio de 1991, la Sección Cuarta acordó, de conformidad con lo dispuesto en el art. 50.3 LOTC, conceder un plazo común de diez días a la solicitante de amparo y al Ministerio Fiscal para que formulen alegaciones sobre la posible concurrencia de la causa de inadmisión del art. 50.1 c) LOTC. Realizadas las alegaciones correspondientes, la referida Sección acordó, en providencia de 11 de septiembre de 1991, admitir a trámite la demanda de amparo, con los efectos correspondientes.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otra providencia de 11 de septiembre de 1991, la Sección Cuarta acordó formar, con copia de la demanda de amparo, pieza separada de la suspensión y conceder con arreglo a lo dispuesto en el art. 56.2 LOTC, un plazo común de tres días a la solicitante de amparo y al Ministerio Fiscal para la formulación de alegaciones. </w:t>
      </w:r>
    </w:p>
    <w:p w:rsidR="00A12D44" w:rsidRDefault="00A12D44" w:rsidP="00A12D44">
      <w:pPr>
        <w:pStyle w:val="TextoNormal"/>
      </w:pPr>
      <w:r>
        <w:t>Para la demandante de amparo, es «absolutamente esencial» la concesión de la suspensión interesada. La interpretación del convenio colectivo que realiza la Sentencia impugnada posee «enorme trascendencia económica para las empresas del sector de distribución que puede evaluarse en conjunto en decenas y, posiblemente, cientos de millones de pesetas, dado el amplio colectivo afectado». De hecho, «ya se ha producido un aluvión de reclamaciones individuales ante los Juzgados de lo Social esgrimiento como título para ello la expresada Sentencia». En este contexto, la no concesión de la suspensión interesada conduciría a la pérdida de la finalidad del amparo, pues no se obtendrá lo que se pretende evitar con su interposición, «esto es, que la Sentencia impugnada despliegue sus efectos en otros procedimientos individuales creando situaciones posiblemente irreversibles». Por lo demás, no puede olvidarse que, aunque para las empresas la incidencia económica es ele</w:t>
      </w:r>
      <w:r>
        <w:lastRenderedPageBreak/>
        <w:t xml:space="preserve">vadísima, desde el punto de vista individual es escasa -y, a que las reclamaciones for- muladas hasta ahora no superan la cifra de 100.000 pesetas.-. «La cuestión controvertida en la Sentencia no afecta, pues, al derecho de subsistencia de los interesados que siguen en activo en sus respectivas empresas percibiendo normalmente sus salarios.» </w:t>
      </w:r>
    </w:p>
    <w:p w:rsidR="00A12D44" w:rsidRDefault="00A12D44" w:rsidP="00A12D44">
      <w:pPr>
        <w:pStyle w:val="TextoNormal"/>
      </w:pPr>
      <w:r>
        <w:t>El Ministerio Fiscal se muestra favorable a que se acceda a la suspensión interesada. Cierto que viene entendiéndose reiteradamente por la jurisprudencia constitucional que, en relación con las resoluciones judiciales, el criterio debe ser en principio el de la no suspensión. Sin embargo, en el presente caso. «de no suspenderse la ejecución... podría perder el amparo su finalidad por cuanto de otorgarse éste la parte recurrente se vería quizá impedida de recuperar las cantidades satisfechas a consecuencia de la Sentencia que se recurre. Por el contrario, si se denegara el amparo, los interesados no sufrirían las consecuencias de la suspensión, pues recibirían lo que les corresponde».</w:t>
      </w:r>
    </w:p>
    <w:p w:rsidR="00A12D44" w:rsidRDefault="00A12D44" w:rsidP="00A12D44">
      <w:pPr>
        <w:pStyle w:val="TextoNormal"/>
      </w:pPr>
    </w:p>
    <w:p w:rsidR="00A12D44" w:rsidRDefault="00A12D44" w:rsidP="00A12D44">
      <w:pPr>
        <w:pStyle w:val="TextoNormal"/>
      </w:pPr>
      <w:r w:rsidRPr="00A12D44">
        <w:rPr>
          <w:rStyle w:val="NumeroAFNegritaCaracter"/>
        </w:rPr>
        <w:t>4</w:t>
      </w:r>
      <w:r>
        <w:t>. La Sala Segunda dictó Auto de 14 de octubre de 1991, en cuya parte dispositiva se acuerda suspender la eficacia de la Sentencia de la Sala de lo Social de la Audiencia Nacional de 19 de febrero de 1991, dictada en recurso de suplicación especial contra la del Juzgado de lo Social núm. 19 de Madrid de 30 de junio de 1990.</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En el escrito presentado el 7 de febrero de 1992, en el trámite de alegaciones del art. 52.1 LOTC se interesó por la Procurad(-ira doña María Luz Albacar Medina, en representación de la Federación Estatal del Comercio de Comisiones Obreras, el levantamiento de la suspensión acordada el 14 de octubre de 1991. En apoyo de esta petición, se realizaban las siguientes alegaciones: </w:t>
      </w:r>
    </w:p>
    <w:p w:rsidR="00A12D44" w:rsidRDefault="00A12D44" w:rsidP="00A12D44">
      <w:pPr>
        <w:pStyle w:val="TextoNormal"/>
      </w:pPr>
      <w:r>
        <w:t xml:space="preserve">a) La pieza de suspensión se ha sustanciado y resuelto sin audiencia de las partes, que no se habían personado a pesar de la dicción literal del art. 56.2 LOTC. Ciertamente, los AATC 834/1985 y 671/1987 han justificado la falta de audiencia en la evitación de dilaciones indebidas que puedan hacer perder su virtualidad a la medida cautelar. Sin embargo, una interpretación extrema de esta restricción vacía de contenido la audiencia legalmente prevista. Por otro lado, la parte empresarial ha actuado de forma torticera, pues cuando se solicitó por los representantes de los trabajadores la ejecución de la Sentencia ahora impugnada no advirtió de la interposición de la demanda de amparo ni de la petición de suspensión, limitándose a interponer el 1 de agosto de 1991 recurso de reposición contra la correspondiente providencia. De este modo, la parte que ahora comparece sólo se ha enterado de la suspensión en el momento de realizar alegaciones en este recurso de amparo, es decir, siete meses después de haberse dictado la Sentencia impugnada; «tiempo más que suficiente para haber dado traslado a las partes con el fin de que alegasen lo que a su derecho conviniera en el trámite de suspensión». </w:t>
      </w:r>
    </w:p>
    <w:p w:rsidR="00A12D44" w:rsidRDefault="00A12D44" w:rsidP="00A12D44">
      <w:pPr>
        <w:pStyle w:val="TextoNormal"/>
      </w:pPr>
      <w:r>
        <w:t>b) Por otro lado, habida cuenta de que las empresas afectadas por la resolución impugnada «controlan las nóminas de sus trabajadores», los trabajadores resultan perjudicados por la suspensión pues sufren un daño irreparable «al ver cómo se dilata un procedimiento que habían ganado en Sentencia firme y que han visto cómo se ha admitido un recurso de amparo sin base ni fundamento alguno y después de suspender la ejecución del fallo».</w:t>
      </w:r>
    </w:p>
    <w:p w:rsidR="00A12D44" w:rsidRDefault="00A12D44" w:rsidP="00A12D44">
      <w:pPr>
        <w:pStyle w:val="TextoNormal"/>
      </w:pPr>
    </w:p>
    <w:p w:rsidR="00A12D44" w:rsidRDefault="00A12D44" w:rsidP="00A12D44">
      <w:pPr>
        <w:pStyle w:val="TextoNormal"/>
      </w:pPr>
      <w:r w:rsidRPr="00A12D44">
        <w:rPr>
          <w:rStyle w:val="NumeroAFNegritaCaracter"/>
        </w:rPr>
        <w:t>6</w:t>
      </w:r>
      <w:r>
        <w:t>. En providencia de 20 de febrero de 1992, la Sección Tercera acordó conceder un plazo de tres días a las representaciones del resto de las partes personadas y al Ministerio Fiscal para la formulación de alegaciones sobre la solicitud de levantamiento de suspensión formulada por la Federación Estatal del Comercio de Comisiones Obreras.</w:t>
      </w:r>
    </w:p>
    <w:p w:rsidR="00A12D44" w:rsidRDefault="00A12D44" w:rsidP="00A12D44">
      <w:pPr>
        <w:pStyle w:val="TextoNormal"/>
      </w:pPr>
    </w:p>
    <w:p w:rsidR="00A12D44" w:rsidRDefault="00A12D44" w:rsidP="00A12D44">
      <w:pPr>
        <w:pStyle w:val="TextoNormal"/>
      </w:pPr>
      <w:r w:rsidRPr="00A12D44">
        <w:rPr>
          <w:rStyle w:val="NumeroAFNegritaCaracter"/>
        </w:rPr>
        <w:t>7</w:t>
      </w:r>
      <w:r>
        <w:t>. La representación de la organización recurrente interesa la denegación de la petición. De una parte, tal y como reconoce el propio solicitante, la suspensión ha sido concedida de acuerdo con el criterio sostenido con anterioridad por el Tribunal: han sido oídas sólo las partes personadas a fin de evitar dilaciones necesarias y con audiencia del Ministerio Fiscal que tiene encomendada la defensa del interés público. De otro lado, la suspensión sólo puede levantarse, ex art. 57 LOTC, en virtud de circunstancias sobrevenidas o que no pudieran conocerse al tiempo de sustanciarse el incidente. Ninguna de ambas circunstancias concurre en el presente caso.</w:t>
      </w:r>
    </w:p>
    <w:p w:rsidR="00A12D44" w:rsidRDefault="00A12D44" w:rsidP="00A12D44">
      <w:pPr>
        <w:pStyle w:val="TextoNormal"/>
      </w:pPr>
    </w:p>
    <w:p w:rsidR="00A12D44" w:rsidRDefault="00A12D44" w:rsidP="00A12D44">
      <w:pPr>
        <w:pStyle w:val="TextoNormal"/>
      </w:pPr>
      <w:r w:rsidRPr="00A12D44">
        <w:rPr>
          <w:rStyle w:val="NumeroAFNegritaCaracter"/>
        </w:rPr>
        <w:t>8</w:t>
      </w:r>
      <w:r>
        <w:t>. La representación de la Federación Estatal de Comercio de la Unión General de Trabajadores hace suyos los razonamientos esgrimidos por la Federación de Comisiones Obreras y, en consecuencia, solicita la anulación de la suspensión.</w:t>
      </w:r>
    </w:p>
    <w:p w:rsidR="00A12D44" w:rsidRDefault="00A12D44" w:rsidP="00A12D44">
      <w:pPr>
        <w:pStyle w:val="TextoNormal"/>
      </w:pPr>
    </w:p>
    <w:p w:rsidR="00A12D44" w:rsidRDefault="00A12D44" w:rsidP="00A12D44">
      <w:pPr>
        <w:pStyle w:val="TextoNormal"/>
      </w:pPr>
      <w:r w:rsidRPr="00A12D44">
        <w:rPr>
          <w:rStyle w:val="NumeroAFNegritaCaracter"/>
        </w:rPr>
        <w:t>9</w:t>
      </w:r>
      <w:r>
        <w:t>. El Ministerio Fiscal «no se opone a lo solicitado por la Federación Estatal de Comisiones Obreras, habida cuenta que no fue oída en el trámite de suspensión». En consecuencia, interesa la anulación del Auto de 14 de octubre de 1991, con conservación de los dictámenes alegados por el Ministerio Fiscal y el resto de las partes personadas y audiencia y dictamen de la parte ahora reclamante».</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Federación del Comercio de CC.OO. solicita la revisión de la medida cautelar adoptada en nuestro Auto de 14 de octubre de 1991 sobre la base de que no fue oída en la sustanciación de la correspondiente pieza separada. Mas como la propia Federación conoce perfectamente, es doctrina reiterada de este Tribunal la de que «dado el carácter perentorio por naturaleza y a veces apremiante de la suspensión, la preceptiva audiencia lo será de las partes que estén personadas al tiempo de sustanciarse el incidente, sin esperar a personaciones futuras» (ATC 671/1987). En consecuencia, a pesar del informe del Ministerio Fiscal, favorable a la petición de la organización sindical, no es posible anular el Auto dictado el 14 de octubre de 1991 por la sola razón de no haber sido oídas las partes que, en el momento de abrirse la pieza separada de suspensión, todavía no se habían personado en el presente recurso de amparo.  Esta conclusión, por lo demás, no puede ser variada ni en atención a cuál haya sido la conducta de la organización recurrente en la tramitación de la ejecución de la Sentencia suspendida por la Jurisdicción ordinaria ni como consecuencia del tiempo transcurrido entre la interposición de la demanda de amparo y la emisión del Auto de suspensión. Lo relevante a efectos de abrir la pieza separada de suspensión es la admisión a trámite de la demanda, y ésta se produjo el 11 de septiembre de 1991, momento en el que la Federación Estatal del Comercio de CC.OO, no estaba todavía personada en este procedimiento.</w:t>
      </w:r>
    </w:p>
    <w:p w:rsidR="00A12D44" w:rsidRDefault="00A12D44" w:rsidP="00A12D44">
      <w:pPr>
        <w:pStyle w:val="TextoNormal"/>
      </w:pPr>
      <w:r>
        <w:t>En cualquier caso, la circunstancia de que una determinada parte no haya sido oída en la pieza separada de suspensión no impide que la misma pueda solicitar tras su personación la modificación de la resolución recaída en el incidente de suspensión, Así se desprende del art. 57 LOTC y de la anterior jurisprudencia de este Tribunal (por ejemplo, AATC 814/1987 y 703/1988). Es preciso por ello analizar las razones expuestas por CC.OO, para justificar la necesidad de revisión de la medida cautelar.</w:t>
      </w:r>
    </w:p>
    <w:p w:rsidR="00A12D44" w:rsidRDefault="00A12D44" w:rsidP="00A12D44">
      <w:pPr>
        <w:pStyle w:val="TextoNormal"/>
      </w:pPr>
    </w:p>
    <w:p w:rsidR="00A12D44" w:rsidRDefault="00A12D44" w:rsidP="00A12D44">
      <w:pPr>
        <w:pStyle w:val="TextoNormal"/>
      </w:pPr>
      <w:r w:rsidRPr="00A12D44">
        <w:rPr>
          <w:rStyle w:val="NumeroAFNegritaCaracter"/>
        </w:rPr>
        <w:t>2</w:t>
      </w:r>
      <w:r>
        <w:t>. La solicitud de revisión se fundamenta en que, habida cuenta que las empresas afectadas por la Sentencia impugnada tienen a su disposición medios para solventar los posibles efectos económicos de su revocación, la suspensión perjudica gravemente a los trabajadores por cuanto ven dilatada la ejecución de un pronunciamiento judicial firme que les beneficia. Obviamente, la alegación no puede ser atendida dados los términos del art, 57 LOTC. Este precepto autoriza la modificación de la suspensión «en virtud de circunstancias sobrevenidas o que no pudieron ser conocidas al tiempo de sustanciarse el incidente de suspensión». Sin embargo, nada de ello ocurre en el presente caso: la circunstancia puesta de manifiesto para reabrir la pieza separada ni es sobrevenida a los efectos del art. 57 LOTC ni era desconocida en el momento de acordar la suspensión. Por el contrario, los efectos económicos de la ejecución habían sido alegados por la organización empresarial para justificar la suspensión y fueron expresamente tomados en consideración por este Tribunal, aunque rechazados como motivación suficiente para acceder a la suspensión en el fundamento jurídico 2. del ATC 302/1991. La causa que llevó a acordar la medida cautelar fue otra muy distinta: como demuestra el ATC 302/1991, la Sala acordó la suspensión para evitar la eventual aparición de Sentencias firmes en procesos individuales condicionada por la eficacia prejudicial de la Sentencia de conflicto colectivo impugnada.  Y respecto de esta causa, las partes personadas con posterioridad no han alegado nada que pueda desvirtuar el criterio inicial de esta Sala.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Sala acuerda denegar el levantamiento de la suspensión adoptada por el ATC 302/1991.</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59" w:name="AUTO_1992_88"/>
      <w:r>
        <w:lastRenderedPageBreak/>
        <w:t>AUTO 88/1992, de 30 de marzo de 1992</w:t>
      </w:r>
    </w:p>
    <w:bookmarkEnd w:id="159"/>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ECLI:ES:TC:1992:88A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Desestimando recurso de súplica, contra providencia de inadmisión, de 17 de febrero de 1992, dictada en el recurso de amparo 1.747/1991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0" w:name="AUTO_1992_89"/>
      <w:r>
        <w:lastRenderedPageBreak/>
        <w:t>AUTO 89/1992, de 30 de marzo de 1992</w:t>
      </w:r>
    </w:p>
    <w:bookmarkEnd w:id="160"/>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ECLI:ES:TC:1992:89A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2.067/1991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xml:space="preserve">. El 16 de octubre de 1991 tuvo entrada en el Registro de este Tribunal un escrito de don Eduardo Morales Price, Procurador de los Tribunales, quien en nombre y representación de la «Mutua Patronal de Accidentes de Trabajo», MAPFRE, interpone recurso de amparo contra el Auto del Juzgado de lo Social de Teruel, de 4 de septiembre de 1991, por el que se acuerda la ejecución de la Sentencia dictada en procedimiento sobre declaración de invalidez derivada de accidentes de trabajo y se acuerda requerir a MAPFRE para que abonara al trabajador accidentado y ejecutante, don Julián Esteban Hernández, la cantidad de 628.118 pesetas en concepto d e intereses devengados desde que fue dictada la Sentencia de dicho Juzgado hasta que se decretó la entrega al trabajador del principal consignado. </w:t>
      </w:r>
    </w:p>
    <w:p w:rsidR="00A12D44" w:rsidRDefault="00A12D44" w:rsidP="00A12D44">
      <w:pPr>
        <w:pStyle w:val="TextoNormal"/>
      </w:pPr>
      <w:r>
        <w:t>Se invocan los arts. 14 y 24.1 de la Constitución.</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se basa en los siguientes antecedentes: </w:t>
      </w:r>
    </w:p>
    <w:p w:rsidR="00A12D44" w:rsidRDefault="00A12D44" w:rsidP="00A12D44">
      <w:pPr>
        <w:pStyle w:val="TextoNormal"/>
      </w:pPr>
      <w:r>
        <w:t xml:space="preserve">a) La «Mutua Patronal de Accidentes de Trabajo», MAPFRE, a consecuencia del reconocimiento en favor de don Julián Esteban Hernández de una incapacidad permanente parcial para su profesión habitual, fue condenada al pago de una prestación económica equivalente a veinticuatro mensualidades de la base reguladora del trabajador accidentado. </w:t>
      </w:r>
    </w:p>
    <w:p w:rsidR="00A12D44" w:rsidRDefault="00A12D44" w:rsidP="00A12D44">
      <w:pPr>
        <w:pStyle w:val="TextoNormal"/>
      </w:pPr>
      <w:r>
        <w:t xml:space="preserve">b) Disconforme con la resolución de la antigua Magistratura de Trabajo de Teruel, MAPFRE interpuso el correspondiente recurso de suplicación, que fue resuelto mediante Sentencia de 8 de marzo de 1991, por la que se desestimó las pretensiones de la entidad recurrente. </w:t>
      </w:r>
    </w:p>
    <w:p w:rsidR="00A12D44" w:rsidRDefault="00A12D44" w:rsidP="00A12D44">
      <w:pPr>
        <w:pStyle w:val="TextoNormal"/>
      </w:pPr>
      <w:r>
        <w:t xml:space="preserve">c) Instada la ejecución de la Sentencia por el trabajador accidentado, se solicitó el abono del principal y los intereses devengados y no satisfechos desde que fue dictada la resolución judicial por la antigua Magistratura de Trabajo de Teruel hasta que se pronunció el Tribunal Superior de Justicia. </w:t>
      </w:r>
    </w:p>
    <w:p w:rsidR="00A12D44" w:rsidRDefault="00A12D44" w:rsidP="00A12D44">
      <w:pPr>
        <w:pStyle w:val="TextoNormal"/>
      </w:pPr>
      <w:r>
        <w:t xml:space="preserve">d) Del escrito de ejecución se dio traslado a la entidad ejecutada para que en el plazo de diez días manifestara lo que estimara conveniente a su derecho. </w:t>
      </w:r>
    </w:p>
    <w:p w:rsidR="00A12D44" w:rsidRDefault="00A12D44" w:rsidP="00A12D44">
      <w:pPr>
        <w:pStyle w:val="TextoNormal"/>
      </w:pPr>
      <w:r>
        <w:t>e) Una vez contestado el escrito de solicitud de la ejecución, el Juzgado de lo Social de Teruel emitió Auto decretando la ejecución del principal y requiriendo a MAPFRE para que abonara los intereses legales devengados y no percibidos.</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3</w:t>
      </w:r>
      <w:r>
        <w:t xml:space="preserve">. En la demanda de amparo se alega la vulneración de los arts. 14 y 24.1 C.E. </w:t>
      </w:r>
    </w:p>
    <w:p w:rsidR="00A12D44" w:rsidRDefault="00A12D44" w:rsidP="00A12D44">
      <w:pPr>
        <w:pStyle w:val="TextoNormal"/>
      </w:pPr>
      <w:r>
        <w:t xml:space="preserve">El derecho a la tutela judicial efectiva se entiende vulnerado al considerar que la obligación decretada del pago de los intereses regulados en el art. 921 de la L.E.C. queda configurado en el proceso laboral como una sanción por la interposición del recurso, ya que la entidad ejecutada consignó el importe de la condena en el momento de recurrir en suplicación y el trabajador pudo, mediante la utilización de mecanismos específicos y propios del ordenamiento laboral, haber solicitado y disfrutado de la cantidad reconocida en la Sentencia dictada por la antigua Magistratura de Trabajo. </w:t>
      </w:r>
    </w:p>
    <w:p w:rsidR="00A12D44" w:rsidRDefault="00A12D44" w:rsidP="00A12D44">
      <w:pPr>
        <w:pStyle w:val="TextoNormal"/>
      </w:pPr>
      <w:r>
        <w:t>El art. 14 de la C.E. se entiende vulnerado ante el trato desigual y discriminatorio del que fue objeto MAPFRE al ser condenada al pago de los intereses a los que las Entidades Gestoras de la Seguridad Social no son obligadas.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20 de febrero de 1992, la Sección acordó conceder al demandante en amparo y al Ministerio Fiscal el plazo común de diez días para que formulasen las alegaciones que estimasen pertinentes sobre la posible concurrencia de las causas de inadmisión a que se refieren los arts. 50.1 c) y 50.1 a) en relación con el art. 44.1 a) de la LOTC, por carecer la demanda de contenido constitucional y por no haberse agotado todos los recursos utilizables dentro de la vía judicial.</w:t>
      </w:r>
    </w:p>
    <w:p w:rsidR="00A12D44" w:rsidRDefault="00A12D44" w:rsidP="00A12D44">
      <w:pPr>
        <w:pStyle w:val="TextoNormal"/>
      </w:pPr>
    </w:p>
    <w:p w:rsidR="00A12D44" w:rsidRDefault="00A12D44" w:rsidP="00A12D44">
      <w:pPr>
        <w:pStyle w:val="TextoNormal"/>
      </w:pPr>
      <w:r w:rsidRPr="00A12D44">
        <w:rPr>
          <w:rStyle w:val="NumeroAFNegritaCaracter"/>
        </w:rPr>
        <w:t>5</w:t>
      </w:r>
      <w:r>
        <w:t>. En su escrito de alegaciones el recurrente sostiene que la demanda no carece de contenido constitucional y reitera lo manifestado en el escrito de interposición del recurso de amparo. En el mismo sentido afirma que la vía judicial previa sí ha sido agotada en cuanto que el Auto impugnado expresamente indicaba que contra el mismo no cabía recurso alguno.</w:t>
      </w:r>
    </w:p>
    <w:p w:rsidR="00A12D44" w:rsidRDefault="00A12D44" w:rsidP="00A12D44">
      <w:pPr>
        <w:pStyle w:val="TextoNormal"/>
      </w:pPr>
    </w:p>
    <w:p w:rsidR="00A12D44" w:rsidRDefault="00A12D44" w:rsidP="00A12D44">
      <w:pPr>
        <w:pStyle w:val="TextoNormal"/>
      </w:pPr>
      <w:r w:rsidRPr="00A12D44">
        <w:rPr>
          <w:rStyle w:val="NumeroAFNegritaCaracter"/>
        </w:rPr>
        <w:t>6</w:t>
      </w:r>
      <w:r>
        <w:t>. El Ministerio Fiscal interesa la admisión de la demanda manifestando que aunque en estrictos términos legales [art. 44.1 a) LOTC] era procedente la interposición del recurso de reposición (art. 183 L.P.L.), en el presente caso no parece necesario al carecer, presumiblemente, de efecto práctico la interposición de un recurso ante el mismo órgano judicial que ya se ha pronunciado sobre la presunta vulneración del art. 24 C.E. Termina afirmando que si se procediera a la admisión de la demanda de amparo no se podría entrar a conocer del motivo relativo a la discriminación, por concurrir en este punto las causas de inadmisión de falta de agotamiento y falta de invocación [art. 44.1 a) y c) de la LOTC]. ya que la desigualdad no se alegó en vía judicial y se invoca por primera vez per saltum ante este Tribunal.</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0F7E09">
        <w:rPr>
          <w:rStyle w:val="NumeroAFNegritaCaracter"/>
        </w:rPr>
        <w:t>Único.</w:t>
      </w:r>
      <w:r w:rsidRPr="00A12D44">
        <w:rPr>
          <w:rStyle w:val="TextoNormalNegritaCaracter"/>
        </w:rPr>
        <w:t xml:space="preserve"> </w:t>
      </w:r>
      <w:r>
        <w:t>Hemos de confirmar la concurrencia de la causa de inadmisión de la demanda, prevista en el art. 50.1 a) en relación con el art. 44.1 a) de la LOTC y que fue puesta de manifiesto en nuestra providencia de 20 de febrero de 1992.</w:t>
      </w:r>
    </w:p>
    <w:p w:rsidR="00A12D44" w:rsidRDefault="00A12D44" w:rsidP="00A12D44">
      <w:pPr>
        <w:pStyle w:val="TextoNormal"/>
      </w:pPr>
      <w:r>
        <w:t xml:space="preserve">A los efectos previstos en el art. 44.1 a) y c) de la LOTC, la interposición del recurso apropiado tiene relevancia, porque con ella se trata de reaccionar contra un acto jurídico que, a juicio del recurrente, viola la Constitución.  Ello significa que para la admisión del recurso de amparo constitucional la previa interposición del recurso de reposición en la vía judicial, dada la claridad del art. 183 de la L.P.L., resulta imprescindible a pesar de que </w:t>
      </w:r>
      <w:r>
        <w:lastRenderedPageBreak/>
        <w:t>por el recurrente en amparo se hubiera invocado previamente, ante el órgano judicial que habría de conocer del mismo. el derecho fundamental que se considera violado.</w:t>
      </w:r>
    </w:p>
    <w:p w:rsidR="00A12D44" w:rsidRDefault="00A12D44" w:rsidP="00A12D44">
      <w:pPr>
        <w:pStyle w:val="TextoNormal"/>
      </w:pPr>
      <w:r>
        <w:t>El carácter preceptivo del recurso regulado en el art. 183 de la L.P.L., tiene por finalidad que el mismo Juez que ha dictado la resolución la reforme por contrario imperio, y su exigencia no supone un excesivo formalismo, pues de lo que se trata es que, previa a la interposición del recurso de amparo, por la parte se utilicen todos los remedios procesales que tiene a su disposición para dar a la jurisdicción ordinaria la oportunidad de solventar las posibles vulneraciones constitucionales denunciadas. Así lo ha entendido -como recuerda el Ministerio Fiscal- la propia Entidad recurrente en los recursos de amparo núms.1.409/89, 598/91 y 2007/91, por ella interpuestos y que han sido admitidos a trámite por este Tribunal, en los que, a diferencia de lo que ocurre en el presente supuesto, la actora sí ha interpuesto el pertinente recurso de reposición.</w:t>
      </w:r>
    </w:p>
    <w:p w:rsidR="00A12D44" w:rsidRDefault="00A12D44" w:rsidP="00A12D44">
      <w:pPr>
        <w:pStyle w:val="TextoNormal"/>
      </w:pPr>
      <w:r>
        <w:t>Frente a esta realidad, no puede admitirse la argumentación del recurrente de amparo de que la vía judicial previa estaba agotada en cuanto que, en la diligencia de notificación del Auto hoy recurrido expresamente se indicaba que contra el mismo «no cabe recurso alguno», pues la instrucción de los recursos tiene como finalidad auxiliar en el acceso a los mismos sin que confiera a la resolución judicial carácter o condición alguna y carece de fuerza vinculante para las partes. Si bien los errores de los órganos judiciales no deben producir efectos negativos en la esfera jurídica del ciudadano (STC 172/1985), esos efectos carecerán de relevancia desde el punto de vista constitucional cuando el error sea también imputable a la negligencia de la parte, en cuya apreciación se habrá de tomar en consideración la muy diferente situación en la que se encuentra quien interviene en un proceso laboral sin especiales conocimientos jurídicos y sin asistencia letrada y quien por el contrario, como ocurre en el presente caso, acude a él a través de personas peritas en Derecho (STC 70/1984), capaces por ello de percibir el error en el que se ha incurrido al formular la instrucción de los recursos (STC 107/1987).</w:t>
      </w:r>
    </w:p>
    <w:p w:rsidR="00A12D44" w:rsidRDefault="00A12D44" w:rsidP="00A12D44">
      <w:pPr>
        <w:pStyle w:val="TextoNormal"/>
      </w:pPr>
      <w:r>
        <w:t>Teniendo en cuenta esta doctrina y las circunstancias del caso que nos ocupa, la irregularidad procesal contenida en la información dada a la parte en lo referente a la imposibilidad de formular recurso alguno contra el Auto dictado por el Juzgado de lo Social, no tiene la trascendencia constitucional que se pretende, pues en nada le ha privado a la entidad demandante de utilizar los instrumentos que el ordenamiento, de manera clara y expresa, pone a su alcance para la defensa de sus derechos.</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1" w:name="AUTO_1992_90"/>
      <w:r>
        <w:lastRenderedPageBreak/>
        <w:t>AUTO 90/1992, de 30 de marzo de 1992</w:t>
      </w:r>
    </w:p>
    <w:bookmarkEnd w:id="161"/>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ECLI:ES:TC:1992:90A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2.228/1991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Doña Rosina Montes Agustí, Procuradora de los Tribunales y de don Rafael Rodríguez Vilches, interpone recurso de amparo contra la Sentencia de la Sala de lo Contencioso administrativo del Tribunal Superior de Justicia de Andalucía (Sevilla),de 10 de mayo de 1991, que estimó el recurso contencioso-administrativo interpuesto por doña María Pilar Funes Palacios y, en consecuencia, ordenó que le fuese adjudicada a ésta la plaza de Negociado de Adquisición y Expropiación de la Dirección General de construcciones y Equipamiento Escolar de la Consejería de Educación y Ciencia de la Junta de Andalucía que, tras el pertinente concurso de méritos, le había sido adjudicada al hoy demandante de amparo por Orden de la citada Consejería de 11 de noviembre de 1988.</w:t>
      </w:r>
    </w:p>
    <w:p w:rsidR="00A12D44" w:rsidRDefault="00A12D44" w:rsidP="00A12D44">
      <w:pPr>
        <w:pStyle w:val="TextoNormal"/>
      </w:pPr>
    </w:p>
    <w:p w:rsidR="00A12D44" w:rsidRDefault="00A12D44" w:rsidP="00A12D44">
      <w:pPr>
        <w:pStyle w:val="TextoNormal"/>
      </w:pPr>
      <w:r w:rsidRPr="00A12D44">
        <w:rPr>
          <w:rStyle w:val="NumeroAFNegritaCaracter"/>
        </w:rPr>
        <w:t>2</w:t>
      </w:r>
      <w:r>
        <w:t>. En la demanda, por otrosí, el actor solicita la apertura de pieza separada de suspensión de la Sentencia del Tribunal Superior de Justicia de Andalucía de 10 de mayo de 1991. Puesto que la ejecución de la Sentencia que se recurre, así como de los actos administrativos dictados para su cumplimiento (Resolución del Jefe del Servicio de Régimen Jurídico de Personal disponiendo el cese del actor), pueden hacer perder su finalidad al presente recurso de amparo, así como causar un perjuicio de difícil reparación, procede la suspensión de la Sentencia y demás resoluciones administrativas dictadas para su ejecución.</w:t>
      </w:r>
    </w:p>
    <w:p w:rsidR="00A12D44" w:rsidRDefault="00A12D44" w:rsidP="00A12D44">
      <w:pPr>
        <w:pStyle w:val="TextoNormal"/>
      </w:pPr>
    </w:p>
    <w:p w:rsidR="00A12D44" w:rsidRDefault="00A12D44" w:rsidP="00A12D44">
      <w:pPr>
        <w:pStyle w:val="TextoNormal"/>
      </w:pPr>
      <w:r w:rsidRPr="00A12D44">
        <w:rPr>
          <w:rStyle w:val="NumeroAFNegritaCaracter"/>
        </w:rPr>
        <w:t>3</w:t>
      </w:r>
      <w:r>
        <w:t>. La Sección, por, providencia de 3 de marzo de 1992, acordó admitir a trámite la demanda de amparo de don Rafael Rodríguez Vilches y formar la pieza separada de suspensión, así como, a tenor de lo dispuesto en el art. 56 LOTC, conceder un plazo de tres días, al Ministerio Fiscal y al solicitante del amparo, para que, dentro de dicho término formulen las alegaciones que estimen pertinentes sobre la suspensión solicitada. Asimismo, obrando en este Tribunal testimonio de las actuaciones, a tenor de lo dispuesto en el art. 51 LOTC, acordó librar atenta comunicación a la Sala de lo Contencioso-Administrativo del Tribunal Superior de Justicia, con sede en Sevilla, interesando el emplazamiento de cuantos han sido parte en el proceso judicial antecedente, excepto el recurrente en amparo, para que en el plazo de diez días comparezcan en el presente proceso constitucional.</w:t>
      </w:r>
    </w:p>
    <w:p w:rsidR="00A12D44" w:rsidRDefault="00A12D44" w:rsidP="00A12D44">
      <w:pPr>
        <w:pStyle w:val="TextoNormal"/>
      </w:pPr>
    </w:p>
    <w:p w:rsidR="00A12D44" w:rsidRDefault="00A12D44" w:rsidP="00A12D44">
      <w:pPr>
        <w:pStyle w:val="TextoNormal"/>
      </w:pPr>
      <w:r w:rsidRPr="00A12D44">
        <w:rPr>
          <w:rStyle w:val="NumeroAFNegritaCaracter"/>
        </w:rPr>
        <w:t>4</w:t>
      </w:r>
      <w:r>
        <w:t>. El Fiscal, en su escrito de 6 de marzo de 1992, se opone a la suspensión de la ejecución de la Sentencia impugnada argumentando que es doctrina reiterada de este Tribunal Constitucional que tratándose de resoluciones judiciales el criterio general es la no suspensión, habida cuenta del interés general que se desprende de su ejecución. En el caso de autos, la ejecución de una Sentencia firme, cuyos efectos son fácilmente reparables, en caso de prosperar la demanda, no haría perder al amparo su finalidad, por lo que el valor de cosa juzgada debe prevalecer.</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En su escrito de 10 de marzo de 1992, el demandante de amparo reitera su solicitud de suspensión apoyándose en los siguientes argumentos. El art. 56 LOTC establece que la Sala que conozca del recurso de amparo suspenderá la ejecución del acto objeto del recurso siempre y cuando de seguirse su ejecución pudiera derivarse un perjuicio que haría perder al recurso de amparo su finalidad, con el único límite, de que de la suspensión puedan seguirse perturbaciones graves de los intereses generales o de los derechos fundamentales o libertades públicas de un tercero. </w:t>
      </w:r>
    </w:p>
    <w:p w:rsidR="00A12D44" w:rsidRDefault="00A12D44" w:rsidP="00A12D44">
      <w:pPr>
        <w:pStyle w:val="TextoNormal"/>
      </w:pPr>
      <w:r>
        <w:t xml:space="preserve">Es cierto que si la Sala no acordase la suspensión de la Sentencia impugnada el recurso de amparo interpuesto no sería inútil, pues si en su día la Sala concediese el amparo y anulase la Sentencia recurrida y, con ello, la ejecución que a la misma se hubiese dado, el actor sería repuesto en la misma situación en la que se encontraría de no haberse dictado la Sentencia anulada, esto es, en el puesto de trabajo que le fue adjudicado por el concurso de méritos. Sin embargo, aunque la denegación de la suspensión no inutilice el recurso de amparo, sí derivaría de ella para el actor un perjuicio de difícil reparación, pues, aunque fuese repuesto en la plaza que actualmente ocupa, los daños personales y patrimoniales serían patentes y su reparación, si no imposible, sí difícil de obtención. </w:t>
      </w:r>
    </w:p>
    <w:p w:rsidR="00A12D44" w:rsidRDefault="00A12D44" w:rsidP="00A12D44">
      <w:pPr>
        <w:pStyle w:val="TextoNormal"/>
      </w:pPr>
      <w:r>
        <w:t>Por lo demás, de la suspensión no deriva perturbación grave ni de los intereses generales ni de los derechos fundamentales de terceros. En cuanto al primer aspecto, porque la incidencia de la sentencia es mínima, pues sólo afecta a un puesto de trabajo de una Dirección General de la Consejería de Educación de la Junta de Andalucía. En cuanto a los derechos de terceros, la tutela del derecho de acceso a la función pública (art. 23 C.E.) de doña Pilar Funes Palacios, a la que fue adjudicada por Sentencia la plaza obtenida por concurso por el actor, no puede obtenerse lesionando otros derechos fundamentales, cuales son el derecho a la tutela judicial efectiva y a la interdicción de indefensión del demandante de amparo.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art. 56.1 LOTC permite al Tribunal Constitucional suspender la ejecución del acto de los poderes públicos por razón del cual se reclame el amparo, cuando su ejecución hubiere de ocasionar un perjuicio que haría perder al amparo su finalidad, a menos que de la suspensión se siga perturbación grave de los intereses generales o de los derechos fundamentales o libertades públicas de un tercero, en cuyo caso podría ser denegada aquélla.</w:t>
      </w:r>
    </w:p>
    <w:p w:rsidR="00A12D44" w:rsidRDefault="00A12D44" w:rsidP="00A12D44">
      <w:pPr>
        <w:pStyle w:val="TextoNormal"/>
      </w:pPr>
      <w:r>
        <w:t xml:space="preserve">Aunque es cierto que tratándose de resoluciones judiciales el criterio general es la no suspensión, habida cuenta del interés general que se desprende de su ejecución (ATC 125/1989, entre otros muchos), no lo es menos que la excepción a ese criterio general la constituye el supuesto en que la ejecución de la resolución judicial impugnada haga perder al amparo su finalidad o cause daños o perjuicios de imposible o difícil reparación, pues, </w:t>
      </w:r>
      <w:r>
        <w:lastRenderedPageBreak/>
        <w:t>como este Tribunal ha afirmado también, en la fórmula contenida en el art. 56.1 LOTC se comprende la irreparabilidad o la dificultad de reparación de los daños o perjuicios que pueda sufrir el agraviado con la ejecución del acto (ATC 685/1985).</w:t>
      </w:r>
    </w:p>
    <w:p w:rsidR="00A12D44" w:rsidRDefault="00A12D44" w:rsidP="00A12D44">
      <w:pPr>
        <w:pStyle w:val="TextoNormal"/>
      </w:pPr>
    </w:p>
    <w:p w:rsidR="00A12D44" w:rsidRDefault="00A12D44" w:rsidP="00A12D44">
      <w:pPr>
        <w:pStyle w:val="TextoNormal"/>
      </w:pPr>
      <w:r w:rsidRPr="00A12D44">
        <w:rPr>
          <w:rStyle w:val="NumeroAFNegritaCaracter"/>
        </w:rPr>
        <w:t>2</w:t>
      </w:r>
      <w:r>
        <w:t>. En el presente caso, la ejecución de la Sentencia impugnada y, por ende, la ejecución del acto administrativo dictado en cumplimiento de dicha Sentencia supone el cese del actor en el puesto de trabajo que ocupa en virtud del concurso de méritos que dio lugar al recurso contencioso-administrativo del que trae causa el presente recurso de amparo. Para el demandante de amparo, de la no suspensión de la ejecución de la Sentencia dictada en un proceso en el que no ha sido emplazado, derivan, pues, daños patrimoniales, personales y profesionales que, en el caso de estos dos últimos, son cuando menos de difícil reparación. A ello debemos añadir que ninguna perturbación grave para el interés general se sigue de que el actor continúe en el puesto de trabajo al que accedió por concurso de méritos. Respecto a los derechos de terceros, en este caso los de doña Pilar Funes Palacios, aún siendo cierto que la suspensión de la Sentencia que le adjudicó la plaza ocupada en la actualidad por el demandante de amparo, puede ocasionarle una grave perturbación en su derecho de acceso a la Función Pública en condiciones de igualdad (art. 23 C.E.), no lo es menos que una ponderación de los intereses en presencia debe llevarnos a dar prioridad, en esta fase cautelar, al derecho a la tutela judicial efectiva del demandante de amparo que, como hemos declarado recientemente "no es tal sin medidas cautelares adecuadas que aseguren el efectivo cumplimiento de la resolución definitiva que recaiga en el proceso" (STC 14/1992), frente a un derecho, el del tercero en este caso, declarado en una Sentencia cuya posible inconstitucionalidad por vulneración del art. 24 C.E., por falta de emplazamiento del actor, ha determinado la admisión.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Sala acuerda suspender la ejecución de la Sentencia de la Sala de lo Contencioso-Administrativo del Tribunal Superior de Justicia de Andalucía (Sevilla), de 10 de mayo de 1991 así como de las resoluciones administrativas dictadas en</w:t>
      </w:r>
    </w:p>
    <w:p w:rsidR="00A12D44" w:rsidRDefault="00A12D44" w:rsidP="00A12D44">
      <w:pPr>
        <w:pStyle w:val="TextoNormal"/>
      </w:pPr>
      <w:r>
        <w:t>su cumplimiento.</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2" w:name="AUTO_1992_91"/>
      <w:r>
        <w:lastRenderedPageBreak/>
        <w:t>AUTO 91/1992, de 30 de marzo de 1992</w:t>
      </w:r>
    </w:p>
    <w:bookmarkEnd w:id="162"/>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ECLI:ES:TC:1992:91A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2.239/1991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3" w:name="AUTO_1992_92"/>
      <w:r>
        <w:lastRenderedPageBreak/>
        <w:t>AUTO 92/1992, de 30 de marzo de 1992</w:t>
      </w:r>
    </w:p>
    <w:bookmarkEnd w:id="163"/>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ECLI:ES:TC:1992:92A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2.263/1991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don Juan Luis Pérez-Mulet y Suárez, por escrito que tiene entrada en este Tribunal el día 12 de noviembre de 1991, en nombre y representación de doña María Purificación Alcocer Alfonso, don Fernando Azcárraga Testor, doña María Jesús Belenguer Rodrigo, don José Miguel Cuevas Sanz, don José Francisco Díaz García Donato, doña María Esperanza García Guardiet, doña María Jesús García Rubio, don Enrique Marín Tena, don Carlos Manuel Martínez Carsí, doña Fuensanta María Martínez Díaz, don Arturo Morera Faet, doña María del Carmen Pallarés Gregori, don Javier Reyes Soriano, doña María Dolores Sánchez Ruiz, don José Vicente Silvestre Visa, don José Manuel Verdeguer Miralles y doña Desamparados Josefina Ybáñez García, interpone recurso de amparo frente a la Sentencia de la Sección Primera de la Sala Tercera del Tribunal Supremo de 26 de septiembre de 1991, dictada en recurso extraordinario de revisión núm. 282/1991, por vulneración de los arts. 9, 14, 24 y 11 8 de la C. 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de los que trae causa la demanda de amparo son, en síntesis, los siguientes: </w:t>
      </w:r>
    </w:p>
    <w:p w:rsidR="00A12D44" w:rsidRDefault="00A12D44" w:rsidP="00A12D44">
      <w:pPr>
        <w:pStyle w:val="TextoNormal"/>
      </w:pPr>
      <w:r>
        <w:t xml:space="preserve">a) Los recurrentes solicitaron la concesión del título de Médico especialista en sus respectivas especialidades, y al ser desestimadas por silencio interpusieron recurso contencioso-administrativo que la Sala Primera de la Audiencia Territorial de Valencia estimé, reconociéndoles el derecho a que se les expidiera el referido título. </w:t>
      </w:r>
    </w:p>
    <w:p w:rsidR="00A12D44" w:rsidRDefault="00A12D44" w:rsidP="00A12D44">
      <w:pPr>
        <w:pStyle w:val="TextoNormal"/>
      </w:pPr>
      <w:r>
        <w:t xml:space="preserve">b) Planteado por el Abogado del Estado recurso de apelación, la Sección Tercera de la Sala Tercera del Tribunal Supremo dictó Sentencia de fecha 11 de mayo de 1990 por la que, estimando el recurso, revocó la Sentencia de instancia, confirmando la adecuación a Derecho de los actos impugnados. </w:t>
      </w:r>
    </w:p>
    <w:p w:rsidR="00A12D44" w:rsidRDefault="00A12D44" w:rsidP="00A12D44">
      <w:pPr>
        <w:pStyle w:val="TextoNormal"/>
      </w:pPr>
      <w:r>
        <w:t>c) Finalmente, interpuesto recurso extraordinario de revisión al amparo del art. 1O2.1 b) de la L.J.C.A. por quienes ahora demandan, la Sección Primera de la Sala Tercera del Tribunal Supremo dictó sentencia de 26 de septiembre de 1991, por la que se desestimó el recurso «por no ser la revisión entablada procedente en Derecho». Es esta Sentencia frente a la que se impetra amparo.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Alegan los recurrentes, en primer lugar, que la Sentencia que impugnan ha infringido el art. 9.3 C.E., pues no ha reconocido la irretroactividad del Real Decreto 127/1984, </w:t>
      </w:r>
      <w:r>
        <w:lastRenderedPageBreak/>
        <w:t xml:space="preserve">tal como lo había hecho ya en ocasiones anteriores la propia Sala Tercera del Tribunal Supremo. </w:t>
      </w:r>
    </w:p>
    <w:p w:rsidR="00A12D44" w:rsidRDefault="00A12D44" w:rsidP="00A12D44">
      <w:pPr>
        <w:pStyle w:val="TextoNormal"/>
      </w:pPr>
      <w:r>
        <w:t xml:space="preserve">La Sentencia ha considerado, en efecto, que los recurrentes han formulado su solicitud encontrándose ya en vigor la Disposición transitoria primera del Real Decreto 127/1984, así como la Orden de 24 de abril de 1984, pero con ello se olvida la pervivencia de la Ley-Reglamento de 20 de julio de 1955 hasta el 31 de enero de 1984 y, por tanto, la posibilidad de adquirir derechos a su amparo (arts. 9.3 C.E. y 2.2 del C.C.). </w:t>
      </w:r>
    </w:p>
    <w:p w:rsidR="00A12D44" w:rsidRDefault="00A12D44" w:rsidP="00A12D44">
      <w:pPr>
        <w:pStyle w:val="TextoNormal"/>
      </w:pPr>
      <w:r>
        <w:t xml:space="preserve">En segundo lugar, la Sentencia en cuestión tampoco ha respetado el principio de igualdad que sanciona el art. 14 de la C.E., separándose así del criterio mantenido por el mismo órgano judicial en diez Sentencias anteriores, que reconocieron a la Ley de Especialidades de 20 de julio de 1955 como la única norma jurídica aplicable para la obtención del título de especialista. Título que tienen reconocido más de 250 médicos y que, sin embargo, les ha sido denegado a quienes solicitan ahora amparo. </w:t>
      </w:r>
    </w:p>
    <w:p w:rsidR="00A12D44" w:rsidRDefault="00A12D44" w:rsidP="00A12D44">
      <w:pPr>
        <w:pStyle w:val="TextoNormal"/>
      </w:pPr>
      <w:r>
        <w:t xml:space="preserve">En la demanda de amparo se afirma sobre este particular que «entre los hoy recurrentes de amparo y los que ya disponen del Título de Especialista, obtenido por Sentencias firmes, se dan los requisitos previos de una igualdad de situaciones», ya que «todos invocaron para la obtención del título de especialista la Ley de Especialidades de 20 de julio de 1955»; «todos iniciaron su formación especializada con anterioridad al 31 de enero de 1984, fecha de entrada en vigor del Real Decreto 127/1984 que derogó la Ley de 1955, previamente rebajada a rango reglamentario por la Le 14/1970»; «todos se han formado en Centros con docencia reconocida o con programa de formación de la especialidad»; y «todos han presentado certificados, acreditativos de su formación, idénticos ... ». </w:t>
      </w:r>
    </w:p>
    <w:p w:rsidR="00A12D44" w:rsidRDefault="00A12D44" w:rsidP="00A12D44">
      <w:pPr>
        <w:pStyle w:val="TextoNormal"/>
      </w:pPr>
      <w:r>
        <w:t xml:space="preserve">Por tanto, la Sentencia que se impugna se ha separado abiertamente, con ocasión de asunto idéntico, de lo previamente mantenido en diez Sentencias anteriores, vulnerando así el principio de igualdad. </w:t>
      </w:r>
    </w:p>
    <w:p w:rsidR="00A12D44" w:rsidRDefault="00A12D44" w:rsidP="00A12D44">
      <w:pPr>
        <w:pStyle w:val="TextoNormal"/>
      </w:pPr>
      <w:r>
        <w:t xml:space="preserve">Los recurrentes, asimismo, a diferencia de «otros más y muchos», no han obtenido la tutela concedida a éstos, produciéndose así indefensión (art. 24.1 C.E.). Además se han producido dilaciones en la vía administrativa y en la vía jurisdiccional. </w:t>
      </w:r>
    </w:p>
    <w:p w:rsidR="00A12D44" w:rsidRDefault="00A12D44" w:rsidP="00A12D44">
      <w:pPr>
        <w:pStyle w:val="TextoNormal"/>
      </w:pPr>
      <w:r>
        <w:t xml:space="preserve">Finalmente, se ha infringido el art. 118 de la C.E., pues «la obligación de cumplir las resoluciones judiciales no se agota en el contenido singular de cada una, sino en el acatamiento efectivo del criterio jurisprudencial que incorporan y en su aplicación a supuestos iguales e incluso análogos, evitando así litigios innecesarios, que están, siempre, en la patología de la convivencia». </w:t>
      </w:r>
    </w:p>
    <w:p w:rsidR="00A12D44" w:rsidRDefault="00A12D44" w:rsidP="00A12D44">
      <w:pPr>
        <w:pStyle w:val="TextoNormal"/>
      </w:pPr>
      <w:r>
        <w:t>Concluye la demanda suplicando sea dictada Sentencia otorgando el amparo y declarando que ha sido violado por la Sentencia de revisión impugnada el derecho de igualdad y el principio de seguridad jurídica, debiéndose adoptar las medidas correspondientes para la integridad de los referidos derechos.</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20 de febrero de 1992, la Sección acordó conceder un plazo común de diez días a los recurrentes y al Ministerio Fiscal para formular alegaciones en relación con la posible falta de contenido constitucional de la demanda. </w:t>
      </w:r>
    </w:p>
    <w:p w:rsidR="00A12D44" w:rsidRDefault="00A12D44" w:rsidP="00A12D44">
      <w:pPr>
        <w:pStyle w:val="TextoNormal"/>
      </w:pPr>
      <w:r>
        <w:t xml:space="preserve">En su escrito de alegaciones los recurrentes reiteran la existencia de infracción de los arts. 9, 14, 24 y 118 C.E., deteniéndose particularmente en la existencia de aplicación retroactiva de una norma restrictiva de derechos, la existencia de tratamiento desigual ante situaciones iguales, y al haberse producido indefensión y desconocimiento del art. 24 y 118 C.E. por haberse dictado una Sentencia. discrepante con las anteriores que podría ser inducida. </w:t>
      </w:r>
    </w:p>
    <w:p w:rsidR="00A12D44" w:rsidRDefault="00A12D44" w:rsidP="00A12D44">
      <w:pPr>
        <w:pStyle w:val="TextoNormal"/>
      </w:pPr>
      <w:r>
        <w:lastRenderedPageBreak/>
        <w:t>El Ministerio Fiscal se opone a la admisión de la demanda indicando que los arts. 9 y 118 C.E. no son invocables en amparo, que no hay violación del derecho a la tutela judicial efectiva, pues la Sentencia razona suficientemente la falta de identidad objetiva entre las resoluciones que se citan como contradictorias, razonamiento que, además, excluye la violación del principio de igualdad, al ser un tema fáctico el de la identidad de las situaciones de hecho que sólo corresponde conocer a los órganos judiciales.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evidente, en primer término, que la invocación de los arts.9.3 y 118 de la C.E. no presenta viabilidad alguna al no reconocerse en los mismos derecho fundamental protegible por el recurso de amparo. Sin necesidad, pues, de dar respuesta sobre las razones y consideraciones en que se sustenta la pretendida infracción de los indicados preceptos constitucionales, el recurso debe ser inadmitido en este particular extremo [art. 50.1 b) LOTC].</w:t>
      </w:r>
    </w:p>
    <w:p w:rsidR="00A12D44" w:rsidRDefault="00A12D44" w:rsidP="00A12D44">
      <w:pPr>
        <w:pStyle w:val="TextoNormal"/>
      </w:pPr>
    </w:p>
    <w:p w:rsidR="00A12D44" w:rsidRDefault="00A12D44" w:rsidP="00A12D44">
      <w:pPr>
        <w:pStyle w:val="TextoNormal"/>
      </w:pPr>
      <w:r w:rsidRPr="00A12D44">
        <w:rPr>
          <w:rStyle w:val="NumeroAFNegritaCaracter"/>
        </w:rPr>
        <w:t>2</w:t>
      </w:r>
      <w:r>
        <w:t>. El derecho a la tutela judicial efectiva y a la no indefensión no ha podido ser lesionado una vez que los demandantes han obtenido una respuesta sobre las pretensiones deducidas, sin que, obviamente, el hecho de que aquélla no les haya sido favorable permita calificarla como contraria al art. 24.1 C.E., habiendo dado una razonada motivación sobre las razones que le llevan al órgano judicial a entender la falta de identidad objetiva entre las soluciones que se citan como contradictorias a efectos del recurso extraordinario de revisión, y que excluye desde luego que la decisión de nuestro más alto Tribunal pudiera considerarse, como se piensa temerariamente en el escrito de alegaciones, una «Sentencia inducida». Y en cuanto se entienda esa violación referida a la desviación o apartamiento del Tribunal Supremo del criterio sentado en anteriores ocasiones, la denuncia ha de encuadrarse en la relativa a la vulneración del principio de igualdad en la aplicación de la ley.</w:t>
      </w:r>
    </w:p>
    <w:p w:rsidR="00A12D44" w:rsidRDefault="00A12D44" w:rsidP="00A12D44">
      <w:pPr>
        <w:pStyle w:val="TextoNormal"/>
      </w:pPr>
      <w:r>
        <w:t>Asimismo, no hay la más mínima concreción de las circunstancias que pudieran haber determinado las dilaciones indebidas que, según los recurrentes, se han producido tanto en vía administrativa como en sede jurisdiccional. Por ello, sin necesidad de apurar el análisis, es palmario que el alegato carece de todo fundamento, no apreciándose indicio alguno de que el órgano judicial haya incurrido en infracción del derecho a un proceso público sin dilaciones indebidas (art. 24.2 C.E.).</w:t>
      </w:r>
    </w:p>
    <w:p w:rsidR="00A12D44" w:rsidRDefault="00A12D44" w:rsidP="00A12D44">
      <w:pPr>
        <w:pStyle w:val="TextoNormal"/>
      </w:pPr>
      <w:r>
        <w:t>La demanda, desde la consideración del art. 24 C.E., carece, pues, manifiestamente de contenido constitucional [art. 50.1 c) LOTC].</w:t>
      </w:r>
    </w:p>
    <w:p w:rsidR="00A12D44" w:rsidRDefault="00A12D44" w:rsidP="00A12D44">
      <w:pPr>
        <w:pStyle w:val="TextoNormal"/>
      </w:pPr>
    </w:p>
    <w:p w:rsidR="00A12D44" w:rsidRDefault="00A12D44" w:rsidP="00A12D44">
      <w:pPr>
        <w:pStyle w:val="TextoNormal"/>
      </w:pPr>
      <w:r w:rsidRPr="00A12D44">
        <w:rPr>
          <w:rStyle w:val="NumeroAFNegritaCaracter"/>
        </w:rPr>
        <w:t>3</w:t>
      </w:r>
      <w:r>
        <w:t>. Finalmente, queda por examinar la imputación que, a primera vista, parece presentar mayor consistencia; es decir, la vulneración del principio de igualdad en la aplicación de la Ley (art. 14 C.E.), ya que, a juicio de los recurrentes, en diez Sentencias anteriores, y en relación a supuestos idénticos, la Sala Tercera del Tribunal Supremo había venido manteniendo una posición que en la Sentencia ahora impugnada se abandona sin causa ni motivo que pueda justificar el cambio.</w:t>
      </w:r>
    </w:p>
    <w:p w:rsidR="00A12D44" w:rsidRDefault="00A12D44" w:rsidP="00A12D44">
      <w:pPr>
        <w:pStyle w:val="TextoNormal"/>
      </w:pPr>
      <w:r>
        <w:t xml:space="preserve">Los recurrentes afirman taxativamente que su situación y su pretensión son idénticas a la de los recurrentes que en esas diez Sentencias anteriores obtuvieron el reconocimiento del derecho que a ellos les ha sido denegado, pero de inmediato hay que recordar que el juicio que pueda desarrollarse en esta sede con ocasión del recurso de amparo ha de partir </w:t>
      </w:r>
      <w:r>
        <w:lastRenderedPageBreak/>
        <w:t>de los hechos enjuiciados y declarados probados por el Tribunal ordinario cuya decisión se impugna; hechos acerca de los cuales el TC, según dispone su propia Ley Orgánica [art. 44. b)], en ningún caso entrará a conocer. De modo que, como ya se ha señalado en la doctrina de este Tribunal, la delimitación de los hechos y de sus efectos es el punto de partida para el juicio del TC, puesto que ni el recurso de amparo es un recurso de apelación, ni este Tribunal constituye una tercera instancia (por ejemplo, STC 59/1990, fundamento jurídico 2. ).</w:t>
      </w:r>
    </w:p>
    <w:p w:rsidR="00A12D44" w:rsidRDefault="00A12D44" w:rsidP="00A12D44">
      <w:pPr>
        <w:pStyle w:val="TextoNormal"/>
      </w:pPr>
      <w:r>
        <w:t>Pues bien, en el presente caso, la Sentencia que se impugna vino a resolver el recurso extraordinario de revisión interpuesto por quienes ahora demandan contra la Sentencia de la Sección Tercera de la Sala Tercera del Tribunal Supremo de 11 de mayo de 1990, fundándose el recurso en el art. 102.1 b) de la L.J.C.A., justamente por estimar que el pronunciamiento de la referida Sentencia era contrario al de anteriores Sentencias de la misma Sala dictadas respecto de litigantes en idéntica situación y en atención a hechos, fundamentos y pretensiones sustancialmente iguales.</w:t>
      </w:r>
    </w:p>
    <w:p w:rsidR="00A12D44" w:rsidRDefault="00A12D44" w:rsidP="00A12D44">
      <w:pPr>
        <w:pStyle w:val="TextoNormal"/>
      </w:pPr>
      <w:r>
        <w:t>En estrictos términos, pues, la vulneración del principio de igualdad en la aplicación de la Ley que se denuncia habría que referirla primariamente a la Sentencia del Tribunal Supremo dictada en apelación y no a la dictada en revisión, que es la que ha dado respuesta precisamente a la posible contradicción entre Sentencias dictadas por el mismo órgano judicial.</w:t>
      </w:r>
    </w:p>
    <w:p w:rsidR="00A12D44" w:rsidRDefault="00A12D44" w:rsidP="00A12D44">
      <w:pPr>
        <w:pStyle w:val="TextoNormal"/>
      </w:pPr>
      <w:r>
        <w:t>Lo cierto es que, aun prescindiendo de que la Sentencia que se impugna ha sido dictada en recurso extraordinario de revisión por un órgano judicial -la Sección Primera de la Sala Tercera del Tribunal Supremo- distinto a la antigua Sala Tercera del Alto Tribunal y, posteriormente, a la Sección Tercera de dicha Sala, pudiéndose concluir, por tanto, que, en todo caso, si existiese diferencia de criterio sería más bien una diferencia entre órganos distintos y no un cambio en el criterio hasta entonces Mantenido por el mismo órgano judicial del que emana la sentencia impugnada (por todas, SSTC 161/1989, 134/1991 y 183/1991, con cita de los AATC 233/1985 y 811/1986), con independencia de ello, basta estar a lo declarado en la Sentencia dictada en revisión -que, de acuerdo con la doctrina antes recordada, es presupuesto del enjuiciamiento que corresponde a este Tribunal- para descartar la existencia de identidad objetiva entre el supuesto que ha dado lugar a la Sentencia impugnada y los que dieron lugar a las Sentencias que se aporta como término de comparación. En el fundamento jurídico 3.1 de la Sentencia de revisión se señala, en efecto, que «... el examen del carácter y contenido de las Sentencias enfrentadas revela la no existencia de la identidad objetiva (...), lo cual explica, incluso, la no coincidencia en la fundamentación jurídica que avalan las diferentes decisiones que las Sentencias citadas contienen, por referirse a casos no enteramente coincidentes en razón de las circunstancias concurrentes en cada uno de ellos, al responder a distintos sistemas o modos de formación profesional», explicitando seguidamente las diferencias sustanciales que separan a uno de otros supuestos, que como tales, han de ponerse en conexión no sólo en relación con los hechos, sino en especial con la fijación judicial de esos hechos y con las alegaciones de las partes. Para el Tribunal Supremo, es distinta la fecha de solicitud, la del inicio de las prácticas y, en el presente caso, no constaba se cumplieran los requisitos de sistema de selección y de programa oficial aprobado establecidos por la Ley de 1955 y el Decreto de 1957, requisitos que «se dan por supuestos» en los casos a los que se refieren las Sentencias enfrentadas, aludiendo a algunas de ellas en las que se relaciona la existencia de programa aprobado, convocatoria pública de acceso, acreditamiento de aprovecho y asistencia, etc.</w:t>
      </w:r>
    </w:p>
    <w:p w:rsidR="00A12D44" w:rsidRDefault="00A12D44" w:rsidP="00A12D44">
      <w:pPr>
        <w:pStyle w:val="TextoNormal"/>
      </w:pPr>
      <w:r>
        <w:t xml:space="preserve">Al no haber lugar a revisar por este TC los hechos y presupuestos determinantes del suficientemente motivado, y en modo alguno arbitrario, pronunciamiento judicial acerca de </w:t>
      </w:r>
      <w:r>
        <w:lastRenderedPageBreak/>
        <w:t>su apreciación de la inexistencia de una sustancial igualdad entre los supuestos en comparación, debe concluirse también estimando inadmisible la queja planteada, en relación al art. 14 C.E., por carecer manifiestamente de contenido constitucional [art. 50.1 c) LOTC].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todo lo expuesto, la Sección acuerda la inadmisión del presente recurso de amparo.</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4" w:name="AUTO_1992_93"/>
      <w:r>
        <w:lastRenderedPageBreak/>
        <w:t>AUTO 93/1992, de 30 de marzo de 1992</w:t>
      </w:r>
    </w:p>
    <w:bookmarkEnd w:id="164"/>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ECLI:ES:TC:1992:93A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2.374/1991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este Tribunal el 26 de noviembre de 1991, doña María Teresa de las Alas Pumariño, Procuradora de los Tribunales, interpuso, en nombre y representación de RENFE, recurso de amparo contra Auto de la Sala de lo Social del Tribunal Supremo, de 30 de julio de 1991, confirmado en súplica por Auto de 8 de octubre siguiente.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que dan lugar a la presente demanda de amparo son, en síntesis, los siguientes: </w:t>
      </w:r>
    </w:p>
    <w:p w:rsidR="00A12D44" w:rsidRDefault="00A12D44" w:rsidP="00A12D44">
      <w:pPr>
        <w:pStyle w:val="TextoNormal"/>
      </w:pPr>
      <w:r>
        <w:t xml:space="preserve">a) Tras seguirse procedimiento contra RENFE a instancia de varios de sus traba- jadores, la empresa resultó condenada por Sentencia de la Sala de lo Social del Tribunal Superior de Justicia de la Comunidad Valenciana de 11 de mayo de 1991. </w:t>
      </w:r>
    </w:p>
    <w:p w:rsidR="00A12D44" w:rsidRDefault="00A12D44" w:rsidP="00A12D44">
      <w:pPr>
        <w:pStyle w:val="TextoNormal"/>
      </w:pPr>
      <w:r>
        <w:t xml:space="preserve">b) RENFE, por entender que esta Sentencia rompía con la unidad de doctrina al ser contradictoria con otras dictadas por distintos Tribunales Superiores de Justicia, preparó ante la Sala recurso de casación para la unificación de doctrina, dictándose providencia el día 17 de junio de 1991 -notificada al día siguiente- por la que se emplazaba para personación ante el Tribunal Supremo en plazo de quince días. </w:t>
      </w:r>
    </w:p>
    <w:p w:rsidR="00A12D44" w:rsidRDefault="00A12D44" w:rsidP="00A12D44">
      <w:pPr>
        <w:pStyle w:val="TextoNormal"/>
      </w:pPr>
      <w:r>
        <w:t xml:space="preserve">c) El 4 de julio de 1991, RENFE presentó escrito de personación ante el Tribunal Supremo, pidiendo además que se le hiciera entrega de los autos para la formalización del recurso. El día 6 de julio se presentó nuevo escrito en el que se reiteraba esta última petición. </w:t>
      </w:r>
    </w:p>
    <w:p w:rsidR="00A12D44" w:rsidRDefault="00A12D44" w:rsidP="00A12D44">
      <w:pPr>
        <w:pStyle w:val="TextoNormal"/>
      </w:pPr>
      <w:r>
        <w:t xml:space="preserve">d) El 8 de julio de 1991 la Sala de lo Social del Tribunal Supremo dicto providencia teniendo a RENFE por personada, requiriéndole para la formalización del recurso e indicándole que no era posible acordar la entrega de las actuaciones por no haberse recibido en la Sala los autos. La providencia fue notificada el 18 de julio. </w:t>
      </w:r>
    </w:p>
    <w:p w:rsidR="00A12D44" w:rsidRDefault="00A12D44" w:rsidP="00A12D44">
      <w:pPr>
        <w:pStyle w:val="TextoNormal"/>
      </w:pPr>
      <w:r>
        <w:t xml:space="preserve">e) Afirma el recurrente que el 8 de julio de 1991 «tuvieron entrada en el Registro del Tribunal Supremo los autos procedentes de la Sala de lo Social del Tribunal Superior de Justicia de la Comunidad Valenciana». </w:t>
      </w:r>
    </w:p>
    <w:p w:rsidR="00A12D44" w:rsidRDefault="00A12D44" w:rsidP="00A12D44">
      <w:pPr>
        <w:pStyle w:val="TextoNormal"/>
      </w:pPr>
      <w:r>
        <w:t xml:space="preserve">f) El Tribunal Supremo dictó Auto de 30 de julio de 1991 en el que ponía final recurso de casación para la unificación de doctrina, contra el que RENFE presentó recurso de súplica desestimado por nuevo Auto de 8 de octubre de 1991. Se argumenta en esta última resolución que la finalidad del recurso de casación para la unificación de doctrina «sólo </w:t>
      </w:r>
      <w:r>
        <w:lastRenderedPageBreak/>
        <w:t>permite, en base a unos presupuestos fácticos que no pueden ser cuestionados, discriminar si la Sentencia recurrida contradice doctrina establecida por la o las que se traigan documentadas como contradictorias». En consecuencia, la falta de entrega de los autos no puede generar indefensión, ya que la parte «pudo y debió» preparar el recurso con los materiales que tenía a mano. Doctrina que ha sido reiterada con anterioridad (citándose varios Autos).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recurso de amparo se dirige contra las resoluciones del Tribunal Supremo que optan por poner fin a la tramitación; se invoca el art. 24.1 C.E. </w:t>
      </w:r>
    </w:p>
    <w:p w:rsidR="00A12D44" w:rsidRDefault="00A12D44" w:rsidP="00A12D44">
      <w:pPr>
        <w:pStyle w:val="TextoNormal"/>
      </w:pPr>
      <w:r>
        <w:t xml:space="preserve">a) Aun aceptando la interpretación que la Sala hace del art. 220.1 L.P.L. -a tenor de la cual el recurso ha de ser interpuesto con independencia de que haya existido o no entrega de los autos-, en la medida en que la llegada efectiva de los autos se produjo el 8 de julio, los mismos debieron ser entregados. Y al no haberlo sido, se ha infringido el art. 24.1 C.E., toda vez que «era y es sustancial la entrega de los autos para la formalización del recurso». Por ello, en aplicación de este precepto se deben poner a disposición de RENFE por tres días (plazo que resta entre el día 8 de julio y el vencimiento del término) para que lo formalice. </w:t>
      </w:r>
    </w:p>
    <w:p w:rsidR="00A12D44" w:rsidRDefault="00A12D44" w:rsidP="00A12D44">
      <w:pPr>
        <w:pStyle w:val="TextoNormal"/>
      </w:pPr>
      <w:r>
        <w:t xml:space="preserve">b) Por otra parte, el art. 220.1 L.P.L. no es susceptible de la interpretación que realiza el Tribunal Supremo. Cuando se pide la entrega de los autos y la misma no es posible. no puede aplicarse estrictamente la no suspensión del plazo para formalizar que allí se establece, toda vez que «tal interpretación haría efímero el mandato legal». Lo que adicionalmente supondría un trato desigual entre las partes del proceso, ya que el recurrido sí podría obtener la entrega mientras que el recurrente no. Por ello, en estos casos, lo procedente es acordar la suspensión del plazo en tanto los autos se puedan entregar. En esta línea, el Auto del Tribunal Supremo de 21 de mayo de 1991 ha acogido esta tesis en un caso semejante. </w:t>
      </w:r>
    </w:p>
    <w:p w:rsidR="00A12D44" w:rsidRDefault="00A12D44" w:rsidP="00A12D44">
      <w:pPr>
        <w:pStyle w:val="TextoNormal"/>
      </w:pPr>
      <w:r>
        <w:t>c) No puede olvidarse que la causa por la que los autos no han podido ser entregados no es otra que la tardanza del Tribunal Superior de Valencia en la remisión de las actuaciones. Si ésta había de producirse legalmente en el plazo de cinco días, es claro que cuando el recurrente solicitó la entrega los autos ya deberían haber Negado. Por otra parte, el Auto del Tribunal Supremo que desestimó el recurso de súplica no ha motivado por qué se ha separado del precedente constituido por el Auto de 21 de mayo de 1991.</w:t>
      </w:r>
    </w:p>
    <w:p w:rsidR="00A12D44" w:rsidRDefault="00A12D44" w:rsidP="00A12D44">
      <w:pPr>
        <w:pStyle w:val="TextoNormal"/>
      </w:pPr>
    </w:p>
    <w:p w:rsidR="00A12D44" w:rsidRDefault="00A12D44" w:rsidP="00A12D44">
      <w:pPr>
        <w:pStyle w:val="TextoNormal"/>
      </w:pPr>
      <w:r w:rsidRPr="00A12D44">
        <w:rPr>
          <w:rStyle w:val="NumeroAFNegritaCaracter"/>
        </w:rPr>
        <w:t>4</w:t>
      </w:r>
      <w:r>
        <w:t>. La representación de la recurrente presentó el 23 de diciembre de 1991 escrito por el que se completaba la documentación anteriormente remitida, adjuntando copia del Auto de la Sala de lo Social del Tribunal Supremo en la que se certificaba que su notificación se produjo el 31 de octubre de 1991.</w:t>
      </w:r>
    </w:p>
    <w:p w:rsidR="00A12D44" w:rsidRDefault="00A12D44" w:rsidP="00A12D44">
      <w:pPr>
        <w:pStyle w:val="TextoNormal"/>
      </w:pPr>
    </w:p>
    <w:p w:rsidR="00A12D44" w:rsidRDefault="00A12D44" w:rsidP="00A12D44">
      <w:pPr>
        <w:pStyle w:val="TextoNormal"/>
      </w:pPr>
      <w:r w:rsidRPr="00A12D44">
        <w:rPr>
          <w:rStyle w:val="NumeroAFNegritaCaracter"/>
        </w:rPr>
        <w:t>5</w:t>
      </w:r>
      <w:r>
        <w:t>. Por providencia de 20 de febrero de 1992, la Sección Cuarta acordó conceder al demandante de amparo y al Ministerio Fiscal plazo común de diez días para la formulación de alegaciones sobre la posible concurrencia de la causa de inadmisión del art. 50.1 c) LOTC.</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La representación de la recurrente, tras afirmar que son varios los recursos de amparo que ha promovido en relación con la cuestión objeto de la litis, reitera sustancialmente las argumentaciones vertidas en la demanda de amparo, adjuntando un nuevo Auto del </w:t>
      </w:r>
      <w:r>
        <w:lastRenderedPageBreak/>
        <w:t>Tribunal Supremo de 11 de septiembre que «bajo otra óptica» avala su tesis e interesando, en definitiva, la admisión a trámite de la demanda.</w:t>
      </w:r>
    </w:p>
    <w:p w:rsidR="00A12D44" w:rsidRDefault="00A12D44" w:rsidP="00A12D44">
      <w:pPr>
        <w:pStyle w:val="TextoNormal"/>
      </w:pPr>
    </w:p>
    <w:p w:rsidR="00A12D44" w:rsidRDefault="00A12D44" w:rsidP="00A12D44">
      <w:pPr>
        <w:pStyle w:val="TextoNormal"/>
      </w:pPr>
      <w:r w:rsidRPr="00A12D44">
        <w:rPr>
          <w:rStyle w:val="NumeroAFNegritaCaracter"/>
        </w:rPr>
        <w:t>7</w:t>
      </w:r>
      <w:r>
        <w:t>. Por su parte, el Ministerio Fiscal interesa la inadmisión de la demanda, por estimarla carente de contenido constitucional. A su juicio, los motivos aducidos por el Tribunal Supremo para inadmitir el recurso de unificación son constitucionalmente adecuados puesto que se concretan en el transcurso del plazo para formalizar el recurso, habiendo hecho constar la Sala en su primera providencia que se llegaría a esta consecuencia. En definitiva, «la no interposición del recurso obedeció a la negligencia de la parte asistida de letrado que hizo caso omiso de las prevenciones de la Sala en orden al transcurso del plazo».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preciso confirmar la causa de inadmisión puesta de manifiesto en nuestra providencia de 20 de febrero último de carecer la demanda manifiestamente de contenido que justifique una decisión sobre el fondo por parte de este Tribunal.</w:t>
      </w:r>
    </w:p>
    <w:p w:rsidR="00A12D44" w:rsidRDefault="00A12D44" w:rsidP="00A12D44">
      <w:pPr>
        <w:pStyle w:val="TextoNormal"/>
      </w:pPr>
    </w:p>
    <w:p w:rsidR="00A12D44" w:rsidRDefault="00A12D44" w:rsidP="00A12D44">
      <w:pPr>
        <w:pStyle w:val="TextoNormal"/>
      </w:pPr>
      <w:r w:rsidRPr="00A12D44">
        <w:rPr>
          <w:rStyle w:val="NumeroAFNegritaCaracter"/>
        </w:rPr>
        <w:t>2</w:t>
      </w:r>
      <w:r>
        <w:t>. Ha de recordarse, ante todo, que no es misión de este Tribunal revisar el correcto cumplimiento de la legislación procesal por los órganos de la jurisdicción ordinaria. Por el contrario, nuestra competencia al conocer un recurso de amparo se limita a preservar la integridad de los derechos fundamentales sin que, como hemos reiterado hasta la saciedad, la invocación del art. 24 C.E. permita constitucionalizar todas las reglas procesales ni mucho menos dar relevancia constitucional a cualquier decisión judicial que aplique una regla legal procesal (por todas, STC 171/1991).</w:t>
      </w:r>
    </w:p>
    <w:p w:rsidR="00A12D44" w:rsidRDefault="00A12D44" w:rsidP="00A12D44">
      <w:pPr>
        <w:pStyle w:val="TextoNormal"/>
      </w:pPr>
      <w:r>
        <w:t>Desde este punto de vista, que el Tribunal Supremo no haya entregado los autos tal y como dispone el art. 220.2 L.P.L. así como las causas por las que no lo ha hecho (defectos en la gestión del propio Tribunal Supremo) o no ha podido hacerlo (retrasos en el envío de las actuaciones por parte del Tribunal Superior) son, en sí mismas, circunstancias sobre las que nada hemos de decir.  En el amparo lo único que interesa es en qué medida tales circunstancias pueden incidir en la integridad del derecho a la tutela judicial efectiva o generar indefensión.</w:t>
      </w:r>
    </w:p>
    <w:p w:rsidR="00A12D44" w:rsidRDefault="00A12D44" w:rsidP="00A12D44">
      <w:pPr>
        <w:pStyle w:val="TextoNormal"/>
      </w:pPr>
    </w:p>
    <w:p w:rsidR="00A12D44" w:rsidRDefault="00A12D44" w:rsidP="00A12D44">
      <w:pPr>
        <w:pStyle w:val="TextoNormal"/>
      </w:pPr>
      <w:r w:rsidRPr="00A12D44">
        <w:rPr>
          <w:rStyle w:val="NumeroAFNegritaCaracter"/>
        </w:rPr>
        <w:t>3</w:t>
      </w:r>
      <w:r>
        <w:t>. Prescindiendo, pues, de la extensa argumentación de la demandante sobre el sentido del art. 220.2 L.P.L. y sobre su incumplimiento por el Tribunal Supremo y sus injustificadas razones, hemos de concretar nuestro razonamiento en determinar si en el supuesto se ha lesionado o no algún derecho fundamental.  Pues bien, la falta de entrega de las actuaciones para formalizar el recurso de casación para la unificación de doctrina ni impide la efectiva formalización - con eventual lesión del derecho a la tutela judicial efectiva- ni genera indefensión. En efecto, en el recurso de casación para la unificación de doctrina sólo cabe comparar Sentencias contradictorias para determinar cuál de las eventuales soluciones es legalmente correcta (arts.  216, 221 y 225 L.P.L.).  En consecuencia, carece de importancia que el Letrado tenga o no los autos a su disposición. puesto que el debate posterior se desarrollará sobre los hechos ya fijados en las Sentencias comparadas y sin atender, en principio, a las vicisitudes procesales o probatorias ocurridas con anterioridad. Por ello, la efectiva entrega de los autos es, en principio, circunstancia irrelevante desde el punto de vista del derecho de defensa. Sólo ante una acreditación específica de que la en</w:t>
      </w:r>
      <w:r>
        <w:lastRenderedPageBreak/>
        <w:t>trega era necesaria para la formalización, que siendo difícilmente imaginable, no se ha producido, desde luego, en este caso, cabría admitir la existencia de lesión del art. 24.1 C.E.</w:t>
      </w:r>
    </w:p>
    <w:p w:rsidR="00A12D44" w:rsidRDefault="00A12D44" w:rsidP="00A12D44">
      <w:pPr>
        <w:pStyle w:val="TextoNormal"/>
      </w:pPr>
      <w:r>
        <w:t>Por otro lado, la falta de entrega de las actuaciones no coloca, como pretende la recurrente, en situación desigual a las partes procesales. Es posible que las partes comparecidas con posterioridad disfruten de la posibilidad que la recurrente no ha tenido. Sin embargo, esta circunstancia sólo genera, en principio, una desigualdad de orden formal, ya que consecuencia lógica de las reflexiones anteriores ha de ser que el acceso a los autos nada añada normalmente a las posibilidades de defensa de las otras partes. Y, en cualquier caso, la eventual desigualdad sólo se producirá en un momento posterior al de la formalización, pudiendo ser subsanado el defecto inicial en la tramitación posterior. En definitiva ante la advertencia de la Sala, el recurrente debió formalizar, dejando constancia de que no había recibido los autos para que, en su caso, la Sala pudiera conceder un segundo trámite si la igualdad de las partes quedaba realmente alterada en atención al empleo por el recurrido de la facultad que le concede el art. 223 L.P.L.</w:t>
      </w:r>
    </w:p>
    <w:p w:rsidR="00A12D44" w:rsidRDefault="00A12D44" w:rsidP="00A12D44">
      <w:pPr>
        <w:pStyle w:val="TextoNormal"/>
      </w:pPr>
    </w:p>
    <w:p w:rsidR="00A12D44" w:rsidRDefault="00A12D44" w:rsidP="00A12D44">
      <w:pPr>
        <w:pStyle w:val="TextoNormal"/>
      </w:pPr>
      <w:r w:rsidRPr="00A12D44">
        <w:rPr>
          <w:rStyle w:val="NumeroAFNegritaCaracter"/>
        </w:rPr>
        <w:t>4</w:t>
      </w:r>
      <w:r>
        <w:t>. No puede admitirse, en fin, que el Tribunal Supremo en las resoluciones impugnadas se haya separado injustificadamente del criterio sostenido con anterioridad. Ciertamente, en el Auto de 21 de mayo de 1991 acuerda, dada la falta de entrega de los autos. que se realice ésta y se concede un plazo -justo el tiempo que quedaba entre su petición y la efectiva entrega- para formalizar el recurso. Sin embargo, el supuesto resuelto por este Auto es distinto del que ahora se plantea. En aquél, los autos estaban a disposición, pero no se produjo su entrega por omitir la Sala, en la providencia, el correspondiente acuerdo.  En el presente caso, los autos no estaban a disposición de la Sala, que advirtió expresamente esta circunstancia a la recurrente. El propio Tribunal Supremo, en el Auto de 11 de septiembre de 1991 -que se aportó en el trámite de alegaciones- advierte sobre las diferencias entre ambos casos. Puede excluirse, pues, la existencia de la necesaria identidad.</w:t>
      </w:r>
    </w:p>
    <w:p w:rsidR="00A12D44" w:rsidRDefault="00A12D44" w:rsidP="00A12D44">
      <w:pPr>
        <w:pStyle w:val="TextoNormal"/>
      </w:pPr>
      <w:r>
        <w:t>En cualquier caso, de la resolución impugnada se desprende que la jurisprudencia mayoritaria del Tribunal Supremo es precisamente la que ahora se cuestiona. Resulta, por ello, imposible admitir una alegación de desigual aplicación de la Ley fundada en la doctrina sentada en un pronunciamiento aislado, existiendo una tendencia jurisprudencial reiterada coincidente con la resolución impugnada.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todo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5" w:name="AUTO_1992_94"/>
      <w:r>
        <w:lastRenderedPageBreak/>
        <w:t>AUTO 94/1992, de 30 de marzo de 1992</w:t>
      </w:r>
    </w:p>
    <w:bookmarkEnd w:id="165"/>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ECLI:ES:TC:1992:94A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2.388/1991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6" w:name="AUTO_1992_95"/>
      <w:r>
        <w:lastRenderedPageBreak/>
        <w:t>AUTO 95/1992, de 30 de marzo de 1992</w:t>
      </w:r>
    </w:p>
    <w:bookmarkEnd w:id="166"/>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ECLI:ES:TC:1992:95A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suspensión parcial de la ejecución del acto que origina el recurso de amparo 2.44/1991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7" w:name="AUTO_1992_96"/>
      <w:r>
        <w:lastRenderedPageBreak/>
        <w:t>AUTO 96/1992, de 30 de marzo de 1992</w:t>
      </w:r>
    </w:p>
    <w:bookmarkEnd w:id="167"/>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ECLI:ES:TC:1992:96A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2.463/1991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don Juan Luis Pérez-Mulet y Suárez, por escrito que tiene entrada en este Tribunal el día 4 de diciembre de 1991, en nombre y representación de don Antonio Ceballos Vera, don Ismael Llorca Escuin, doña María Luisa Monterde Antonio, don Fernando Navarro Tarín, don Ricardo Navarro Tarín, don Alberto Palop Grau, don Eduardo Carlos Talens Escrihuela y doña María Jesús Zubiri Alvarez, interpone recurso de amparo contra la Sentencia de la Sección Primera de la Sala Tercera del Tribuna Supremo en el recurso extraordinario de revisión núm. 284/91, por vulneración de los arts. 9, 14, 24 y 188 de la C.E.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de los que trae causa la demanda de amparo son, en síntesis, los siguientes: </w:t>
      </w:r>
    </w:p>
    <w:p w:rsidR="00A12D44" w:rsidRDefault="00A12D44" w:rsidP="00A12D44">
      <w:pPr>
        <w:pStyle w:val="TextoNormal"/>
      </w:pPr>
      <w:r>
        <w:t xml:space="preserve">a) Los recurrentes solicitaron la concesión del título de Médico especialista en sus respectivas especialidades, y al ser desestimadas por silencio interpusieron recurso contencioso-administrativo que la Sala Primera de la Audiencia Territorial de Valencia estimó, reconociéndoles el derecho a que se les expidiera el referido título. </w:t>
      </w:r>
    </w:p>
    <w:p w:rsidR="00A12D44" w:rsidRDefault="00A12D44" w:rsidP="00A12D44">
      <w:pPr>
        <w:pStyle w:val="TextoNormal"/>
      </w:pPr>
      <w:r>
        <w:t xml:space="preserve">b) Planteado por el Abogado del Estado recurso de apelación. la Sección Tercera de la Sala Tercera del Tribunal Supremo dictó Sentencia de fecha 2 de julio de 1990 por la que, estimando el recurso, revocó la Sentencia de instancia, confirmando la adecuación a derecho de los actos impugnados. </w:t>
      </w:r>
    </w:p>
    <w:p w:rsidR="00A12D44" w:rsidRDefault="00A12D44" w:rsidP="00A12D44">
      <w:pPr>
        <w:pStyle w:val="TextoNormal"/>
      </w:pPr>
      <w:r>
        <w:t>c) Finalmente, interpuesto recurso extraordinario de revisión al amparo del art. 102.1 b) de la L.J.C.A. por quienes ahora demandan, la Sección Primera de la Sala Tercera del Tribunal Supremo dictó Sentencia de 14 de octubre de 1991, por la que se desestimó el recurso «por no ser la revisión entablada procedente en Derecho». Es esta Sentencia frente a la que se impetra amparo.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Alegan los recurrentes, en primer lugar que la Sentencia que impugnan ha infringido el art. 9.3 C.E., pues no ha reconocido la irretroactividad del Real Decreto 127/1984. tal como lo había hecho ya en ocasiones anteriores la propia Sala Tercera del Tribunal Supremo. </w:t>
      </w:r>
    </w:p>
    <w:p w:rsidR="00A12D44" w:rsidRDefault="00A12D44" w:rsidP="00A12D44">
      <w:pPr>
        <w:pStyle w:val="TextoNormal"/>
      </w:pPr>
      <w:r>
        <w:t xml:space="preserve">La Sentencia ha considerado, en efecto, que los recurrentes han formulado su solicitud encontrándose ya en vigor la Disposición transitoria primera del Real Decreto 127/1984, </w:t>
      </w:r>
      <w:r>
        <w:lastRenderedPageBreak/>
        <w:t xml:space="preserve">así como la Orden de 24 de abril de 1984, pero con ello se olvida la pervivencia de la Ley-Reglamento de 20 de julio de 1955 hasta el 31 de enero de 19 84 y, por tanto, la posibilidad de adquirir derechos a su amparo (arts. 9.3 C.E. y 2.2 del C.C.). </w:t>
      </w:r>
    </w:p>
    <w:p w:rsidR="00A12D44" w:rsidRDefault="00A12D44" w:rsidP="00A12D44">
      <w:pPr>
        <w:pStyle w:val="TextoNormal"/>
      </w:pPr>
      <w:r>
        <w:t xml:space="preserve">En segundo lugar, la Sentencia en cuestión tampoco ha respetado el principio de igualdad que sanciona el art. 14 de la C.E., separándose así del criterio mantenido por el mismo órgano judicial en diez Sentencias anteriores. que reconocieron a la Ley de Especialidades de 20 de julio de 1955 como la única norma jurídica aplicable para la obtención del título de especialista. Título que tienen reconocido más de 250 médicos y que, sin embargo. les ha sido denegado a quienes solicitan ahora amparo. </w:t>
      </w:r>
    </w:p>
    <w:p w:rsidR="00A12D44" w:rsidRDefault="00A12D44" w:rsidP="00A12D44">
      <w:pPr>
        <w:pStyle w:val="TextoNormal"/>
      </w:pPr>
      <w:r>
        <w:t xml:space="preserve">En la demanda de amparo se afirma sobre este particular que «entre los hoy recurrentes de amparo y los que ya disponen del título de especialista, obtenido por Sentencias firmes, se dan los requisitos previos de una igualdad de situaciones», ya que «todos invocaron para la obtención del título de especialista la Ley de Especialidades de 20 de julio de 1955»; «todos iniciaron su formación especializada con anterioridad al 31 de enero de 1984, fecha de entrada en vigor del Real Decreto 127/1984 que derogó la Ley de 1955, previamente rebajada a rango reglamentario por la Ley 14/1970»; «todos se han formado en Centros con docencia reconocida o con programa de formación de la especialidad»; y «todos han presentado certificados, acreditativos de su formación, idénticos ... ». </w:t>
      </w:r>
    </w:p>
    <w:p w:rsidR="00A12D44" w:rsidRDefault="00A12D44" w:rsidP="00A12D44">
      <w:pPr>
        <w:pStyle w:val="TextoNormal"/>
      </w:pPr>
      <w:r>
        <w:t xml:space="preserve">Por tanto, la Sentencia que se impugna se ha separado abiertamente, con ocasión de asunto idéntico, de lo previamente mantenido en diez Sentencias anteriores, vulnerando así el principio de igualdad. </w:t>
      </w:r>
    </w:p>
    <w:p w:rsidR="00A12D44" w:rsidRDefault="00A12D44" w:rsidP="00A12D44">
      <w:pPr>
        <w:pStyle w:val="TextoNormal"/>
      </w:pPr>
      <w:r>
        <w:t xml:space="preserve">Los recurrentes, asimismo, a diferencia de «otros más y muchos», no han obtenido la tutela concedida a éstos, produciéndose así indefensión (art. 24.1 C.E.). Además se han producido dilaciones en la vía administrativa y en la vía jurisdiccional. </w:t>
      </w:r>
    </w:p>
    <w:p w:rsidR="00A12D44" w:rsidRDefault="00A12D44" w:rsidP="00A12D44">
      <w:pPr>
        <w:pStyle w:val="TextoNormal"/>
      </w:pPr>
      <w:r>
        <w:t xml:space="preserve">Finalmente, se ha infringido el art. 118 de la C.E., pues «la obligación de cumplir las resoluciones judiciales no se agota en el contenido singular de cada una, sino en el acatamiento efectivo del criterio jurisprudencial que incorporan y en su aplicación a supuestos iguales e incluso análogos, evitando así litigios innecesarios, que están, siempre, en la patología de la convivencia». </w:t>
      </w:r>
    </w:p>
    <w:p w:rsidR="00A12D44" w:rsidRDefault="00A12D44" w:rsidP="00A12D44">
      <w:pPr>
        <w:pStyle w:val="TextoNormal"/>
      </w:pPr>
      <w:r>
        <w:t>Concluye la demanda suplicando sea dictada Sentencia otorgando el amparo y declarando que ha sido violado por la Sentencia de revisión impugnada el derecho de igualdad y el principio de seguridad jurídica, debiéndose adoptar las medidas correspondientes para la integridad de los referidos derechos.</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20 de febrero de 1992, la Sección acordó conceder un plazo común de diez días a los recurrentes y al Ministerio Fiscal para formular alegaciones en relación con la posible falta de contenido constitucional de la demanda. En su escrito de alegaciones los recurrentes reiteran la existencia de infracción de los arts. 9, 14, 24 y 118 C.E., deteniéndose particularmente en la existencia de aplicación retroactiva de una norma restrictiva de derechos, la existencia de tratamiento desigual ante situaciones iguales, y al haberse producido indefensión y desconocimiento del art. 24 y 118 C.E. por haberse dictado una Sentencia discrepante con las anteriores que podría ser inducida. </w:t>
      </w:r>
    </w:p>
    <w:p w:rsidR="00A12D44" w:rsidRDefault="00A12D44" w:rsidP="00A12D44">
      <w:pPr>
        <w:pStyle w:val="TextoNormal"/>
      </w:pPr>
      <w:r>
        <w:t>El Ministerio Fiscal se opone a la admisión de la demanda indicando que los arts. 9 y 118 C.E. no son invocables en amparo, que no hay violación del derecho a la tutela judicial efectiva, pues la Sentencia razona suficientemente la falta de identidad objetiva entre las resoluciones que se citan como contradictoras, razonamiento que, además, excluye la violación del principio de igualdad, al ser un tema fáctico el de la identidad de las situaciones de hecho que sólo corresponde conocer a los órganos judiciales.</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Es evidente, en primer término, que la invocación de los arts. 9.3 y 118 de la C.E. no presenta viabilidad alguna al no reconocerse en los mismos derecho fundamental protegible por el recurso de amparo. Sin necesidad, pues, de dar respuesta sobre las razones y consideraciones en que se sustenta la pretendida infracción de los indicados preceptos constitucionales, el recurso debe ser inadmitido en este particular extremo [art. 50.1 b) LOTC].</w:t>
      </w:r>
    </w:p>
    <w:p w:rsidR="00A12D44" w:rsidRDefault="00A12D44" w:rsidP="00A12D44">
      <w:pPr>
        <w:pStyle w:val="TextoNormal"/>
      </w:pPr>
    </w:p>
    <w:p w:rsidR="00A12D44" w:rsidRDefault="00A12D44" w:rsidP="00A12D44">
      <w:pPr>
        <w:pStyle w:val="TextoNormal"/>
      </w:pPr>
      <w:r w:rsidRPr="00A12D44">
        <w:rPr>
          <w:rStyle w:val="NumeroAFNegritaCaracter"/>
        </w:rPr>
        <w:t>2</w:t>
      </w:r>
      <w:r>
        <w:t>. El derecho a la tutela judicial efectiva y a la no indefensión no ha podido ser lesionado una vez que los demandantes han obtenido una respuesta sobre las pretensiones deducidas, sin que, obviamente, el hecho de que aquélla no les haya sido favorable permita calificaría como contraria al art. 24.1 C.E., habiendo dado una razonada motivación sobre las razones que le llevan al órgano judicial a entender la falta de identidad objetiva entre las soluciones que se citan como contradictorias a efectos del recurso extraordinario de revisión, y que excluye desde luego que la decisión de nuestro más alto Tribunal pudiera considerarse, como se piensa temerariamente en el escrito de alegaciones, una «Sentencia inducida». Y en cuanto se entienda esa violación referida a la desviación o apartamiento del Tribunal Supremo del criterio sentado en anteriores ocasiones, la denuncia ha de encuadrarse en la relativa a la vulneración del principio de igualdad en la aplicación de la ley.</w:t>
      </w:r>
    </w:p>
    <w:p w:rsidR="00A12D44" w:rsidRDefault="00A12D44" w:rsidP="00A12D44">
      <w:pPr>
        <w:pStyle w:val="TextoNormal"/>
      </w:pPr>
      <w:r>
        <w:t>Asimismo, no hay la más mínima concreción de las circunstancias que pudieran haber determinado las dilaciones indebidas que, según los recurrentes, se han producido tanto en vía administrativa como en sede jurisdiccional. Por ello, sin necesidad de apurar el análisis, es palmario que el alegato carece de todo fundamento, no apreciándose indicio alguno de que el órgano judicial haya incurrido en infracción del derecho a un proceso público sin dilaciones indebidas (art. 24.2 C.E.).</w:t>
      </w:r>
    </w:p>
    <w:p w:rsidR="00A12D44" w:rsidRDefault="00A12D44" w:rsidP="00A12D44">
      <w:pPr>
        <w:pStyle w:val="TextoNormal"/>
      </w:pPr>
      <w:r>
        <w:t>La demanda, desde la consideración del art. 24 C.E., carece, pues, manifiestamente de contenido constitucional [art. 50.1 c) LOTC].</w:t>
      </w:r>
    </w:p>
    <w:p w:rsidR="00A12D44" w:rsidRDefault="00A12D44" w:rsidP="00A12D44">
      <w:pPr>
        <w:pStyle w:val="TextoNormal"/>
      </w:pPr>
    </w:p>
    <w:p w:rsidR="00A12D44" w:rsidRDefault="00A12D44" w:rsidP="00A12D44">
      <w:pPr>
        <w:pStyle w:val="TextoNormal"/>
      </w:pPr>
      <w:r w:rsidRPr="00A12D44">
        <w:rPr>
          <w:rStyle w:val="NumeroAFNegritaCaracter"/>
        </w:rPr>
        <w:t>3</w:t>
      </w:r>
      <w:r>
        <w:t>. Finalmente, queda por examinar la imputación que, a primera vista, parece presentar mayor consistencia; es decir, la vulneración del principio de igualdad en la aplicación de la Ley (art. 14 C.E.), ya que, a juicio de los recurrentes, en diez Sentencias anteriores, y en relación a supuestos idénticos, la Sala Tercera del Tribunal Supremo había venido manteniendo una posición que en la Sentencia ahora impugnada se abandona sin causa ni motivo que pueda justificar el cambio.</w:t>
      </w:r>
    </w:p>
    <w:p w:rsidR="00A12D44" w:rsidRDefault="00A12D44" w:rsidP="00A12D44">
      <w:pPr>
        <w:pStyle w:val="TextoNormal"/>
      </w:pPr>
      <w:r>
        <w:t xml:space="preserve">Los recurrentes afirman taxativamente que su situación y su pretensión son idénticos a la de los recurrentes que en esas diez Sentencias anteriores obtuvieron el reconocimiento del derecho que a ellos les ha: sido denegado.  pero de inmediato hay que recordar que el juicio que pueda desarrollarse en esta sede con ocasión del recurso de amparo ha de partir de los hechos enjuciados y declarados probados por el Tribunal ordinario cuya decisión se impugna; hechos acerca de los cuales el Tribunal Constitucional. según dispone su propia Ley Orgánica (art. 44.1 b), en ningún caso entrará a conocer. De modo que, como ya se ha señalado en la doctrina de este Tribunal, la delimitación de los hechos y de sus efectos es el punto de partida para el juicio del Tribunal Constitucional, puesto que ni el recurso de </w:t>
      </w:r>
      <w:r>
        <w:lastRenderedPageBreak/>
        <w:t>amparo es un recurso de apelación, ni este Tribunal constituye una tercera instancia (por ejemplo, STC 59/90, fundamento jurídico 2. ).</w:t>
      </w:r>
    </w:p>
    <w:p w:rsidR="00A12D44" w:rsidRDefault="00A12D44" w:rsidP="00A12D44">
      <w:pPr>
        <w:pStyle w:val="TextoNormal"/>
      </w:pPr>
      <w:r>
        <w:t>Pues bien, en el presente caso, la sentencia que se impugna vino a resolver el recurso extraordinario de revisión interpuesto por quienes ahora demandan contra la Sentencia de la Sección Tercera de la Sala Tercera del Tribunal Supremo de 11 de mayo de 1990, fundándose el recurso en el art. 102.1 b) de la L.J.C.A., justamente por estimar que el pronunciamiento de la referida Sentencia era contrario al de anteriores Sentencias de la misma Sala dictadas respecto de litigantes en idéntica situación y en atención a hechos, fundamentos y pretensiones sustancialmente iguales.</w:t>
      </w:r>
    </w:p>
    <w:p w:rsidR="00A12D44" w:rsidRDefault="00A12D44" w:rsidP="00A12D44">
      <w:pPr>
        <w:pStyle w:val="TextoNormal"/>
      </w:pPr>
      <w:r>
        <w:t>En estrictos términos, pues, la vulneración del principio de igualdad en la aplicación de la Ley que se denuncia habría que referirla primariamente a la Sentencia del Tribunal Supremo dictada en apelación y no a la dictada en revisión, que es la que ha dado respuesta precisamente a la posible contradicción entre Sentencias dictadas por el mismo órgano judicial.</w:t>
      </w:r>
    </w:p>
    <w:p w:rsidR="00A12D44" w:rsidRDefault="00A12D44" w:rsidP="00A12D44">
      <w:pPr>
        <w:pStyle w:val="TextoNormal"/>
      </w:pPr>
      <w:r>
        <w:t>Lo cierto es que, aun prescindiendo de que la Sentencia que se impugna ha sido dictada en recurso extraordinario de revisión por un órgano judicial -la Sección Primera de la Sala Tercera del Tribunal Supremo- distinto a la antigua Sala Tercera del Alto Tribunal y, posteriormente, a la Sección Tercera de dicha Sala, pudiéndose concluir, por tanto, que, en todo caso, si existiese diferencia de criterio sería más bien una diferencia entre órganos distintos y no un cambio en el criterio hasta entonces mantenido por el mismo órgano judicial del que emana la Sentencia impugnada (por todas, SSTC 161/1989, 134/1991 y 183/1991, con cita de los AATC 233/1985 y 811/1986), con independencia de ello, basta estar a lo declarado en la Sentencia dictada en revisión -que, de acuerdo con la doctrina antes recordada, es presupuesto del enjuiciamiento que corresponde a este Tribunal- para descartar la existencia de identidad objetiva entre el supuesto que ha dado lugar a la Sentencia impugnada y los que dieron lugar a las Sentencias que se aporta como término de comparación. En el fundamento jurídico 3. de la Sentencia de revisión se señala, en efecto, que «... el examen del carácter y contenido de las Sentencias enfrentadas revela la no existencia de la identidad objetiva (...)  lo cual explica, incluso, la no coincidencia en la fundamentación jurídica que avalan las diferentes decisiones que las sentencias citadas contienen, por referirse a casos no enteramente coincidentes en razón de las circunstancias concurrentes en cada uno de ellos, al responder a distintos sistemas o modos de formación profesional», explicitando seguidamente las diferencias sustanciales que separan a uno de otros supuestos, que como tales, han de ponerse en conexión no sólo en relación con los hechos, sino en especial con la fijación judicial de esos hechos y con las alegaciones de las partes. Para el Tribunal Supremo, es distinta la fecha de solicitud, la del inicio de las prácticas y, en el presente caso, no constaba se cumplieran los requisitos de sistema de selección y de programa oficial aprobado establecidos por la Ley de 1955 y el Decreto de 1957, requisitos que «se dan por supuestos» en los casos a los que se refieren las Sentencias enfrentadas, aludiendo a algunas de ellas en las que se relaciona la existencia de programa aprobado, convocatoria pública de acceso, acreditamiento de aprovecho y asistencia, etc. En la demanda se cuestiona que esos requisitos dados por supuestos, efectivamente existieran en los respectivos casos, pero el argumento en sí mismo excluye cualquier sospecha de desigualdad en la aplicación de la Ley, que hace referencia a un apar- tamiento de la interpretación de la norma aplicable al caso, y excluye cualquier consideración sobre la fijación y valoración de los hechos, pues si fuera cierto lo que se afirma en la demanda, y hubiera podido existir un error en la apreciación fáctica, al darse por supuesto el cumplimiento de unos requisitos legales realmente inexistentes, se estaría más bien ante un su</w:t>
      </w:r>
      <w:r>
        <w:lastRenderedPageBreak/>
        <w:t>puesto de pretensión de tratamiento igual en la legalidad, lo que ha sido reiteradamente excluido de protección constitucional por parte de este Tribunal.</w:t>
      </w:r>
    </w:p>
    <w:p w:rsidR="00A12D44" w:rsidRDefault="00A12D44" w:rsidP="00A12D44">
      <w:pPr>
        <w:pStyle w:val="TextoNormal"/>
      </w:pPr>
      <w:r>
        <w:t>Al no haber lugar a revisar por este TC los hechos y presupuestos determinantes del suficientemente motivado, y en modo alguno arbitrario, pronunciamiento judicial acerca de su apreciación de la inexistencia de una sustancial igualdad entre los supuestos en comparación, debe concluirse también estimando inadmisible la queja planteada, en relación al art. 14 C.E., por carecer manifiestamente de contenido constitucional [art. 50.1 c) LOTC].</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atención a todo lo expuesto, la Sección acuerda la inadmisión del presente recurso de amparo.</w:t>
      </w:r>
    </w:p>
    <w:p w:rsidR="00A12D44" w:rsidRDefault="00A12D44" w:rsidP="00A12D44">
      <w:pPr>
        <w:pStyle w:val="TextoNormal"/>
      </w:pPr>
    </w:p>
    <w:p w:rsidR="00A12D44" w:rsidRDefault="00A12D44" w:rsidP="00A12D44">
      <w:pPr>
        <w:pStyle w:val="TextoNormal"/>
      </w:pPr>
      <w:r>
        <w:t>Madrid, a treinta de marzo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8" w:name="AUTO_1992_97"/>
      <w:r>
        <w:lastRenderedPageBreak/>
        <w:t>AUTO 97/1992, de 30 de marzo de 1992</w:t>
      </w:r>
    </w:p>
    <w:bookmarkEnd w:id="168"/>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ECLI:ES:TC:1992:97A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Denegando la suspensión de la ejecución del acto que original recurso de amparo 2.682/1991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69" w:name="AUTO_1992_98"/>
      <w:r>
        <w:lastRenderedPageBreak/>
        <w:t>AUTO 98/1992, de 7 de abril de 1992</w:t>
      </w:r>
    </w:p>
    <w:bookmarkEnd w:id="169"/>
    <w:p w:rsidR="00A12D44" w:rsidRDefault="00A12D44" w:rsidP="00A12D44">
      <w:pPr>
        <w:pStyle w:val="TtuloResolucin"/>
      </w:pPr>
      <w:r>
        <w:t>Pleno</w:t>
      </w:r>
    </w:p>
    <w:p w:rsidR="00A12D44" w:rsidRDefault="00A12D44" w:rsidP="00A12D44">
      <w:pPr>
        <w:pStyle w:val="TtuloResolucin"/>
      </w:pPr>
    </w:p>
    <w:p w:rsidR="00A12D44" w:rsidRDefault="00A12D44" w:rsidP="00A12D44">
      <w:pPr>
        <w:pStyle w:val="SntesisDescriptiva"/>
      </w:pPr>
      <w:r>
        <w:t>ECLI:ES:TC:1992:98A</w:t>
      </w:r>
    </w:p>
    <w:p w:rsidR="00A12D44" w:rsidRDefault="00A12D44" w:rsidP="00A12D44">
      <w:pPr>
        <w:pStyle w:val="SntesisDescriptiva"/>
      </w:pPr>
    </w:p>
    <w:p w:rsidR="00A12D44" w:rsidRDefault="00A12D44" w:rsidP="00A12D44">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A12D44" w:rsidRDefault="00A12D44" w:rsidP="00A12D44">
      <w:pPr>
        <w:pStyle w:val="SntesisDescriptiva"/>
      </w:pPr>
    </w:p>
    <w:p w:rsidR="00A12D44" w:rsidRDefault="00A12D44" w:rsidP="00A12D44">
      <w:pPr>
        <w:pStyle w:val="SntesisDescriptiva"/>
      </w:pPr>
      <w:r>
        <w:t>Acordando no haber lugar a la aclaración solicitada del fallo de la STC 44/1992, en el recurso de inconstitucionalidad 614/1986</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Con fecha 2 de abril de 1992 se dictó por el Pleno Sentencia en el presente recurso de inconstitucionalidad núm. 614/1986, y fue notificada a las partes el día 3 siguiente.</w:t>
      </w:r>
    </w:p>
    <w:p w:rsidR="00A12D44" w:rsidRDefault="00A12D44" w:rsidP="00A12D44">
      <w:pPr>
        <w:pStyle w:val="TextoNormal"/>
      </w:pPr>
    </w:p>
    <w:p w:rsidR="00A12D44" w:rsidRDefault="00A12D44" w:rsidP="00A12D44">
      <w:pPr>
        <w:pStyle w:val="TextoNormal"/>
      </w:pPr>
      <w:r w:rsidRPr="00A12D44">
        <w:rPr>
          <w:rStyle w:val="NumeroAFNegritaCaracter"/>
        </w:rPr>
        <w:t>2</w:t>
      </w:r>
      <w:r>
        <w:t>. El Abogado del Estado, en escrito recibido el 6 de abril último, «siguiendo instrucciones superiores», solicita aclaración de dicha Sentencia, al amparo del art. 93.1 LOTC, y a tal fin manifiesta: que en el fallo se declara inconstitucional y nulo el art. 10, letras a), b), c) y d), sin que aparezca pronunciamiento sobre las letras e), f) y g) del mismo artículo, que fue impugnado en su totalidad; que en la fundamentación jurídica no aparece tampoco pronunciamiento expreso sobre dichas letras que se refieren a importantes extremos del recurso marino y que, a su juicio, corresponden a la competencia estatal. En virtud de estas razones, suplica se aclare el alcance del fallo en relación con las precitadas letras del art. 10 de la Ley impugnada.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t>Unico. El Abogado del Estado, sin duda con encomiable celo en la defensa de las competencias que al Estado atribuye la Constitución y los Estatutos de Autonomía, solicita de este Tribunal que aclare «el alcance de su fallo en relación con las letras e), f) y g) del art. 10 de la Ley impugnada», según permite el art. 93.1 LOTC y se pide en el suplico del recurso. Esta llamada al ejercicio de la función específicamente reparadora que ese cauce excepcional que es la solicitud de aclaración entraña vendría, a su juicio, justificada por el hecho de que el citado art. 10 fue impugnado en su totalidad y en el fallo de la Sentencia se declaran inconstitucionales y nulos sólo las letras a), b), c) y d) del mismo, «sin que aparezca pronunciamiento sobre las letras e), f) y g)» y además porque, «en todo caso, si el Tribunal ha considerado que esos apartados no son inconstitucionales no aparece en el texto notificado».</w:t>
      </w:r>
    </w:p>
    <w:p w:rsidR="00A12D44" w:rsidRDefault="00A12D44" w:rsidP="00A12D44">
      <w:pPr>
        <w:pStyle w:val="TextoNormal"/>
      </w:pPr>
      <w:r>
        <w:lastRenderedPageBreak/>
        <w:t>Pues bien, así reseñado el objeto de la solicitud de aclaración que se insta, no cabe sino responder que no existe concepto oscuro alguno que haya que aclarar, pues es patente que en el núm. 1 de la parte dispositiva de la Sentencia se decide «estimar en parte el recurso de inconstitucionalidad interpuesto» y, a continuación, en el núm. 2 se señalan distintos apartados y letras de varios artículos que se declaran «inconstitucionales por venir viciados de incompetencia y, por tanto, nulos», entre los que claramente no se encuentran las letras e), f) y g) del citado art. 10. Es patente, pues, que esas letras no han sido objeto de una declaración de inconstitucionalidad y además que no existe error material alguno u omisión ni concepto oscuro que deba ser aclarado (art. 267.1 L.O.P.J. y art. 363 L.E.C.). Así como es no menos patente que la técnica empleada en el fallo de una Sentencia -conviene no olvidarlo- parcialmente estimatoria de inconstitucionalidad, satisface lo exigido en el art. 39.1 LOTC, precepto que manda a este Tribunal que cuando la Sentencia declare la inconstitucionalidad, declare «igualmente la nulidad de los preceptos impugnados».</w:t>
      </w:r>
    </w:p>
    <w:p w:rsidR="00A12D44" w:rsidRDefault="00A12D44" w:rsidP="00A12D44">
      <w:pPr>
        <w:pStyle w:val="TextoNormal"/>
      </w:pPr>
      <w:r>
        <w:t>Del mismo modo, si bien es cierto que no existe «un pronunciamiento expreso» respecto de las letras controvertidas del art. 10, según se denuncia, es indudable que de la fundamentación expuesta (fundamento jurídico 3. , letra A) se deduce claramente, mediante la lógica sensu contrario, que lo establecido en aquéllas no invade la competencia estatal para regular la pesca marítima, lo que satisface suficientemente la existencia de motivación de la Sentencia, a la vista también de la sucinta y apodíctica argumentación actora en relación con esos epígrafes del art. 10 impugnado.</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el Pleno del Tribunal acuerda no acceder a la aclaración solicitada de la Sentencia recaída en el recurso de inconstitucionalidad núm.  614/1986.</w:t>
      </w:r>
    </w:p>
    <w:p w:rsidR="00A12D44" w:rsidRDefault="00A12D44" w:rsidP="00A12D44">
      <w:pPr>
        <w:pStyle w:val="TextoNormal"/>
      </w:pPr>
    </w:p>
    <w:p w:rsidR="00A12D44" w:rsidRDefault="00A12D44" w:rsidP="00A12D44">
      <w:pPr>
        <w:pStyle w:val="TextoNormal"/>
      </w:pPr>
      <w:r>
        <w:t>Madrid, a siete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0" w:name="AUTO_1992_99"/>
      <w:r>
        <w:lastRenderedPageBreak/>
        <w:t>AUTO 99/1992, de 7 de abril de 1992</w:t>
      </w:r>
    </w:p>
    <w:bookmarkEnd w:id="170"/>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ECLI:ES:TC:1992:99A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admisión parcial del recurso de amparo 2.364/1991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1" w:name="AUTO_1992_100"/>
      <w:r>
        <w:lastRenderedPageBreak/>
        <w:t>AUTO 100/1992, de 8 de abril de 1992</w:t>
      </w:r>
    </w:p>
    <w:bookmarkEnd w:id="171"/>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ECLI:ES:TC:1992:100A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1.295/1991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el 17 de junio de 1991, doña Teresa Castro Rodríguez, Procuradora de los Tribunales, en nombre y representación de don Martín Martín Bermejo, don Adolfo Bayo Díez, don Julio Calvo Fernández, don Amadeo Cuadrado Ordax, don Fernando Fernández de las Heras, don Alfredo González Pérez y don Carlos Charle Asegurado, presenta demanda de amparo contra la Sentencia de 20 de diciembre de 1990 del Tribunal Superior de Justicia de Madrid, que confirma la Sentencia de 2 de julio de 1988 de la Magistratura de Trabajo núm. 3 de Valladolid.</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en que se funda la demanda son, en síntesis, los siguientes: </w:t>
      </w:r>
    </w:p>
    <w:p w:rsidR="00A12D44" w:rsidRDefault="00A12D44" w:rsidP="00A12D44">
      <w:pPr>
        <w:pStyle w:val="TextoNormal"/>
      </w:pPr>
      <w:r>
        <w:t xml:space="preserve">a) Los demandantes de amparo son Médicos de la Seguridad Social que prestan sus servicios en el Hospital «del Río Hortega» de Valladolid. </w:t>
      </w:r>
    </w:p>
    <w:p w:rsidR="00A12D44" w:rsidRDefault="00A12D44" w:rsidP="00A12D44">
      <w:pPr>
        <w:pStyle w:val="TextoNormal"/>
      </w:pPr>
      <w:r>
        <w:t>b) El 3 de mayo de 1988 presentaron una demanda ante la Magistratura de Trabajo (hoy Juzgado de lo Social), que correspondió a la núm. 3 de las de Valladolid, en la que reclamaban el derecho a percibir el complemento específico, que había sido denegado por el INSALUD por no haber optado por el régimen de dedicación exclusiva en el plazo concedido, dictándose, por la indicada Magistratura de Trabajo, Sentencia desestimatoria el 2 de julio de 1988, contra la que se formuló recurso de suplicación, que fue desestimado por la Sentencia de la Sala de lo Social del Tribunal Superior de Justicia de Madrid de 21 de diciembre de 1990, notificada el 24 de mayo de 1991.</w:t>
      </w:r>
    </w:p>
    <w:p w:rsidR="00A12D44" w:rsidRDefault="00A12D44" w:rsidP="00A12D44">
      <w:pPr>
        <w:pStyle w:val="TextoNormal"/>
      </w:pPr>
    </w:p>
    <w:p w:rsidR="00A12D44" w:rsidRDefault="00A12D44" w:rsidP="00A12D44">
      <w:pPr>
        <w:pStyle w:val="TextoNormal"/>
      </w:pPr>
      <w:r w:rsidRPr="00A12D44">
        <w:rPr>
          <w:rStyle w:val="NumeroAFNegritaCaracter"/>
        </w:rPr>
        <w:t>3</w:t>
      </w:r>
      <w:r>
        <w:t>. La Sentencia de la Magistratura de Trabajo núm. 3 de Valladolid desestimó la demanda, razonando que el complemento específico se había concedido a quienes habían optado por un régimen de dedicación exclusiva, lo que comportaba estar a la permanente disposición de la empresa cuando se fuese requerido para prestar servicios, es decir, que lo que retribuía el complemento específico era la especial dependencia de la empresa.</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La Sentencia del Tribunal Superior de Justicia de Madrid desestimó el recurso de suplicación, indicando que la justificación de la desigualdad retributiva consistía en que aquellos que percibían el complemento específico habían renunciado al ejercicio privado de la medicina, comprometiéndose a una dedicación exclusiva al servicio de la Sanidad Pública, compromiso que rechazaban los demandantes, por lo que el supuesto de hecho no </w:t>
      </w:r>
      <w:r>
        <w:lastRenderedPageBreak/>
        <w:t>era igual en ambas situaciones, existiendo una justificación objetiva y razonable de dicha desigualdad, en cuanto la propia normativa de incompatibilidades había previsto esta diferenciación, como se infería, a contrario sensu, del párrafo primero del art. 26 del Real Decreto 598/1985, dictado al amparo formal de lo previsto en la Disposición adicional sexta de la Ley 53/1984.</w:t>
      </w:r>
    </w:p>
    <w:p w:rsidR="00A12D44" w:rsidRDefault="00A12D44" w:rsidP="00A12D44">
      <w:pPr>
        <w:pStyle w:val="TextoNormal"/>
      </w:pPr>
    </w:p>
    <w:p w:rsidR="00A12D44" w:rsidRDefault="00A12D44" w:rsidP="00A12D44">
      <w:pPr>
        <w:pStyle w:val="TextoNormal"/>
      </w:pPr>
      <w:r w:rsidRPr="00A12D44">
        <w:rPr>
          <w:rStyle w:val="NumeroAFNegritaCaracter"/>
        </w:rPr>
        <w:t>5</w:t>
      </w:r>
      <w:r>
        <w:t>. La demanda de amparo considera infringido el art. 14 de la C.E., y en ella se razona, en síntesis, que el complemento específico, establecido por el Real Decreto-ley de 11 de septiembre de 1987, está destinado a retribuir las condiciones particulares de algunos puestos de trabajo en atención a su especial dificultad técnica, dedicación, responsabilidad, incompatibilidad, peligrosidad o penosidad, condiciones que se refieren al puesto de trabajo, y, por lo tanto, debe ser abonado a las personas que ocupan el puesto de trabajo, con independencia de su dedicación exclusiva o no a la Sanidad Pública, y lo vienen percibiendo compañeros que, con el mismo trabajo, el mismo horario, la misma penosidad, peligrosidad, dedicación y responsabilidad, manifiestan que no se dedican al ejercicio privado de la medicina.</w:t>
      </w:r>
    </w:p>
    <w:p w:rsidR="00A12D44" w:rsidRDefault="00A12D44" w:rsidP="00A12D44">
      <w:pPr>
        <w:pStyle w:val="TextoNormal"/>
      </w:pPr>
    </w:p>
    <w:p w:rsidR="00A12D44" w:rsidRDefault="00A12D44" w:rsidP="00A12D44">
      <w:pPr>
        <w:pStyle w:val="TextoNormal"/>
      </w:pPr>
      <w:r w:rsidRPr="00A12D44">
        <w:rPr>
          <w:rStyle w:val="NumeroAFNegritaCaracter"/>
        </w:rPr>
        <w:t>6</w:t>
      </w:r>
      <w:r>
        <w:t>. Por providencia de 16 de septiembre de 1991, se acordó abrir el trámite previsto en el art. 50.3 de la LOTC, concediendo un plazo de diez días al Ministerio Fiscal y al solicitante de amparo para que alegasen lo que estimasen pertinente acerca de la posibilidad de que la demanda careciera manifiestamente de contenido constitucional.</w:t>
      </w:r>
    </w:p>
    <w:p w:rsidR="00A12D44" w:rsidRDefault="00A12D44" w:rsidP="00A12D44">
      <w:pPr>
        <w:pStyle w:val="TextoNormal"/>
      </w:pPr>
    </w:p>
    <w:p w:rsidR="00A12D44" w:rsidRDefault="00A12D44" w:rsidP="00A12D44">
      <w:pPr>
        <w:pStyle w:val="TextoNormal"/>
      </w:pPr>
      <w:r w:rsidRPr="00A12D44">
        <w:rPr>
          <w:rStyle w:val="NumeroAFNegritaCaracter"/>
        </w:rPr>
        <w:t>7</w:t>
      </w:r>
      <w:r>
        <w:t>. Por escrito registrado el 14 de octubre de 1991, el Ministerio Fiscal interesa inadmisión de la demanda por entender que carece de contenido constitucional, que justifique la decisión de este Tribunal en forma de Sentencia. Indica, en síntesis, que existiría una justificación objetiva y razonable que abonaría la diferencia retributiva, pues, en este caso, el complemento viene a retribuir no sólo factores objetivos concurrentes en la realización del trabajo, como pueden ser la dificultad técnica, la penosidad y la peligrosidad, sino también elementos subjetivos, asimismo señalados en el art. 2.3 b) del Real Decreto-ley 31/987, como sería el de la dedicación exclusiva o incompatibilidad.</w:t>
      </w:r>
    </w:p>
    <w:p w:rsidR="00A12D44" w:rsidRDefault="00A12D44" w:rsidP="00A12D44">
      <w:pPr>
        <w:pStyle w:val="TextoNormal"/>
      </w:pPr>
    </w:p>
    <w:p w:rsidR="00A12D44" w:rsidRDefault="00A12D44" w:rsidP="00A12D44">
      <w:pPr>
        <w:pStyle w:val="TextoNormal"/>
      </w:pPr>
      <w:r w:rsidRPr="00A12D44">
        <w:rPr>
          <w:rStyle w:val="NumeroAFNegritaCaracter"/>
        </w:rPr>
        <w:t>8</w:t>
      </w:r>
      <w:r>
        <w:t>. Los demandantes de amparo, en este trámite, por escrito registrado el 4 de octubre de 1991, vienen a reproducir, sucintamente, los argumentos de su demanda.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La demanda carece manifiestamente de contenido que justifique una decisión sobre el fondo por parte de este Tribunal, por lo que ha de ser inadmitida, como pusimos de manifiesto en nuestra providencia de 26 de septiembre de 1991, en aplicación del art. 50.1 c) de la LOTC. La cuestión suscitada por los recurrentes es, en efecto, ajena al derecho a la igualdad, toda vez que ni son comparables las situaciones que se pretenden comparar, ni en el hipotético caso de que se pudiera hacer esta operación podría admitirse en este caso la existencia de discriminación. pues el trato diferente que los recurrentes han recibido está objetiva y razonablemente justificado.</w:t>
      </w:r>
    </w:p>
    <w:p w:rsidR="00A12D44" w:rsidRDefault="00A12D44" w:rsidP="00A12D44">
      <w:pPr>
        <w:pStyle w:val="TextoNormal"/>
      </w:pPr>
    </w:p>
    <w:p w:rsidR="00A12D44" w:rsidRDefault="00A12D44" w:rsidP="00A12D44">
      <w:pPr>
        <w:pStyle w:val="TextoNormal"/>
      </w:pPr>
      <w:r w:rsidRPr="00A12D44">
        <w:rPr>
          <w:rStyle w:val="NumeroAFNegritaCaracter"/>
        </w:rPr>
        <w:lastRenderedPageBreak/>
        <w:t>2</w:t>
      </w:r>
      <w:r>
        <w:t>. Según los demandantes en amparo, la resolución judicial impugnada vulnera el art. 14 de la C.E. al considerar la dedicación exclusiva como elemento determinante para el reconocimiento de un complemento salarial de puesto de trabajo, incurriéndose en discriminación al tratar de forma diferente a los médicos que prestan sus servicios en el INSALUD según que tengan dedicación exclusiva o, por el contrario, compatibilicen su ejercicio con el de la medicina privada.</w:t>
      </w:r>
    </w:p>
    <w:p w:rsidR="00A12D44" w:rsidRDefault="00A12D44" w:rsidP="00A12D44">
      <w:pPr>
        <w:pStyle w:val="TextoNormal"/>
      </w:pPr>
      <w:r>
        <w:t>Pero, como ha declarado este Tribunal en casos similares al presente, la invocación del derecho a la igualdad carece de fundamento, pues lo que el art.  14 de la C.E. prohíbe es que supuestos de hecho semejantes sean tratados de forma desigual sin una justificación razonable y objetiva (SSTC 22/1981 y 49/1983, entre otras). En el presente caso, los actores, a diferencia de los demás médicos respecto de los que se sienten discriminados, no optaron por desempeñar sus servicios en régimen de exclusividad, y ello es bastante para entender que unos y otros no se encuentran en la misma situación, por lo que, pese a los intentos efectuados en la demanda de amparo, no es posible configurar un término válido de comparación que sirva para poder apreciar la pretendida discriminación. De otro lado, como acertadamente pone de manifiesto el Ministerio Fiscal, la diferencia retributiva responde a un criterio objetivo y razonable, pues el complemento específico viene a retribuir no sólo factores objetivos en la realización del trabajo, como pueden ser la dificultad técnica, la penosidad y la peligrosidad, que afectan a los médicos recurrentes y a los que perciben aquel emolumento, sino también factores subjetivos como la dedicación exclusiva o la incompatibilidad. Es, por tanto, razonable que la exclusiva dedicación a un trabajo sea un criterio que tenga su reflejo en una mayor retribución económica que compense la concentración de fuerzas y la sujeción personal que ello comporta.</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ocho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2" w:name="AUTO_1992_101"/>
      <w:r>
        <w:lastRenderedPageBreak/>
        <w:t>AUTO 101/1992, de 8 de abril de 1992</w:t>
      </w:r>
    </w:p>
    <w:bookmarkEnd w:id="172"/>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ECLI:ES:TC:1992:101A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2.605/1991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Con fecha 23 de diciembre de 1991, don Manuel Jódar Martínez y don José Antonio López Soler interpusieron recurso de amparo sobre la base de las alegaciones de hecho y de derecho que a continuación se resumen.</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recurrentes adquirieron de «Hacienda El Hornillo, S. L.», mediante escritura de fecha 7 de marzo de 1984, una cuarta parte indivisa, cada uno, de una parcela de terreno de la Urbanización «Costa del Hornillo». En dicha escritura se hace constar que la parcela disponía de licencia municipal de construcción otorgada por el Ayuntamiento de Aguilas en 1982. Posteriormente, en 1 de julio de 1984, los recurrentes se adjudicaron, junto con otros comuneros, las cuatro viviendas edificadas sobre la citada parcela. </w:t>
      </w:r>
    </w:p>
    <w:p w:rsidR="00A12D44" w:rsidRDefault="00A12D44" w:rsidP="00A12D44">
      <w:pPr>
        <w:pStyle w:val="TextoNormal"/>
      </w:pPr>
      <w:r>
        <w:t xml:space="preserve">Con fecha 10 de diciembre de 1991 recibieron carta certificada de «Hacienda El Hornillo, S. L.», por la que se les da cuenta de un Auto del Tribunal Supremo dictado en ejecución de Sentencia que declara la nulidad de la licencia de construcción de las referidas viviendas. Ante esta comunicación, que califican de sorpresiva y trascendente, solicitaron explicaciones de «Hacienda El Hornillo, S. L.». De este modo llegaron a tener conocimiento, según dicen, de que la licencia de construcción de las viviendas propiedad de los recurrentes que fue otorgada en su día por el Ayuntamiento de Aguilas a «Hacienda El Hornillo, S. L.», había sido impugnada con fecha 29 de abril de 1983 por doña Juana Navarra. La Audiencia Territorial de Albacete, por Sentencia de 20 de marzo de 1985, estimó el recurso, decretando la nulidad de la licencia. Dicha Sentencia fue confirmada por otra de la Sala Cuarta del Tribunal Supremo, de 23 de febrero de 1987. Los recurrentes afirman no haber tenido conocimiento alguno de estas actuaciones, pese a ser propietarios de las viviendas. Posteriormente se solicitó la ejecución de la Sentencia, y, por Auto de 19 de enero de 1989, la Audiencia Territorial de Albacete requirió al Ayuntamiento de Aguilas para que procediera a la demolición de las viviendas mencionadas. Interpuesto recurso de apelación contra ese Auto ante el Tribunal Supremo «por el titular de la licencia cuya nulidad ha sido declarada», la Sala Tercera del mismo desestimó el recurso, por Auto de 7 de septiembre de 1991. A este respecto se señala que, con anterioridad a pronunciarse sobre la orden de demolición, la Audiencia Territorial de Albacete tuvo conocimiento de que las viviendas eran propiedad de los hoy recurrentes, pues con ocasión de la tramitación del incidente de ejecución de Sentencia se aportó por «Hacienda El Hornillo, S. L.», copia de </w:t>
      </w:r>
      <w:r>
        <w:lastRenderedPageBreak/>
        <w:t>la escritura de compraventa de la parcela correspondiente por los recurrentes y otros. De esa documentación aparecía claramente la existencia de terceros directamente interesados y no llamados al proceso.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Los recurrentes consideran infringido el art. 24.1 C.E., puesto que, siendo parte interesada en el proceso, las actuaciones se han tramitado con su absoluta ignorancia, causándoles indefensión. La Audiencia Territorial tenía la obligación constitucional de emplazar a los hoy recurrentes desde que conoció su cualidad de propietarios de las viviendas afectadas por el recurso, lo que ocurrió antes de dictar el Auto que ordenaba su demolición. Al no proceder a su emplazamiento, conculcó el art. 260 de la L.E.C., que obliga a notificar las resoluciones judiciales a las personas a las que puedan deparar perjuicio y, asimismo, vulneró el art. 24. 1 C.E., según reiterada jurisprudencia del Tribunal Constitucional. </w:t>
      </w:r>
    </w:p>
    <w:p w:rsidR="00A12D44" w:rsidRDefault="00A12D44" w:rsidP="00A12D44">
      <w:pPr>
        <w:pStyle w:val="TextoNormal"/>
      </w:pPr>
      <w:r>
        <w:t>Se solicita, por ello, la anulación de las Sentencias de la Audiencia Territorial de Albacete y del Tribunal Supremo que declararon la nulidad de la licencia de edificación o subsidiariamente al menos la de los Autos dictados en ejecución de esas Sentencias. Se solicita también la suspensión de la ejecución de las resoluciones judiciales impugnadas.</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Por providencia de 23 de enero de 1992, la Sección Segunda de este Tribunal acordó, con carácter previo a decidir sobre la admisión del recurso de amparo, requerir del Tribunal Supremo y de la Sala competente del Tribunal Superior de Justicia de Castilla-La Mancha testimonio del recurso contencioso- administrativo a que se refiere la demanda de amparo y de los correlativos recursos de apelación. </w:t>
      </w:r>
    </w:p>
    <w:p w:rsidR="00A12D44" w:rsidRDefault="00A12D44" w:rsidP="00A12D44">
      <w:pPr>
        <w:pStyle w:val="TextoNormal"/>
      </w:pPr>
      <w:r>
        <w:t>Recibidas y examinadas las actuaciones judiciales requeridas, la Sección acordó, por providencia de 12 de marzo de 1992 y a tenor de lo dispuesto en el art. 50.3 LOTC, conceder al Ministerio Fiscal y a los solicitantes de amparo un plazo común de diez días para que alegasen lo que estimaran procedente en relación con la posible existencia del motivo de inadmisión del recurso, consistente en carecer la demanda manifiestamente de contenido que justifique una decisión por parte del Tribunal Constitucional [art. 50.1 c) LOTC].</w:t>
      </w:r>
    </w:p>
    <w:p w:rsidR="00A12D44" w:rsidRDefault="00A12D44" w:rsidP="00A12D44">
      <w:pPr>
        <w:pStyle w:val="TextoNormal"/>
      </w:pPr>
    </w:p>
    <w:p w:rsidR="00A12D44" w:rsidRDefault="00A12D44" w:rsidP="00A12D44">
      <w:pPr>
        <w:pStyle w:val="TextoNormal"/>
      </w:pPr>
      <w:r w:rsidRPr="00A12D44">
        <w:rPr>
          <w:rStyle w:val="NumeroAFNegritaCaracter"/>
        </w:rPr>
        <w:t>5</w:t>
      </w:r>
      <w:r>
        <w:t>. El Ministerio Fiscal alega que, independientemente de la temporaneidad o no del recurso, pues es más que dudoso que los recurrentes tuvieran conocimiento del proceso en la fecha que aducen, es manifiesta la carencia de contenido constitucional de la demanda, ya que en el momento del emplazamiento de los demandados y coadyuvantes todavía no se habían vendido los solares a los hoy recurrentes, por lo que el órgano judicial no tenía obligación de emplazarles. Su interés es sobrevenido. Ahora bien, en apelación sólo debe emplazarse a quien ha sido parte en la primera instancia (STC 152/1985). Dado que los recurrentes no ostentaban tal condición, no se ha producido indefensión inconstitucional. Si ha existido alguna conducta reprochable, es la de «Hacienda El Hornillo, S. L.» por no dar conocimiento a los actores de la pendencia del procedimiento judicial. En consecuencia, interesa el Ministerio Fiscal que se dicte Auto de inadmisión del recurso.</w:t>
      </w:r>
    </w:p>
    <w:p w:rsidR="00A12D44" w:rsidRDefault="00A12D44" w:rsidP="00A12D44">
      <w:pPr>
        <w:pStyle w:val="TextoNormal"/>
      </w:pPr>
    </w:p>
    <w:p w:rsidR="00A12D44" w:rsidRDefault="00A12D44" w:rsidP="00A12D44">
      <w:pPr>
        <w:pStyle w:val="TextoNormal"/>
      </w:pPr>
      <w:r w:rsidRPr="00A12D44">
        <w:rPr>
          <w:rStyle w:val="NumeroAFNegritaCaracter"/>
        </w:rPr>
        <w:t>6</w:t>
      </w:r>
      <w:r>
        <w:t>. Los recurrentes reiteran sus pretensiones alegando la indefensión que se les ha producido en un proceso de tanta trascendencia para ellos, puesto que puede suponer la demolición de sus viviendas, por falta de emplazamiento personal, siendo así que los datos personales de aquéllos constaban en las actuaciones y ellos no tuvieron conocimiento del pro</w:t>
      </w:r>
      <w:r>
        <w:lastRenderedPageBreak/>
        <w:t>ceso hasta que se ha producido el pronunciamiento definitivo. Todo lo cual pugna manifiestamente con lo dispuesto en el art. 24.1 C.E.</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Se plantea en este recurso, una vez más, el problema de la supuesta indefensión generada en el proceso contencioso-administrativo por la falta de emplazamiento personal de quienes, ostentando derechos afectados por la posible resolución del recurso, pudieran haber comparecido como codemandados.  Debe recordarse, al efecto, que la copiosa y matizada jurisprudencia elaborada por este Tribunal sobre ese tipo, de supuestos determina la inconstitucionalidad de la falta de emplazamiento personal cuando pudiera haberse realizado por ser conocidos los posibles codemandados por parte de la Sala en el momento de proceder al emplazamiento, siempre que de ello se derive su efectiva indefensión y que no pudiera haber sido subsanada o evitada por una razonablemente diligente conducta de los interesados. La concurrencia de todas estas condiciones debe apreciarse caso por caso, a la vista de las circunstancias concurrentes y teniendo en cuenta también el interés general y el de los terceros de buena fe en el cumplimiento y pronta ejecución de las resoluciones judiciales.</w:t>
      </w:r>
    </w:p>
    <w:p w:rsidR="00A12D44" w:rsidRDefault="00A12D44" w:rsidP="00A12D44">
      <w:pPr>
        <w:pStyle w:val="TextoNormal"/>
      </w:pPr>
    </w:p>
    <w:p w:rsidR="00A12D44" w:rsidRDefault="00A12D44" w:rsidP="00A12D44">
      <w:pPr>
        <w:pStyle w:val="TextoNormal"/>
      </w:pPr>
      <w:r w:rsidRPr="00A12D44">
        <w:rPr>
          <w:rStyle w:val="NumeroAFNegritaCaracter"/>
        </w:rPr>
        <w:t>2</w:t>
      </w:r>
      <w:r>
        <w:t>. De lo expuesto en la demanda de amparo y del examen de las actuaciones resulta que, cuando se interpuso el recurso contencioso-administrativo de referencia, en fecha 29 de abril de 1983, los recurrentes en amparo no podían aparecer ante el órgano judicial como titulares de derechos afectados por el recurso, ya que sólo el 7 de marzo del siguiente año adquirieron sendas partes de la parcela sobre la que se levantan las edificaciones construidas al amparo de la licencia impugnada. En consecuencia, la Sala de Albacete no infringió el derecho de aquéllos a la tutela judicial efectiva cuando se limitó a emplazar personalmente a la mercantil «Hacienda El Hornillo, S. L.» como titular de la licencia recurrida. Fue esa misma entidad la que sostuvo también la apelación, sin que durante la tramitación de todo el proceso principal en ambas instancias hubiera constancia en las actuaciones de la condición de interesados de los hoy solicitantes de amparo.</w:t>
      </w:r>
    </w:p>
    <w:p w:rsidR="00A12D44" w:rsidRDefault="00A12D44" w:rsidP="00A12D44">
      <w:pPr>
        <w:pStyle w:val="TextoNormal"/>
      </w:pPr>
      <w:r>
        <w:t>Sólo una vez dictada la Sentencia de instancia y la de apelación y ya en el incidente de ejecución de Sentencia, «Hacienda El Hornillo, S. L.», que hasta entonces había venido actuando como codemandada, aportó a la Sala las escrituras notariales de las que se podía deducir que los titulares de las parcelas y las viviendas afectadas por el recurso eran, entre otros, los ahora demandantes de amparo, sin por ello dejar de seguir actuando aquella entidad como parte en el proceso.</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A la vista de estas circunstancias, y con independencia de que hubiera o no obligación legal de notificar los Autos dictados en ejecución de Sentencia a los hoy recurrentes, cuestión que en sí mismo no corresponde enjuiciar a este Tribunal, no puede imputarse a los órganos judiciales actuantes la supuesta indefensión de éstos. Primero porque, como el Ministerio Fiscal destaca, resulta muy forzado admitir su protesta de ignorancia sobre la existencia del proceso a quo. Máxime tratándose de un proceso que se dilató por más de siete años desde que los recurrentes adquirieron las parcelas de la entidad que actuaba como codemandada, en el que la parte recurrente era vecina o propietaria de otros inmuebles en la misma urbanización y en que, como se extrae de las actuaciones. se practicaron ciertas pruebas periciales topográficas sobre el terreno que difícilmente podían haber pasado </w:t>
      </w:r>
      <w:r>
        <w:lastRenderedPageBreak/>
        <w:t>desapercibidas para quienes ya eran por entonces propietarios de las parcelas y edificaciones. Pero es que, además, toda vez que fue emplazada en el momento procesal oportuno la entidad que debió serio, y puesto que esta entidad siguió defendiendo en todo momento la legalidad de la actuación urbanística objeto del interés de los demandantes de amparo, no puede constatarse una indefensión efectiva de estos últimos por el hecho de que no se les llamase al proceso, ya en la postrera fase de ejecución de las Sentencias firmes y definitivas.  Proseguir el incidente de ejecución con quien hasta entonces había actuado como única codemandada en el pleito principal, sin proceder a nuevos emplazamientos extemporáneos, es evidente que, en el caso de que tratamos, no supuso infracción del art. 24.1 C.E.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cual, la Sección acuerda la inadmisión del recurso de amparo y el archivo de las actuaciones, por incidir la demanda en la causa prevista del art. 50.1 c) LOTC.</w:t>
      </w:r>
    </w:p>
    <w:p w:rsidR="00A12D44" w:rsidRDefault="00A12D44" w:rsidP="00A12D44">
      <w:pPr>
        <w:pStyle w:val="TextoNormal"/>
      </w:pPr>
    </w:p>
    <w:p w:rsidR="00A12D44" w:rsidRDefault="00A12D44" w:rsidP="00A12D44">
      <w:pPr>
        <w:pStyle w:val="TextoNormal"/>
      </w:pPr>
      <w:r>
        <w:t>Madrid, a ocho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3" w:name="AUTO_1992_102"/>
      <w:r>
        <w:lastRenderedPageBreak/>
        <w:t>AUTO 102/1992, de 22 de abril de 1992</w:t>
      </w:r>
    </w:p>
    <w:bookmarkEnd w:id="173"/>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ECLI:ES:TC:1992:102A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por fallecimiento del actor, la terminación del recurso de amparo 2.864/1990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4" w:name="AUTO_1992_103"/>
      <w:r>
        <w:lastRenderedPageBreak/>
        <w:t>AUTO 103/1992, de 22 de abril de 1992</w:t>
      </w:r>
    </w:p>
    <w:bookmarkEnd w:id="174"/>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ECLI:ES:TC:1992:103A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suspensión de la ejecución del acto que origina el recurso de amparo 853/1991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5" w:name="AUTO_1992_104"/>
      <w:r>
        <w:lastRenderedPageBreak/>
        <w:t>AUTO 104/1992, de 22 de abril de 1992</w:t>
      </w:r>
    </w:p>
    <w:bookmarkEnd w:id="175"/>
    <w:p w:rsidR="00A12D44" w:rsidRDefault="00A12D44" w:rsidP="00A12D44">
      <w:pPr>
        <w:pStyle w:val="TtuloResolucin"/>
      </w:pPr>
      <w:r>
        <w:t>Sección Tercera</w:t>
      </w:r>
    </w:p>
    <w:p w:rsidR="00A12D44" w:rsidRDefault="00A12D44" w:rsidP="00A12D44">
      <w:pPr>
        <w:pStyle w:val="TtuloResolucin"/>
      </w:pPr>
    </w:p>
    <w:p w:rsidR="00A12D44" w:rsidRDefault="00A12D44" w:rsidP="00A12D44">
      <w:pPr>
        <w:pStyle w:val="SntesisDescriptiva"/>
      </w:pPr>
      <w:r>
        <w:t>ECLI:ES:TC:1992:104A</w:t>
      </w:r>
    </w:p>
    <w:p w:rsidR="00A12D44" w:rsidRDefault="00A12D44" w:rsidP="00A12D44">
      <w:pPr>
        <w:pStyle w:val="SntesisDescriptiva"/>
      </w:pPr>
    </w:p>
    <w:p w:rsidR="00A12D44" w:rsidRDefault="00A12D44" w:rsidP="00A12D44">
      <w:pPr>
        <w:pStyle w:val="SntesisDescriptiva"/>
      </w:pPr>
      <w:r>
        <w:t>Excms. Srs. don Francisco Rubio Llorente, don Eugenio Díaz Eimil y don José Luis de los Mozos y de los Mozos.</w:t>
      </w:r>
    </w:p>
    <w:p w:rsidR="00A12D44" w:rsidRDefault="00A12D44" w:rsidP="00A12D44">
      <w:pPr>
        <w:pStyle w:val="SntesisDescriptiva"/>
      </w:pPr>
    </w:p>
    <w:p w:rsidR="00A12D44" w:rsidRDefault="00A12D44" w:rsidP="00A12D44">
      <w:pPr>
        <w:pStyle w:val="SntesisDescriptiva"/>
      </w:pPr>
      <w:r>
        <w:t>Acordando la inadmisión a trámite del recurso de amparo 1.153/1991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presentado en este Tribunal el 31 de mayo de 1991, el Procurador de los Tribunales don Paulino Rodríguez Peñamaría, en nombre y representación de don Alejandro Veiga Rodríguez, interpone recurso de amparo contra la Sentencia dictada el 10 de abril de 1991 por el Magistrado unipersonal de la Sección Primera de la Audiencia Provincial de La Coruña que desestima el recurso de apelación planteado por el demandante contra la del Juzgado de Instrucción núm. 4 de Santiago de Compostela en el juicio de faltas núm. 1729/89 seguido por imprudencia.</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recurso tiene su origen en los siguientes antecedentes de hecho: </w:t>
      </w:r>
    </w:p>
    <w:p w:rsidR="00A12D44" w:rsidRDefault="00A12D44" w:rsidP="00A12D44">
      <w:pPr>
        <w:pStyle w:val="TextoNormal"/>
      </w:pPr>
      <w:r>
        <w:t xml:space="preserve">A) Como consecuencia de un accidente de circulación ocurrido el 29 de junio de 1989, se formuló denuncia contra el actor que dio lugar a la incoación del juicio de faltas núm. 1729/89. En la citada denuncia se señaló como domicilio del denunciado el de avenida de Lugo, núm. 157-2. , de Santiago de Compostela, en el que el recurrente fue citado a declarar y recibió la notificación judicial cursada al efecto. </w:t>
      </w:r>
    </w:p>
    <w:p w:rsidR="00A12D44" w:rsidRDefault="00A12D44" w:rsidP="00A12D44">
      <w:pPr>
        <w:pStyle w:val="TextoNormal"/>
      </w:pPr>
      <w:r>
        <w:t xml:space="preserve">B) Señalada fecha para la celebración del juicio oral, el telegrama oficial que se remitió al actor convocándolo a dicho acto fue dirigido al domicilio sito en la avenida de Lugo, núm. 159, por lo que éste nunca lo recibió y, en consecuencia, no concurrió al mismo. No obstante ello, el 10 de febrero de 1990 se pronunció la Sentencia de instancia que lo condenaba a que indemnizase a don Manuel Laya Vidal en la cantidad de 87.889 pts. por daños, más la de 18.000 pts. en concepto de depreciación y paralización, las cuales deberían ser hechas efectivas con cargo al Seguro Obligatorio concertado con la Compañía MAPFRE. </w:t>
      </w:r>
    </w:p>
    <w:p w:rsidR="00A12D44" w:rsidRDefault="00A12D44" w:rsidP="00A12D44">
      <w:pPr>
        <w:pStyle w:val="TextoNormal"/>
      </w:pPr>
      <w:r>
        <w:t>C) Notificada la Sentencia del Juzgado de Instrucción en el domicilio correcto -es decir, en la avenida de Lugo, núm. 157-2. , de Santiago de Compostela- el demandante interpuso recurso de apelación, solicitando la nulidad de actuaciones por no haber sido citado en forma para el juicio oral. El Magistrado Unipersonal de la Audiencia Provincial de La Coruña que conoció del mismo desestimó el recurso por considerar que las alegaciones del recurrente en el acto de la vista en modo alguno desvirtuaban la apreciación y criterio mantenido por el Juez de Instancia, y señalaba específicamente que «la divergencia entre los números de policía del inmueble en que vive y aquel en que pretendía citarle no justi</w:t>
      </w:r>
      <w:r>
        <w:lastRenderedPageBreak/>
        <w:t>fica tal medida (de nulidad), cuando pese a dicho error le fue notificada la Sentencia, lo que demuestra su fácil localización».</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El actor destaca en su demanda que la citación remitida al núm. 159 de la calle de su residencia fue devuelta por ser «desconocido en dicho piso», con lo que el señalamiento de la fecha para la celebración del juicio oral no fue recibida nunca por el mismo. </w:t>
      </w:r>
    </w:p>
    <w:p w:rsidR="00A12D44" w:rsidRDefault="00A12D44" w:rsidP="00A12D44">
      <w:pPr>
        <w:pStyle w:val="TextoNormal"/>
      </w:pPr>
      <w:r>
        <w:t xml:space="preserve">El Juzgado que conoció y fallé el juicio de faltas debió cerciorarse de que el denunciado había sido citado en forma antes de proceder a la celebración del acto del juicio y, no constando ésta, acordar su suspensión. Por su parte, la Audiencia Provincial debió reponer al apelante en su derecho a defenderse y retrotraer todo lo actuado al momento de la citación de las partes. Al no hacerse así se le ha ocasionado la indefensión que proscribe el art. 24.1 de la C.E., y, en consecuencia, también se ha vulnerado su derecho fundamental a utilizar los medios de prueba pertinentes para la defensa que reconoce el art. 24.2 de la Constitución, ya que se le ha impedido por los órganos judiciales alegar y demostrar en el proceso los derechos propios y se le ha privado de la potestad de justificar sus intereses. A tales efectos es fundamental que los actos de comunicación y la recepción de la cédula de citación por su destinatario sea efectiva y conste en las actuaciones. </w:t>
      </w:r>
    </w:p>
    <w:p w:rsidR="00A12D44" w:rsidRDefault="00A12D44" w:rsidP="00A12D44">
      <w:pPr>
        <w:pStyle w:val="TextoNormal"/>
      </w:pPr>
      <w:r>
        <w:t>Termina pidiendo la declaración de nulidad de las Sentencias recurridas y el reconocimiento de su derecho a no sufrir indefensión y a valerse de los medios de prueba pertinentes, retrotrayendo las actuaciones hasta el momento procesal en que debió ser citado en forma para el juicio oral.</w:t>
      </w:r>
    </w:p>
    <w:p w:rsidR="00A12D44" w:rsidRDefault="00A12D44" w:rsidP="00A12D44">
      <w:pPr>
        <w:pStyle w:val="TextoNormal"/>
      </w:pPr>
    </w:p>
    <w:p w:rsidR="00A12D44" w:rsidRDefault="00A12D44" w:rsidP="00A12D44">
      <w:pPr>
        <w:pStyle w:val="TextoNormal"/>
      </w:pPr>
      <w:r w:rsidRPr="00A12D44">
        <w:rPr>
          <w:rStyle w:val="NumeroAFNegritaCaracter"/>
        </w:rPr>
        <w:t>4</w:t>
      </w:r>
      <w:r>
        <w:t>. Mediante providencia de 4 de marzo de 1992, la Sala Segunda (Sección Tercera) de este Tribunal acordó conceder al demandante de amparo y al Ministerio Fiscal un plazo común de diez días para que formulasen, con las aportaciones documentales que procedan, las alegaciones que estimasen pertinentes en relación con la carencia manifiesta de contenido constitucional de la demanda.</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El 17 de marzo de 1992 tuvo entrada en el Registro General de este Tribunal el escrito de alegaciones del Ministerio Fiscal. Señala, en primer lugar, que es doctrina de este Tribunal que el concepto de indefensión con relevancia constitucional no coincide necesariamente con su concepto jurídico-procesal, pues aquélla sólo se produce cuando el interesado ve cerrada, de modo injustificado, la posibilidad de impetrar la protección de sus derechos o intereses legítimos, o cuando la vulneración de normas procesales lleva consigo la privación del derecho de defensa. </w:t>
      </w:r>
    </w:p>
    <w:p w:rsidR="00A12D44" w:rsidRDefault="00A12D44" w:rsidP="00A12D44">
      <w:pPr>
        <w:pStyle w:val="TextoNormal"/>
      </w:pPr>
      <w:r>
        <w:t xml:space="preserve">En este caso el recurrente aduce un defecto procesal determinante de indefensión por el hecho de no haber conocido la fecha de celebración del juicio de faltas, debido a un error en el número de la calle a la que se remitió el telegrama citándolo. Esto no impidió, sin embargo, que se le notificara la Sentencia de instancia (en la que, por cierto, no se ejercitó acción penal contra él ni se declararon responsabilidades penales) ni tampoco le impidió recurrir en apelación contra la misma. Por su parte, el órgano judicial de segunda instancia desestimó la petición de nulidad invocada y resolvió el fondo del recurso interpuesto. </w:t>
      </w:r>
    </w:p>
    <w:p w:rsidR="00A12D44" w:rsidRDefault="00A12D44" w:rsidP="00A12D44">
      <w:pPr>
        <w:pStyle w:val="TextoNormal"/>
      </w:pPr>
      <w:r>
        <w:t xml:space="preserve">Es también doctrina constitucional que los actos procesales de comunicación constituyen exigencias inexcusables para garantizar la defensa de los derechos e intereses legítimos, de tal modo que su inobservancia puede originar indefensión; pero no toda irregularidad genera la vulneración de este derecho fundamental, sino que deben tenerse en cuenta las circunstancias concurrentes en cada caso. Así, el recurrente conoció la existencia del </w:t>
      </w:r>
      <w:r>
        <w:lastRenderedPageBreak/>
        <w:t xml:space="preserve">juicio de faltas y compareció ante el Juzgado a declarar y, por otra parte, al formular recurso de apelación, tuvo oportunidad de intervenir en el proceso y defender sus derechos e intereses legítimos. </w:t>
      </w:r>
    </w:p>
    <w:p w:rsidR="00A12D44" w:rsidRDefault="00A12D44" w:rsidP="00A12D44">
      <w:pPr>
        <w:pStyle w:val="TextoNormal"/>
      </w:pPr>
      <w:r>
        <w:t xml:space="preserve">También es preciso tener en cuenta que el juicio de faltas limitó su objeto, por disposición de la Disposición transitoria segunda de la Ley Orgánica 3/1989, a un pronunciamiento sobre responsabilidades civiles. En la segunda instancia pudo acordarse la práctica de las pruebas que no se pudieron practicar en la primera instancia por causa no imputable al solicitante (art. 16 del Decreto-ley de 21 de noviembre de 1952 y arts. 1952 y 979 de la L.E.Crim.). En consecuencia, el recurrente tuvo ocasión de hacer valer su defensa en torno a la procedencia de la responsabilidad civil, es decir, el órgano superior ha tenido ocasión de revisar los hechos y el derecho aplicable a la cuestión civil debatida haciendo posible la reparación de la indefensión derivada de la citación defectuosa que la propia Sentencia niega en el segundo de sus fundamentos jurídicos. </w:t>
      </w:r>
    </w:p>
    <w:p w:rsidR="00A12D44" w:rsidRDefault="00A12D44" w:rsidP="00A12D44">
      <w:pPr>
        <w:pStyle w:val="TextoNormal"/>
      </w:pPr>
      <w:r>
        <w:t>Por lo expuesto, el Fiscal estima que concurre la causa de inadmisión prevista en el art. 50.1 c) de la LOTC y considera que debe dictarse Auto en este sentido.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20 de marzo de 1992, la representación del demandante formuló su escrito de alegaciones. En él reitera el contenido constitucional de su demanda, que está plenamente probado que no fue citado correctamente para la celebración del juicio de faltas y que éste se celebró en su ausencia, teniendo conocimiento del mismo únicamente después de que le fue notificada la Sentencia que lo condenó. </w:t>
      </w:r>
    </w:p>
    <w:p w:rsidR="00A12D44" w:rsidRDefault="00A12D44" w:rsidP="00A12D44">
      <w:pPr>
        <w:pStyle w:val="TextoNormal"/>
      </w:pPr>
      <w:r>
        <w:t xml:space="preserve">Añade que existe una prueba documental en su poder, cuya copia acompaña, que habría hecho cambiar el resultado del juicio si hubiera podido aportarla. Tal prueba consiste en una declaración amistosa de accidente, firmada por ambas partes, en la que el denunciante reconoció unos hechos que luego no mantuvo en el juicio oral, y que el demandante no pudo esgrimir ante el Juez al no haber sido citado a juicio. Tampoco, dice, pudo valerse de la prueba testifical de los dos ocupantes de su coche. </w:t>
      </w:r>
    </w:p>
    <w:p w:rsidR="00A12D44" w:rsidRDefault="00A12D44" w:rsidP="00A12D44">
      <w:pPr>
        <w:pStyle w:val="TextoNormal"/>
      </w:pPr>
      <w:r>
        <w:t>Concluye afirmando que es clara la indefensión que se le ha causado y la vulneración de los párrafos 1. y 2. del art. 24 C.E., por lo que solicita la admisión del recurso de amparo interpuesto.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Evacuado el trámite de alegaciones recogido en el art. 50.3 de la LOTC, es preciso confirmar nuestra apreciación inicial de que la demanda carece manifiestamente de contenido constitucional y de que concurre el supuesto de inadmisión previsto en el art. 50.1 c) de la LOTC.</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El derecho de defensa, y la consiguiente prohibición de indefensión recogida en el art. 24.1 C.E., lleva consigo la necesidad de que se celebre un juicio contradictorio entre las partes, en el que éstas puedan hacer valer sus pretensiones y proponer la prueba que les convenga. Para conseguir este objetivo es esencial que los actos de comunicación entre el órgano judicial y las partes se aseguren mediante el cumplimiento de los requisitos que la L.E.Crim. establece para la práctica de las notificaciones, citaciones y emplazamientos, pues sólo en este caso se puede garantizar que la convocatoria para realizar un acto procesal determinado ha llegado efectivamente a su destinatario. En este sentido, la jurisprudencia de este Tribunal ha conformado un cuerpo jurisprudencial consolidado y exigente </w:t>
      </w:r>
      <w:r>
        <w:lastRenderedPageBreak/>
        <w:t>con tales actos de comunicación, como presupuestos necesarios que permiten la defensa en el pro- ceso y facilitan una efectiva tutela judicial (entre otras muchas, SSTC 9/1981, 22/1987, 205/1988, 202/1990 y 141/1991).</w:t>
      </w:r>
    </w:p>
    <w:p w:rsidR="00A12D44" w:rsidRDefault="00A12D44" w:rsidP="00A12D44">
      <w:pPr>
        <w:pStyle w:val="TextoNormal"/>
      </w:pPr>
      <w:r>
        <w:t>Por su parte, el art. 271 de la L.O.P.J. autoriza que las notificaciones se practiquen por medio del correo, el telégrafo o cualquier medio técnico que permita tener constancia de que se han verificado y de las circunstancias en que se han efectuado, de acuerdo con lo que determinen las leyes procesales.  También requieren esta constancia los arts. 166 y siguientes de la L.E.Crim. y el Decreto de 21 de noviembre de 1952, que se remite a lo que disponga aquélla en relación con el juicio de faltas.</w:t>
      </w:r>
    </w:p>
    <w:p w:rsidR="00A12D44" w:rsidRDefault="00A12D44" w:rsidP="00A12D44">
      <w:pPr>
        <w:pStyle w:val="TextoNormal"/>
      </w:pPr>
    </w:p>
    <w:p w:rsidR="00A12D44" w:rsidRDefault="00A12D44" w:rsidP="00A12D44">
      <w:pPr>
        <w:pStyle w:val="TextoNormal"/>
      </w:pPr>
      <w:r w:rsidRPr="00A12D44">
        <w:rPr>
          <w:rStyle w:val="NumeroAFNegritaCaracter"/>
        </w:rPr>
        <w:t>3</w:t>
      </w:r>
      <w:r>
        <w:t>. En el caso que ahora se somete a nuestra consideración, se comprueba que no existe dicha constancia en lo que se refiere a la convocatoria del denunciado para la celebración del acto del juicio oral, pues el telegrama remitido para su celebración fue enviado a un número equivocado de la calle en que aquél tenía su domicilio. Esta defectuosa citación le impidió comparecer en el mismo, alegar y proponer prueba en primera instancia. Sin embargo, en la propia demanda se reconoce que el actor conocía la existencia del procedimiento seguido contra él, ya que fue citado y acudió a declarar en relación con los hechos el 18 de septiembre de 1989; también tuvo conocimiento de la Sentencia que lo condenaba al pago de determinadas indemnizaciones, y recurrió la misma en apelación ante la Audiencia Provincial de La Coruña.</w:t>
      </w:r>
    </w:p>
    <w:p w:rsidR="00A12D44" w:rsidRDefault="00A12D44" w:rsidP="00A12D44">
      <w:pPr>
        <w:pStyle w:val="TextoNormal"/>
      </w:pPr>
      <w:r>
        <w:t>Ante tales datos preciso es plantearnos ahora si la infracción de normas procesales cometida en la instancia ha producido, a su vez, una real indefensión con alcance constitucional porque, como ha precisado este Tribunal en ocasiones anteriores, el art. 24.1 C.E. no protege en situaciones de simple indefensión formal, sino en supuestos de indefensión material en los que se haya producido razonablemente un perjuicio al recurrente (SSTC 161/1985, 90/1988 y 53/1989, entre otras) y porque, como también hemos dicho con reiteración, no toda infracción de normas procesales lleva ineludiblemente a una situación de indefensión que afecte a derechos fundamentales (SSTC 89/1985, 48/1986, 53/1987, 97/1987, 146/1988 y 35/1989).</w:t>
      </w:r>
    </w:p>
    <w:p w:rsidR="00A12D44" w:rsidRDefault="00A12D44" w:rsidP="00A12D44">
      <w:pPr>
        <w:pStyle w:val="TextoNormal"/>
      </w:pPr>
    </w:p>
    <w:p w:rsidR="00A12D44" w:rsidRDefault="00A12D44" w:rsidP="00A12D44">
      <w:pPr>
        <w:pStyle w:val="TextoNormal"/>
      </w:pPr>
      <w:r w:rsidRPr="00A12D44">
        <w:rPr>
          <w:rStyle w:val="NumeroAFNegritaCaracter"/>
        </w:rPr>
        <w:t>4</w:t>
      </w:r>
      <w:r>
        <w:t>. En la reciente STC 17/1992, al resolver un supuesto en el que la citación telegráfica cursada al recurrente le había llegado con retraso e impedido su asistencia al juicio oral, decíamos que, a pesar de ello, el actor «interponiendo recurso de apelación contó con un juicio contradictorio, donde tuvo ocasión de hacer toda clase de alegaciones y servirse de los medios de prueba pertinentes. Sin embargo, en la vista de segunda instancia... se limitó a alegar la nulidad de actuaciones no intentando valerse de ningún medio de prueba... Siendo esto así, la contestación que le da el Juzgado de Instrucción (que en este caso era el competente para conocer de la apelación) no es contradictoria... ni tampoco correcta ni infundada. Todo lo cual nos lleva a la conclusión de que no se ha producido la lesión constitucional que el recurrente atribuye a la Sentencia impugnada».</w:t>
      </w:r>
    </w:p>
    <w:p w:rsidR="00A12D44" w:rsidRDefault="00A12D44" w:rsidP="00A12D44">
      <w:pPr>
        <w:pStyle w:val="TextoNormal"/>
      </w:pPr>
      <w:r>
        <w:t>Pues bien, a partir de la anterior doctrina, y una vez constatado que el demandante recurrió la Sentencia de instancia en apelación, se aprecia que éste expuso en el acto de la vista las alegaciones que tuvo por conveniente para contradecir la Sentencia que lo condenó, y pidió que se declarara la nulidad de las actuaciones a partir del momento en que fue incorrectamente citado. Es decir, en el recurso el actor fue oído y expuso las razones que le asistían en contra de la Sentencia impugnada, pero alega que su inasistencia al juicio oral le impidió proponer las pruebas que tenía y que, según él hubieran modificado la Senten</w:t>
      </w:r>
      <w:r>
        <w:lastRenderedPageBreak/>
        <w:t>cia que se dicto. Sin embargo, no se alcanza a comprender por qué el recurrente no propuso esta prueba en segunda instancia.</w:t>
      </w:r>
    </w:p>
    <w:p w:rsidR="00A12D44" w:rsidRDefault="00A12D44" w:rsidP="00A12D44">
      <w:pPr>
        <w:pStyle w:val="TextoNormal"/>
      </w:pPr>
      <w:r>
        <w:t>En efecto, el art. 979 de la L.E.Crim. y el párrafo 2. del art. 16 del Decreto de 21 de noviembre de 1952 señalan que en segunda instancia sólo podrá acordarse la práctica de las pruebas que no se hubiesen podido practicar por causa no imputable a quien las solicita. Por ello, ninguna dificultad suponía para el actor la admisión de las pruebas en la alzada si partimos de la base de que éstas no se practicaron en el acto del juicio por la sencilla razón de que no fue citado al efecto, y que, por tanto, la falta de su práctica no le era imputable.</w:t>
      </w:r>
    </w:p>
    <w:p w:rsidR="00A12D44" w:rsidRDefault="00A12D44" w:rsidP="00A12D44">
      <w:pPr>
        <w:pStyle w:val="TextoNormal"/>
      </w:pPr>
      <w:r>
        <w:t>En definitiva, el actor fue oído en la apelación y obtuvo una respuesta fundada sobre su pretensión de revocación de la Sentencia y sobre su petición de nulidad de actuaciones. Si no se practicó la prueba que quería proponer en el proceso, ello no puede ser atribuido al órgano judicial sino a una actuación desacertada del recurrente que, como ha recogido este Tribunal en sus SSTC 36/1988, 129/1988, 41/1989 y 155/1989, resulta absolutamente irrelevante desde el punto de vista de la indefensión que la Constitución protege.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todo lo expuesto, la Sección acuerda la inadmisión del presente recurso y el archivo de las actuaciones.</w:t>
      </w:r>
    </w:p>
    <w:p w:rsidR="00A12D44" w:rsidRDefault="00A12D44" w:rsidP="00A12D44">
      <w:pPr>
        <w:pStyle w:val="TextoNormal"/>
      </w:pPr>
    </w:p>
    <w:p w:rsidR="00A12D44" w:rsidRDefault="00A12D44" w:rsidP="00A12D44">
      <w:pPr>
        <w:pStyle w:val="TextoNormal"/>
      </w:pPr>
      <w:r>
        <w:t>Madrid, a veintidós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6" w:name="AUTO_1992_105"/>
      <w:r>
        <w:lastRenderedPageBreak/>
        <w:t>AUTO 105/1992, de 22 de abril de 1992</w:t>
      </w:r>
    </w:p>
    <w:bookmarkEnd w:id="176"/>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ECLI:ES:TC:1992:105A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2.455/1991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Mediante escrito presentado en el Juzgado de Guardia el día 29 de noviembre de 1991, registrado en este Tribunal el día 2 de diciembre del mismo año, don Melquiades Alvarez-Buylla Alvarez, Procurador de los Tribunales, en nombre y representación de don José María González González, interpuso recurso de amparo contra las Sentencias de la Sala Tercera de la Audiencia Provincial de Oviedo recaídas en los rollos de apelación 379 y 397/91, de 1 y 4 de octubre de 1991, que desestiman, respectivamente, sendos recursos de apelación contra las dictadas por el Juzgado de Instrucción núm. 8 de Oviedo en los juicios de faltas 568/90 y 388/90, de 22 de marzo y 27 de abril de 1991.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y de la copia de las resoluciones judiciales que a la misma se adjuntan, resultan los siguientes antecedentes fácticos: </w:t>
      </w:r>
    </w:p>
    <w:p w:rsidR="00A12D44" w:rsidRDefault="00A12D44" w:rsidP="00A12D44">
      <w:pPr>
        <w:pStyle w:val="TextoNormal"/>
      </w:pPr>
      <w:r>
        <w:t xml:space="preserve">a) El demandante de amparo, por Sentencia del Juzgado de Instrucción núm. 8 de Oviedo dictada en el juicio de faltas 568/90 con fecha 22 de marzo de 1991, fue condenado, como responsable en concepto de autor de una falta de coacciones prevista en el núm. 4 del art. 585 del Código Penal, a la pena de multa de 10.000 pesetas, bajo el apremio de tres días de arresto sustitutorio en caso de impago, así como a abonar al perjudicado el importe de la indemnización civil correspondiente. </w:t>
      </w:r>
    </w:p>
    <w:p w:rsidR="00A12D44" w:rsidRDefault="00A12D44" w:rsidP="00A12D44">
      <w:pPr>
        <w:pStyle w:val="TextoNormal"/>
      </w:pPr>
      <w:r>
        <w:t xml:space="preserve">b) Se declara probado en dicha Sentencia que «el día diecinueve de septiembre del pasado año, Juan Carlos Martín Ibáñez aparcó el vehículo de su propiedad O- 6634-AS en la calle San Francisco, de esta ciudad, ocupando en una pequeña parte zona de carga y descarga... y cuando regresó al lugar para recogerlo. había sido intervenido por la grúa municipal y trasladado al Depósito Municipal, donde le fue negada la posibilidad de recuperarlo si no abonaba la cantidad de 5.000 pesetas». </w:t>
      </w:r>
    </w:p>
    <w:p w:rsidR="00A12D44" w:rsidRDefault="00A12D44" w:rsidP="00A12D44">
      <w:pPr>
        <w:pStyle w:val="TextoNormal"/>
      </w:pPr>
      <w:r>
        <w:t xml:space="preserve">Estimó el órgano judicial que los hechos probados eran constitutivos de una falta de coacciones tipificada en el núm. 4 del art. 585 del Código Penal y consideró como responsable en concepto de autor al ahora demandante de amparo. </w:t>
      </w:r>
    </w:p>
    <w:p w:rsidR="00A12D44" w:rsidRDefault="00A12D44" w:rsidP="00A12D44">
      <w:pPr>
        <w:pStyle w:val="TextoNormal"/>
      </w:pPr>
      <w:r>
        <w:t xml:space="preserve">c) Contra la anterior Sentencia interpusieron recursos de apelación el solicitante de amparo y el Ayuntamiento de Oviedo. A los efectos que aquí interesa, la Sala Tercera de la Audiencia Provincial desestimó el recurso de apelación del recurrente de amparo y confirmó respecto a éste los pronunciamientos de la Sentencia de instancia. </w:t>
      </w:r>
    </w:p>
    <w:p w:rsidR="00A12D44" w:rsidRDefault="00A12D44" w:rsidP="00A12D44">
      <w:pPr>
        <w:pStyle w:val="TextoNormal"/>
      </w:pPr>
      <w:r>
        <w:lastRenderedPageBreak/>
        <w:t xml:space="preserve">Se dice en la fundamentación jurídica de la Sentencia que la facultad que el art. 71 de la Ley de Tráfico, Circulación de Vehículos y Seguridad Vial confiere a la Administración -no devolver el vehículo retirado de la vía pública en tanto no se satisfaga o se garantice el abono de los gastos que el traslado del automóvil origina- «está referida a los supuestos que en el párrafo primero del propio precepto se enumeran, dentro de los cuales no puede incardinarse el supuesto de ocupar en todo o en parte la zona reservada a carga y descarga, sin perjuicio de las facultades sancionadoras de la Administración e incluso de la posibilidad de retirar el vehículo de aquella zona, pero sin poder utilizar la facultad antes mencionada». En consecuencia, estimó que al imponer el ahora recurrente en amparo, encargado del Depósito Municipal de Vehículos, al propietario denunciante el abono de los gastos de grúa con carácter previo a la devolución del vehículo, «implicó la imposición de un comportamiento o conducta a la que no estaba obligado ni legal ni reglamentariamente, lo que en suma supone la conducta que como falta de coacciones se estructura en el art. 585 núm. 4 del Código Penal». La Sala Tercera desestimó la eximente de obediencia debida. </w:t>
      </w:r>
    </w:p>
    <w:p w:rsidR="00A12D44" w:rsidRDefault="00A12D44" w:rsidP="00A12D44">
      <w:pPr>
        <w:pStyle w:val="TextoNormal"/>
      </w:pPr>
      <w:r>
        <w:t xml:space="preserve">d) Por Sentencia del Juzgado de Primera Instancia núm. 8 de Oviedo, recaída en el juicio de faltas núm. 388/1990 con fecha 27 de abril de 1991, el demandante de amparo fue condenado, como autor de una falta de coacciones tipificada en el núm. 4 del art. 585 del Código Penal, a la pena de multa de 10.000 pesetas, bajo arresto sustitutorio en caso de impago de tres días. </w:t>
      </w:r>
    </w:p>
    <w:p w:rsidR="00A12D44" w:rsidRDefault="00A12D44" w:rsidP="00A12D44">
      <w:pPr>
        <w:pStyle w:val="TextoNormal"/>
      </w:pPr>
      <w:r>
        <w:t xml:space="preserve">e) En la citada Sentencia se recogen como hechos probados que «el día veinticuatro de julio del pasado año... Juan Bautista Díaz Fernández Fernández estacionó su vehículo en la calle Manuel Pedregal, dejándolo algo salido en la parte delantera por falta de hueco, pero abierto y al sólo fin de descargar materiales de pintura, sin que el automóvil obstaculizara el tráfico, siendo intervenido por la grúa municipal, y siéndole exigido el pago de la tasa establecida por primera y segunda vez, pese a presentar esta última vez el Auto judicial». </w:t>
      </w:r>
    </w:p>
    <w:p w:rsidR="00A12D44" w:rsidRDefault="00A12D44" w:rsidP="00A12D44">
      <w:pPr>
        <w:pStyle w:val="TextoNormal"/>
      </w:pPr>
      <w:r>
        <w:t xml:space="preserve">Los hechos probados los estimó el órgano judicial constitutivos de una falta prevista en el núm. 4 del art. 585 del Código Penal, de la que era responsable el demandante de amparo, encargado del Depósito Municipal, que se negó a entregar el vehículo allí depositado por la grúa municipal «no sólo una primera vez,sino también en una segunda ocasión, cuando ya le era presentado el testimonio judicial, ordenando la entrega, y obligando así, en forma no lícita, al perjudicado a efectuar algo que no deseaba». </w:t>
      </w:r>
    </w:p>
    <w:p w:rsidR="00A12D44" w:rsidRDefault="00A12D44" w:rsidP="00A12D44">
      <w:pPr>
        <w:pStyle w:val="TextoNormal"/>
      </w:pPr>
      <w:r>
        <w:t>f) Contra la anterior Sentencia interpuso el solicitante de amparo recurso de apelación, que fue desestimado por Sentencia de la Sala Tercera de la Audiencia Provincial de Oviedo, de 4 de octubre de 1991, en base a idéntico razonamiento al recogido en la Sentencia de 1 de octubre de 1991, reseñada en el apartado c) de estos antecedentes.</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En cuanto a la fundamentación jurídica de la demanda de amparo, alega la representación del recurrente que las Sentencias de la Sala Tercera de la Audiencia Provincial de Oviedo objeto de impugnación mantienen el criterio de que sólo en los supuestos contemplados en el art. 71.1 de la Ley sobre Tráfico, Circulación de Vehículos a Motor y Seguridad Vial puede exigir la Administración municipal, como requisito previo a la devolución del vehículo, el pago de la tasa o de los gastos ocasionados por la retirada del vehículo de la vía pública. Dicho criterio resulta contradictorio con el mantenido por la Sala de lo Contencioso-Administrativo del Tribunal Superior de Justicia de Asturias. en su Sentencias de 29 y 31 de julio de 1991, en las que, en virtud de la remisión de la disposición transitoria de la Ley sobre Tráfico del Código de la Circulación, se estima que la retirada de vehículos de la vía pública y la exigencia del pago de la tasa para su devolución será </w:t>
      </w:r>
      <w:r>
        <w:lastRenderedPageBreak/>
        <w:t xml:space="preserve">siempre correcta y legítima en los supuestos que enuncia el art. 292.III b) del Código de la Circulación por perturbar gravemente la circulación. </w:t>
      </w:r>
    </w:p>
    <w:p w:rsidR="00A12D44" w:rsidRDefault="00A12D44" w:rsidP="00A12D44">
      <w:pPr>
        <w:pStyle w:val="TextoNormal"/>
      </w:pPr>
      <w:r>
        <w:t xml:space="preserve">Tal disparidad de criterios, se afirma en la demanda, conlleva de hecho a que idénticas o semejantes actuaciones administrativas en la Jurisdicción Contencioso-Administrativa serían ajustadas a Derecho y en la jurisdicción penal supondrían una actuación punible, contradicción que, a juicio de la representación del recurrente, atenta gravemente contra los principios constitucionales de seguridad jurídica (art. 9.3. C.E.) y de la tutela judicial efectiva (art. 24.1 C.E.), citando en apoyo de su argumentación la doctrina recogida en la STC 158/1985, fundamento jurídico 4. </w:t>
      </w:r>
    </w:p>
    <w:p w:rsidR="00A12D44" w:rsidRDefault="00A12D44" w:rsidP="00A12D44">
      <w:pPr>
        <w:pStyle w:val="TextoNormal"/>
      </w:pPr>
      <w:r>
        <w:t>Por ello, suplica al Tribunal Constitucional que admita a trámite la presente demanda y, en su día, dicte Sentencia por la que se otorgue el amparo solicitado y se declare la nulidad de las Sentencias de la Sala Tercera de la Audiencia Provincial de Oviedo, retrotrayendo las actuaciones al momento procesal anterior a dictarse las referidas Sentencias.</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9 de marzo de 1992, la Sección Cuarta acordó, de conformidad con lo dispuesto en el art. 50.3 de la LOTC, con ceder al demandante de amparo y al Ministerio Fiscal el plazo común de diez días para que formularan, con las aportaciones documentales que procedan,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00A12D44" w:rsidRDefault="00A12D44" w:rsidP="00A12D44">
      <w:pPr>
        <w:pStyle w:val="TextoNormal"/>
      </w:pPr>
    </w:p>
    <w:p w:rsidR="00A12D44" w:rsidRDefault="00A12D44" w:rsidP="00A12D44">
      <w:pPr>
        <w:pStyle w:val="TextoNormal"/>
      </w:pPr>
      <w:r w:rsidRPr="00A12D44">
        <w:rPr>
          <w:rStyle w:val="NumeroAFNegritaCaracter"/>
        </w:rPr>
        <w:t>5</w:t>
      </w:r>
      <w:r>
        <w:t xml:space="preserve">. La representación procesal del demandante de amparo evacuó el trámite de alegaciones conferido mediante escrito registrado en este Tribunal el día 25 de marzo de 1992, en el que, tras reiterar sucintamente la argumentación expuesta en la demanda, sostiene que el contenido constitucional del recurso se manifiesta en que las Sentencias objeto del mismo atentan contra los principios de seguridad jurídica (art. 9.3. C.E.) y de la tutela judicial efectiva (art. 24.1 C.E.), conforme a la doctrina de este Tribunal mantenida en la STC 158/1985. Las Sentencias impugnadas, dictadas por la Sala Tercera de la Audiencia Provincial de Oviedo en sendos juicios de faltas, realizan una interpretación del art. 71 de la Ley sobre Tráfico, Circulación de Vehículos a Motor y Seguridad Vial en contradicción con la efectuada por la Jurisdicción Contencioso-Administrativa cuando revisó en supuestos idénticos la legalidad del acto impugnado, conforme al derecho administrativo. </w:t>
      </w:r>
    </w:p>
    <w:p w:rsidR="00A12D44" w:rsidRDefault="00A12D44" w:rsidP="00A12D44">
      <w:pPr>
        <w:pStyle w:val="TextoNormal"/>
      </w:pPr>
      <w:r>
        <w:t>Termina su escrito, suplicando la admisión a trámite de la demanda de amparo.</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Por su parte, el Fiscal ante el Tribunal Constitucional, mediante escrito registrado con fecha 25 de marzo de 1992, interesé la inadmisión de la demanda por falta de contenido constitucional. </w:t>
      </w:r>
    </w:p>
    <w:p w:rsidR="00A12D44" w:rsidRDefault="00A12D44" w:rsidP="00A12D44">
      <w:pPr>
        <w:pStyle w:val="TextoNormal"/>
      </w:pPr>
      <w:r>
        <w:t xml:space="preserve">Tras señalarse que debe prescindirse de la mención que en la demanda de amparo se hace al principio de seguridad jurídica contenida en el art. 9.3 de la Constitución, por no contener el citado precepto ningún derecho susceptible de amparo conforme al art. 44.1 de la LOTC, procede a continuación a delimitar la cuestión planteada en la demanda, en la que la supuesta lesión del derecho a la tutela judicial efectiva (art. 24.1 C.E.) se asienta en la afirmación de que las Sentencias penales impugnadas son contradictorias con las decisiones que adopta en casos sustancialmente iguales la Sala de lo Contencioso- Administrativo del Tribunal Superior de Justicia de Asturias en las Sentencias que se adjuntan a la demanda de amparo. Pues bien, aunque puede aceptarse en principio, con las salvedades </w:t>
      </w:r>
      <w:r>
        <w:lastRenderedPageBreak/>
        <w:t>de cada caso, que la cuestión suscitada sobre la legalidad de la medida adoptada por el funcionario del Ayuntamiento de Oviedo es sustancialmente igual en las Sentencias de lo contencioso-administrativo y las penales impugnadas, sin embargo ninguna de las Sentencias del orden contencioso-administrativo pudieron ser conocidas por el Juzgado cuando condenó en instancia por falta de coacciones, ya que aquéllas recayeron después, ni consta que la Audiencia Provincial al resolver el recurso de apelación tuviera conocimiento de las citadas Sentencias, ni que, quien ahora recurre en amparo, se hubiera preocupado de que fueran conocidas por dicho órgano jurisdiccional. Esto así, y sin perjuicio de mayores consideraciones que pudieran hacerse sobre la independencia de los órganos judiciales u otras cuestiones, basta, con decir, que «naturalmente, para que un órgano judicial tome en cuenta una resolución firme de otro órgano es preciso que tenga conocimiento oficial de la misma, porque se halle incorporada al proceso que ante él se tramita» (STC 158/1985, fundamento jurídico 6. ). Faltando este requisito en el caso que ahora se examina, no es posible estimar que por parte de la Audiencia Provincial se haya lesionado el derecho. a la tutela judicial efectiva alegado en el recurso de amparo.</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Hemos de confirmar la inicial apreciación puesta de manifiesto en nuestra providencia de 9 de marzo de 1992, respecto de la carencia manifiesta de contenido de la demanda de amparo que justifique una decisión sobre el fondo de la misma por parte del Tribunal Constitucional [art.. 50.1 c) de la LOTC].</w:t>
      </w:r>
    </w:p>
    <w:p w:rsidR="00A12D44" w:rsidRDefault="00A12D44" w:rsidP="00A12D44">
      <w:pPr>
        <w:pStyle w:val="TextoNormal"/>
      </w:pPr>
      <w:r>
        <w:t>El recurso de amparo se dirige contra dos Sentencias de la Sala Tercera de la Audiencia Provincial de Oviedo, que confirmaron la condena del ahora solicitante de amparo como autor de sendas faltas de coacciones tipificadas en el art. 585.4 del Código Penal. Sostiene aquél que las Sentencias penales impugnadas, al ser contradictorias con las decisiones-adoptadas en casos sustancialmente idénticos por la Sala de lo Contencioso-Administrativo del Tribunal Superior de Justicia de Asturias en sus Sentencias de 29 de julio y 30 de septiembre de 1991, habrían vulnerado el principio de seguridad jurídica (art. 93.3 C.E.)  el derecho a la tutela judicial efectiva (art. 24.1 C.E.).  Así pues, las vulneraciones aducidas se producen por la existencia de Sentencias contradictorias de dos órdenes jurisdiccionales distintos (Contencioso-Administrativo y Penal) y la contradicción radica en la distinta interpretación que en dichas Sentencias se hace de la facultad que a la Administración confiere el art. 71.2 del Real Decreto Legislativo 339/1990, de 2 de marzo, por el que se aprueba el texto articulado de la Ley sobre Tráfico, Circulación de Vehículos a Motor y Seguridad Vial. No se aduce, por tanto, la ausencia de una respuesta fundada en Derecho, sino la incorrección en la aplicación de éste, aplicación que, a juicio del recurrente, violenta la doctrina de este Tribunal establecida en la STC 158/1985.</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Cierto es que este Tribunal Constitucional ha declarado en diversas resoluciones que no resulta compatible ni con el principio de seguridad jurídica (art. 9.3 C.E.)  ni con el derecho a una tutela judicial efectiva (art.  24.1 C.E.)  la firmeza de pronunciamientos jurisdiccionales contradictorios, pero es necesario advertir que esa doctrina se ha mantenido en relación a la constatación o apreciación de hechos que hayan sido tenidos en cuenta en la decisión final y lo hayan sido, además, en términos de radical contradicción (SSTC 77/1983, 24/1984, 62/1984, 158/1985, 70/1989 y 116/1989, entre otras).  Así, de la doctrina recogida en las citadas Sentencias se colige que el art.  24.1 de la Constitución impone </w:t>
      </w:r>
      <w:r>
        <w:lastRenderedPageBreak/>
        <w:t>que «si existe una resolución firme dictada en un orden jurisdiccional, otros órganos judiciales que conozcan del mismo asunto deberán asumir también como ciertos los hechos declarados tales por la primera resolución, o justificar la distinta apreciación que hacen de los mismos» (SSTC 62/1984, 158/1985).</w:t>
      </w:r>
    </w:p>
    <w:p w:rsidR="00A12D44" w:rsidRDefault="00A12D44" w:rsidP="00A12D44">
      <w:pPr>
        <w:pStyle w:val="TextoNormal"/>
      </w:pPr>
      <w:r>
        <w:t>Sin embargo, las circunstancias expresadas en la doctrina constitucional expuesta y citada por el recurrente en amparo no concurren en el supuesto ahora contemplado, pues no se trata en el presente caso de que un orden jurisdiccional (el penal) haya negado la existencia de un hecho que el orden jurisdiccional contencioso-administrativo afirma, ni de que afirme un hecho cuya existencia haya sido negada por otro orden jurisdiccional, sino de que examinando una y otra jurisdicción desde perspectivas distintas y en supuestos también distintos la facultad que a la Administración confiere el art. 71.2 del Real Decreto Legislativo 339/1990 llegan a conclusiones diferentes en cuanto al ejercicio legítimo de aquella facultad a causa de una distinta interpretación judicial de la normativa legal. A lo sumo, en el supuesto ahora considerado podría detectarse un diferente criterio interpretativo de las normas legales, y aun ello tendría que ser muy matizado, pues las Sentencias penales impugnadas no excluyen que puedan subsumirse en el apartado a) del art. 71.1 del Real Decreto Legislativo 339/1990, por constituir una grave perturbación a la circu- lación, los supuestos como tales enunciados en el art. 29.III b) del Código de la Circulación de 1934, sino que se limitan a no subsumir en los supuestos del art. 71.1 los dos casos que en concreto motivaron los procesos penales a los que ponen término. De todas formas, la diferencia de criterios interpretativos en asuntos que, como se ha dicho, no presentan un mismo e idéntico contenido y responden a órdenes judiciales diferentes no entraña una vulneración del derecho a la tutela judicial efectiva y no es sino consecuencia de la independencia de los órganos judiciales y de su directa vinculación a la Ley, habiendo afirmado este Tribunal en reiteradas ocasiones que no le corresponde la unificación de los criterios judiciales y que la vía procesal del amparo constitucional no es cauce idóneo para pretender obtener la unificación de los criterios discrepantes que los órganos judiciales pueden mantener en la interpretación de las normas jurídicas, pues esa discrepancia de la legalidad ordinaria, aun pudiendo producir efectos negativos respecto al principio de seguridad jurídica proclamado en el art. 9.3 de la Constitución, que no es susceptible de amparo, no vulnera el derecho a la tutela judicial efectiva, entendido como derecho del litigante a obtener, como sucede en este caso, una respuesta judicial a sus pretensiones razonable y fundada en Derecho (SSTC 18 y 54/1988).</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recurso y el archivo de las actuaciones.</w:t>
      </w:r>
    </w:p>
    <w:p w:rsidR="00A12D44" w:rsidRDefault="00A12D44" w:rsidP="00A12D44">
      <w:pPr>
        <w:pStyle w:val="TextoNormal"/>
      </w:pPr>
    </w:p>
    <w:p w:rsidR="00A12D44" w:rsidRDefault="00A12D44" w:rsidP="00A12D44">
      <w:pPr>
        <w:pStyle w:val="TextoNormal"/>
      </w:pPr>
      <w:r>
        <w:t>Madrid, a veintidós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7" w:name="AUTO_1992_106"/>
      <w:r>
        <w:lastRenderedPageBreak/>
        <w:t>AUTO 106/1992, de 22 de abril de 1992</w:t>
      </w:r>
    </w:p>
    <w:bookmarkEnd w:id="177"/>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ECLI:ES:TC:1992:106A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haber lugar al desistimiento del actor en el recurso de amparo 2.531/1991, promovido en pleito civil.</w:t>
      </w:r>
    </w:p>
    <w:p w:rsidR="00A12D44" w:rsidRDefault="00A12D44" w:rsidP="00A12D44">
      <w:pPr>
        <w:pStyle w:val="SntesisDescriptiva"/>
      </w:pPr>
    </w:p>
    <w:p w:rsidR="00A12D44" w:rsidRDefault="00A12D44" w:rsidP="00A12D44">
      <w:pPr>
        <w:pStyle w:val="TtuloResolucin"/>
      </w:pPr>
      <w:r>
        <w:t>*Este auto no incorpora doctrina constitucional.</w:t>
      </w:r>
    </w:p>
    <w:p w:rsidR="00A12D44" w:rsidRDefault="00A12D44">
      <w:pPr>
        <w:rPr>
          <w:rFonts w:ascii="Times New Roman" w:eastAsia="Times New Roman" w:hAnsi="Times New Roman" w:cs="Times New Roman"/>
          <w:b/>
          <w:sz w:val="24"/>
          <w:szCs w:val="24"/>
          <w:lang w:eastAsia="es-ES"/>
        </w:rPr>
      </w:pPr>
      <w:r>
        <w:br w:type="page"/>
      </w:r>
    </w:p>
    <w:p w:rsidR="00A12D44" w:rsidRDefault="00A12D44" w:rsidP="00A12D44">
      <w:pPr>
        <w:pStyle w:val="TtuloResolucin"/>
      </w:pPr>
      <w:bookmarkStart w:id="178" w:name="AUTO_1992_107"/>
      <w:r>
        <w:lastRenderedPageBreak/>
        <w:t>AUTO 107/1992, de 22 de abril de 1992</w:t>
      </w:r>
    </w:p>
    <w:bookmarkEnd w:id="178"/>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ECLI:ES:TC:1992:107A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2.572/1991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79" w:name="AUTO_1992_108"/>
      <w:r>
        <w:lastRenderedPageBreak/>
        <w:t>AUTO 108/1992, de 22 de abril de 1992</w:t>
      </w:r>
    </w:p>
    <w:bookmarkEnd w:id="179"/>
    <w:p w:rsidR="00A12D44" w:rsidRDefault="00A12D44" w:rsidP="00A12D44">
      <w:pPr>
        <w:pStyle w:val="TtuloResolucin"/>
      </w:pPr>
      <w:r>
        <w:t>Sección Cuarta</w:t>
      </w:r>
    </w:p>
    <w:p w:rsidR="00A12D44" w:rsidRDefault="00A12D44" w:rsidP="00A12D44">
      <w:pPr>
        <w:pStyle w:val="TtuloResolucin"/>
      </w:pPr>
    </w:p>
    <w:p w:rsidR="00A12D44" w:rsidRDefault="00A12D44" w:rsidP="00A12D44">
      <w:pPr>
        <w:pStyle w:val="SntesisDescriptiva"/>
      </w:pPr>
      <w:r>
        <w:t>ECLI:ES:TC:1992:108A</w:t>
      </w:r>
    </w:p>
    <w:p w:rsidR="00A12D44" w:rsidRDefault="00A12D44" w:rsidP="00A12D44">
      <w:pPr>
        <w:pStyle w:val="SntesisDescriptiva"/>
      </w:pPr>
    </w:p>
    <w:p w:rsidR="00A12D44" w:rsidRDefault="00A12D44" w:rsidP="00A12D44">
      <w:pPr>
        <w:pStyle w:val="SntesisDescriptiva"/>
      </w:pPr>
      <w:r>
        <w:t>Excms. Srs. don Miguel Rodríguez-Piñero y Bravo-Ferrer,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inadmisión a trámite del recurso de amparo 2.596/1991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Juzgado de lo Social núm. 1 de Córdoba dictó Sentencia el 6 de noviembre de 1990 por la que, desestimando la demanda de despido formulada por el ahora recurrente, declaró la procedencia del despido acordado por la Caja Provincial de Ahorros de Córdoba. Contra la misma el demandante interpuso recurso de suplicación, que fue desestimado por la Sentencia de la Sala de lo Social de Sevilla del Tribunal Superior de Justicia de Andalucía de 21 de octubre de 1991.</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La demanda de amparo impugna las referidas resoluciones judiciales porque han lesionado el derecho de defensa garantizado en el art. 24.1 de la C.E. Se argumenta, en síntesis, que en el proceso de despido celebrado ante el Juzgado de lo Social se vulneró lo prescrito en el inciso inicial del art. 105.1 y en el art. 87.4 de la Ley de Procedimiento Laboral. En efecto, tras la ratificación de la demanda, en las sucesivas fases de alegaciones, prueba y conclusiones intervino en primer lugar el demandante, a quien ni siquiera se le dio oportunidad de replicar a la contestación de la demanda; de otra parte, se le denegó sin fundamento la prueba testifical y pericial propuesta y tampoco se le posibilitó exponer las conclusiones y peticiones concretas y el informe correlativo. Estas transgresiones, además de colocar al actor en una posición desventajosa respecto del demandado, produjeron un perjuicio real y efectivo para sus intereses al impedirle esgrimir la excepción de prescripción de los hechos sancionados. </w:t>
      </w:r>
    </w:p>
    <w:p w:rsidR="00A12D44" w:rsidRDefault="00A12D44" w:rsidP="00A12D44">
      <w:pPr>
        <w:pStyle w:val="TextoNormal"/>
      </w:pPr>
      <w:r>
        <w:t>Interesa, por ello, la nulidad de todo lo actuado desde que sobrevino la violación del derecho de defensa.</w:t>
      </w:r>
    </w:p>
    <w:p w:rsidR="00A12D44" w:rsidRDefault="00A12D44" w:rsidP="00A12D44">
      <w:pPr>
        <w:pStyle w:val="TextoNormal"/>
      </w:pPr>
    </w:p>
    <w:p w:rsidR="00A12D44" w:rsidRDefault="00A12D44" w:rsidP="00A12D44">
      <w:pPr>
        <w:pStyle w:val="TextoNormal"/>
      </w:pPr>
      <w:r w:rsidRPr="00A12D44">
        <w:rPr>
          <w:rStyle w:val="NumeroAFNegritaCaracter"/>
        </w:rPr>
        <w:t>3</w:t>
      </w:r>
      <w:r>
        <w:t xml:space="preserve">. Por providencia de 2 de marzo de 1992, la Sección acordó conceder un plazo común de diez días al demandante de amparo y al Ministerio Fiscal para la formulación de alegaciones en relación con la falta de contenido constitucional de la demanda. </w:t>
      </w:r>
    </w:p>
    <w:p w:rsidR="00A12D44" w:rsidRDefault="00A12D44" w:rsidP="00A12D44">
      <w:pPr>
        <w:pStyle w:val="TextoNormal"/>
      </w:pPr>
      <w:r>
        <w:t xml:space="preserve">En su escrito de alegaciones, el recurrente afirma que se ha producido indefensión no en su significado jurídico material, sino en su significado jurídico constitucional, al haberse privado al recurrente de realizar dentro del proceso de instancia las adecuadas alegaciones, en particular en relación a la alegación de la prescripción de la falta. </w:t>
      </w:r>
    </w:p>
    <w:p w:rsidR="00A12D44" w:rsidRDefault="00A12D44" w:rsidP="00A12D44">
      <w:pPr>
        <w:pStyle w:val="TextoNormal"/>
      </w:pPr>
      <w:r>
        <w:t>El Ministerio Fiscal, en su escrito de alegaciones afirma que los alegatos del recurrente están ausentes de contenido en cuanto a la posible lesión de derechos fundamentales por</w:t>
      </w:r>
      <w:r>
        <w:lastRenderedPageBreak/>
        <w:t>que, como dice el T.S.J el actor pudo y debió en la demanda exponer los motivos de su defensa y si después de la práctica de la prueba lo deseaba, también tuvo en su mano hacer en el trámite de conclusiones cuantas observaciones estimara oportunas, incluso formular en el juicio la protesta pertinente, lo cual no realizó, ni exigió que constara en acta para hacer viable el recurso por ese defecto. El Tribunal Constitucional ha dicho con reiteración que no toda infracción procesal constituye por sí misma indefensión, y que ésta no tiene lugar si al afectado le quedan posibilidades razonables de defenderse y no las utiliza por la propia falta de diligencia o por error, y que la indefensión valorable es la material y no simplemente la formal. Interesa la inadmisión de la demanda.</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Importa destacar ante todo que la infundada denegación de pruebas y la privación del trámite de conclusiones contrasta con lo expresado en las Sentencias impugnadas: la del Juzgado de lo Social señala que los medios de prueba propuestos fueron declarados pertinentes y oportunamente se practicaron, recurriendo incluso al instrumento de las diligencias para mejor proveer, y que las partes elevaron a definitivas sus conclusiones (resultandos 1 y 2); la del Tribunal Superior de Justicia confirma la observancia de la fase de conclusiones. De otra parte, el informe oral que en la práctica forense suele evacuarse tras la formulación de las conclusiones definitivas propiamente no configura una distinta y específica fase procesal excepto en los supuestos en que el órgano judicial no se considera suficientemente ilustrado sobre las cuestiones debatidas (art. 87.5 de la Ley de Procedimiento Laboral).</w:t>
      </w:r>
    </w:p>
    <w:p w:rsidR="00A12D44" w:rsidRDefault="00A12D44" w:rsidP="00A12D44">
      <w:pPr>
        <w:pStyle w:val="TextoNormal"/>
      </w:pPr>
      <w:r>
        <w:t>Unicamente, pues, debe esclarecerse si, en atención a las circunstancias concurrentes en el supuesto analizado, la incuestionable infracción del inciso inicial del art. 105.1 de la Ley de Procedimiento Laboral ha comportado asimismo una lesión del art. 24.1 de la C.E.</w:t>
      </w:r>
    </w:p>
    <w:p w:rsidR="00A12D44" w:rsidRDefault="00A12D44" w:rsidP="00A12D44">
      <w:pPr>
        <w:pStyle w:val="TextoNormal"/>
      </w:pPr>
    </w:p>
    <w:p w:rsidR="00A12D44" w:rsidRDefault="00A12D44" w:rsidP="00A12D44">
      <w:pPr>
        <w:pStyle w:val="TextoNormal"/>
      </w:pPr>
      <w:r w:rsidRPr="00A12D44">
        <w:rPr>
          <w:rStyle w:val="NumeroAFNegritaCaracter"/>
        </w:rPr>
        <w:t>2</w:t>
      </w:r>
      <w:r>
        <w:t>. En coherencia con la carga que se impone al empresario demandado de probar la veracidad de los hechos imputados en la carta de despido, el inciso inicial del art. 105.1 de la Ley de Procedimiento Laboral le atribuye la iniciativa en los trámites de alegaciones, prueba y conclusiones y a él corresponde exponer sus posiciones en primer lugar. Como ha puesto de relieve la doctrina científica, el precepto engarza con diversos principios constitucionales porque la inversión en el orden de actuación de las partes que novedosamente introduce la vigente Ley de Procedimiento Laboral no sólo se ajusta al principio de igualdad procesal, sino que contribuye a que el trabajador pueda articular una defensa más adecuada-. la norma, en suma, participa de la naturaleza material del haz de derechos en que se descompone el más genérico a la tutela judicial efectiva. Es dudosa, sin embargo, su conexión con el principio acusatorio, pues el proceso de despido no persigue la declaración de culpabilidad del despedido frente al que no existe acusador, sino simplemente la calificación del despido como procedente, improcedente o nulo con las consecuencias inherentes a tales pronunciamientos (STC 81/1988).</w:t>
      </w:r>
    </w:p>
    <w:p w:rsidR="00A12D44" w:rsidRDefault="00A12D44" w:rsidP="00A12D44">
      <w:pPr>
        <w:pStyle w:val="TextoNormal"/>
      </w:pPr>
      <w:r>
        <w:t xml:space="preserve">Sin embargo, la inobservancia de esa norma procesal sólo podrá tener trascendencia constitucional si en el caso concreto ha producido efectivamente una indefensión del recurrente. Reiteradamente este Tribunal ha afirmado, partiendo de una noción material y no exclusivamente formal de la indefensión, que para estimarla predicable de una situación concreta no basta con constatar una inobservancia de las reglas procesales, sino que es necesario, además, que como consecuencia de tal infracción de la legalidad ordinaria se </w:t>
      </w:r>
      <w:r>
        <w:lastRenderedPageBreak/>
        <w:t>produzca una material privación o una minoración sustancial del derecho de defensa con el consiguiente perjuicio real y efectivo para los intereses del afectado, pues de lo contrario la estimación del recurso de amparo tendría una consecuencia puramente formal e incrementaría las dilaciones en el proceso. Es indispensable que el quebrantamiento de la norma procesal haya constituido o un impedimento del derecho a alegar y demostrar en el proceso los propios derechos e intereses para que le sean reconocidos o para replicar dialécticamente las posiciones contrarias en el ejercicio del indispensable principio de contradicción (STC 89/1986), con el consiguiente perjuicio real y efectivo para los intereses del afectado (STC 155/1988). Hemos de examinar en consecuencia si el defecto denunciado ha producido un efectivo y real menoscabo del derecho de defensa o si, por el contrario, pese al mismo, ha existido la posibilidad de defenderse en términos reales y efectivos (STC 98/1987), valoración, necesariamente casuística, que exige ponderar las circunstancias concurrentes en cada caso (SSTC 35/1989, 59/1989, 145/1990 y 163/1990, entre otras).</w:t>
      </w:r>
    </w:p>
    <w:p w:rsidR="00A12D44" w:rsidRDefault="00A12D44" w:rsidP="00A12D44">
      <w:pPr>
        <w:pStyle w:val="TextoNormal"/>
      </w:pPr>
    </w:p>
    <w:p w:rsidR="00A12D44" w:rsidRDefault="00A12D44" w:rsidP="00A12D44">
      <w:pPr>
        <w:pStyle w:val="TextoNormal"/>
      </w:pPr>
      <w:r w:rsidRPr="00A12D44">
        <w:rPr>
          <w:rStyle w:val="NumeroAFNegritaCaracter"/>
        </w:rPr>
        <w:t>3</w:t>
      </w:r>
      <w:r>
        <w:t>. Un examen desde esta perspectiva de las vicisitudes acaecidas en el supuesto concreto que se estudia obligaría a realzar los siguientes extremos:</w:t>
      </w:r>
    </w:p>
    <w:p w:rsidR="00A12D44" w:rsidRDefault="00A12D44" w:rsidP="00A12D44">
      <w:pPr>
        <w:pStyle w:val="TextoNormal"/>
      </w:pPr>
      <w:r>
        <w:t>a) Previamente a la remisión de la carta de despido se incoó un expediente disciplinario en cuya instrucción el recurrente participó activamente: tuvo conocimiento de los hechos que se le imputaban, formuló el oportuno pliego de descargos y se practicaron diligencias probatorias por él propuestas. Es decir, ya tuvo oportunidad de ejercitar su derecho de defensa en esta etapa anterior al proceso.</w:t>
      </w:r>
    </w:p>
    <w:p w:rsidR="00A12D44" w:rsidRDefault="00A12D44" w:rsidP="00A12D44">
      <w:pPr>
        <w:pStyle w:val="TextoNormal"/>
      </w:pPr>
      <w:r>
        <w:t>b) Dejando a un lado que el relato fáctico de la carta de despido pudiera adolecer de cierta inconcreción, cuando interpone la demanda el recurrente conoce perfectamente los hechos que se le imputan y, tras su admisión a trámite, accede a un proceso en el que ha tenido ocasión de precisar por qué discrepa de la decisión extintiva adoptada por su empleador, articular los medios probatorios que estimó convenientes y formular conclusiones. Aunque el procedimiento se desarrolló ignorando el orden de intervención preceptuado por la nueva Ley de Procedimiento Laboral, se respetaron sustancialmente los principios de contradicción e igualdad entre las partes y también las fundamentales garantías que desde siempre han caracterizado a este proceso especial: la carta de despido delimita los términos de una controversia, en la que la carga de la prueba de la veracidad de los hechos imputados incumbe al demandado.</w:t>
      </w:r>
    </w:p>
    <w:p w:rsidR="00A12D44" w:rsidRDefault="00A12D44" w:rsidP="00A12D44">
      <w:pPr>
        <w:pStyle w:val="TextoNormal"/>
      </w:pPr>
      <w:r>
        <w:t>c) El único perjuicio real que el demandante achaca a la vulneración de la norma procesal es el de la imposibilidad de aducir la excepción de prescripción del ilícito laboral sancionado. Es claro, sin embargo, que con independencia de la secuencia temporal en que se materializó la audiencia de las partes, pudo esgrimir este motivo de oposición, tanto al interponer la demanda como en el acto del juicio, al ratificar la demanda, pues el cambio de orden de las intervenciones en ningún caso puede considerarse como impedimento para formular dicha excepción de prescripción. La omisión únicamente a él sería imputable y al respecto huelga recordar que no puede invocarse válidamente indefensión cuando el afectado no ha mostrado la debida pericia o diligencia (por todas, STC 169/1990), lo que ha ocurrido en el presente caso si se tiene en cuenta además que se ha omitido la preceptiva protesta formal, en el momento de producirse la infracción procedimental, y no se ha hecho constar en el acta del juicio dicha protesta para hacer posible la viabilidad de este motivo de impugnación.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definitiva, la infracción de la norma procesal no supuso aquí una indefensión constitucionalmente relevante, por lo que la demanda ha de ser desestimada.</w:t>
      </w:r>
    </w:p>
    <w:p w:rsidR="00A12D44" w:rsidRDefault="00A12D44" w:rsidP="00A12D44">
      <w:pPr>
        <w:pStyle w:val="TextoNormal"/>
      </w:pPr>
    </w:p>
    <w:p w:rsidR="00A12D44" w:rsidRDefault="00A12D44" w:rsidP="00A12D44">
      <w:pPr>
        <w:pStyle w:val="TextoNormal"/>
      </w:pPr>
      <w:r>
        <w:t>Madrid, a veintidós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0" w:name="AUTO_1992_109"/>
      <w:r>
        <w:lastRenderedPageBreak/>
        <w:t>AUTO 109/1992, de 22 de abril de 1992</w:t>
      </w:r>
    </w:p>
    <w:bookmarkEnd w:id="180"/>
    <w:p w:rsidR="00A12D44" w:rsidRDefault="00A12D44" w:rsidP="00A12D44">
      <w:pPr>
        <w:pStyle w:val="TtuloResolucin"/>
      </w:pPr>
      <w:r>
        <w:t>Sala Segunda</w:t>
      </w:r>
    </w:p>
    <w:p w:rsidR="00A12D44" w:rsidRDefault="00A12D44" w:rsidP="00A12D44">
      <w:pPr>
        <w:pStyle w:val="TtuloResolucin"/>
      </w:pPr>
    </w:p>
    <w:p w:rsidR="00A12D44" w:rsidRDefault="00A12D44" w:rsidP="00A12D44">
      <w:pPr>
        <w:pStyle w:val="SntesisDescriptiva"/>
      </w:pPr>
      <w:r>
        <w:t>ECLI:ES:TC:1992:109A</w:t>
      </w:r>
    </w:p>
    <w:p w:rsidR="00A12D44" w:rsidRDefault="00A12D44" w:rsidP="00A12D44">
      <w:pPr>
        <w:pStyle w:val="SntesisDescriptiva"/>
      </w:pPr>
    </w:p>
    <w:p w:rsidR="00A12D44" w:rsidRDefault="00A12D44" w:rsidP="00A12D44">
      <w:pPr>
        <w:pStyle w:val="SntesisDescriptiva"/>
      </w:pPr>
      <w:r>
        <w:t>Excms. Srs. don Francisco Rubio Llorente, don Eugenio Díaz Eimil, don Miguel Rodríguez-Piñero y Bravo-Ferrer, don José Luis de los Mozos y de los Mozos, don Álvaro Rodríguez Bereijo y don José Gabaldón López.</w:t>
      </w:r>
    </w:p>
    <w:p w:rsidR="00A12D44" w:rsidRDefault="00A12D44" w:rsidP="00A12D44">
      <w:pPr>
        <w:pStyle w:val="SntesisDescriptiva"/>
      </w:pPr>
    </w:p>
    <w:p w:rsidR="00A12D44" w:rsidRDefault="00A12D44" w:rsidP="00A12D44">
      <w:pPr>
        <w:pStyle w:val="SntesisDescriptiva"/>
      </w:pPr>
      <w:r>
        <w:t>Acordando la suspensión parcial y condicionada de la ejecución del acto que origina el recurso de amparo 2.681/1991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1" w:name="AUTO_1992_110"/>
      <w:r>
        <w:lastRenderedPageBreak/>
        <w:t>AUTO 110/1992, de 27 de abril de 1992</w:t>
      </w:r>
    </w:p>
    <w:bookmarkEnd w:id="181"/>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ECLI:ES:TC:1992:110A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Acordando la acumulación de los recursos de amparo 1.409/1989, 598/1991 y 2.007/1991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2" w:name="AUTO_1992_111"/>
      <w:r>
        <w:lastRenderedPageBreak/>
        <w:t>AUTO 111/1992, de 27 de abril de 1992</w:t>
      </w:r>
    </w:p>
    <w:bookmarkEnd w:id="182"/>
    <w:p w:rsidR="00A12D44" w:rsidRDefault="00A12D44" w:rsidP="00A12D44">
      <w:pPr>
        <w:pStyle w:val="TtuloResolucin"/>
      </w:pPr>
      <w:r>
        <w:t>Sección Primera</w:t>
      </w:r>
    </w:p>
    <w:p w:rsidR="00A12D44" w:rsidRDefault="00A12D44" w:rsidP="00A12D44">
      <w:pPr>
        <w:pStyle w:val="TtuloResolucin"/>
      </w:pPr>
    </w:p>
    <w:p w:rsidR="00A12D44" w:rsidRDefault="00A12D44" w:rsidP="00A12D44">
      <w:pPr>
        <w:pStyle w:val="SntesisDescriptiva"/>
      </w:pPr>
      <w:r>
        <w:t>ECLI:ES:TC:1992:111A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y don Jesús Leguina Villa.</w:t>
      </w:r>
    </w:p>
    <w:p w:rsidR="00A12D44" w:rsidRDefault="00A12D44" w:rsidP="00A12D44">
      <w:pPr>
        <w:pStyle w:val="SntesisDescriptiva"/>
      </w:pPr>
    </w:p>
    <w:p w:rsidR="00A12D44" w:rsidRDefault="00A12D44" w:rsidP="00A12D44">
      <w:pPr>
        <w:pStyle w:val="SntesisDescriptiva"/>
      </w:pPr>
      <w:r>
        <w:t>Acordando la inadmisión a trámite del recurso de amparo 2.723/1990</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Por escrito registrado en este Tribunal en fecha 23 de noviembre de 1990, el Procurador de los Tribunales don Leopoldo Pérez Puig de Inestrosa, en nombre y representación de don Francisco González y Juan, interpone recurso de amparo contra la Sentencia de 5 de octubre de 1990 de la Audiencia Provincial de Madrid que confirmó en apelación la dictada por el Juzgado de Distrito núm. 37 de Madrid (hoy Juzgado de Instrucción núm. 43) en juicio de cognición núm. 174/89.</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De la demanda de amparo se desprenden, en síntesis, los siguiente hechos: </w:t>
      </w:r>
    </w:p>
    <w:p w:rsidR="00A12D44" w:rsidRDefault="00A12D44" w:rsidP="00A12D44">
      <w:pPr>
        <w:pStyle w:val="TextoNormal"/>
      </w:pPr>
      <w:r>
        <w:t>El actual recurrente en amparo promovió juicio de cognición en reclamación de determinada cantidad contra la «Financiera Seat, S. A.», que se tramitó en el entonces Juzgado de Distrito núm. 37 de Madrid. El Juzgado dictó Sentencia en fecha 13 de julio de 1989, desestimando la demanda. El actor recurrió en apelación y, por comparecencia de fecha 7 de septiembre de 1989, solicitó la designación de Abogado y Procurador del turno de oficio para sustanciar el citado recurso. La Sección Decimotercera de la Audiencia Provincial de Madrid dictó Sentencia en fecha 5 de octubre de 1990, desestimando el recurso y confirmando la resolución de instancia, y en cuya fundamentación jurídica se hacía expresa mención a la incomparecencia del letrado defensor del actual recurrente al acto de la vista.</w:t>
      </w:r>
    </w:p>
    <w:p w:rsidR="00A12D44" w:rsidRDefault="00A12D44" w:rsidP="00A12D44">
      <w:pPr>
        <w:pStyle w:val="TextoNormal"/>
      </w:pPr>
    </w:p>
    <w:p w:rsidR="00A12D44" w:rsidRDefault="00A12D44" w:rsidP="00A12D44">
      <w:pPr>
        <w:pStyle w:val="TextoNormal"/>
      </w:pPr>
      <w:r w:rsidRPr="00A12D44">
        <w:rPr>
          <w:rStyle w:val="NumeroAFNegritaCaracter"/>
        </w:rPr>
        <w:t>3</w:t>
      </w:r>
      <w:r>
        <w:t>. La representación del demandante invoca la vulneración del derecho a obtener tutela judicial efectiva (art. 24.1 C.E.) que se afirma producida como consecuencia de la falta de conocimiento por parte del mismo de los profesionales designados de oficio para su defensa y representación, también del desconocimiento de la fecha del señalamiento de la vista de apelación. En virtud de todo ello, suplica de este Tribunal se dicte Sentencia por la que, otorgando el amparo pedido, se declare la nulidad de lo actuado desde la solicitud de designación de profesionales del turno de oficio para sustanciar el recurso de apelación interpuesto.</w:t>
      </w:r>
    </w:p>
    <w:p w:rsidR="00A12D44" w:rsidRDefault="00A12D44" w:rsidP="00A12D44">
      <w:pPr>
        <w:pStyle w:val="TextoNormal"/>
      </w:pPr>
    </w:p>
    <w:p w:rsidR="00A12D44" w:rsidRDefault="00A12D44" w:rsidP="00A12D44">
      <w:pPr>
        <w:pStyle w:val="TextoNormal"/>
      </w:pPr>
      <w:r w:rsidRPr="00A12D44">
        <w:rPr>
          <w:rStyle w:val="NumeroAFNegritaCaracter"/>
        </w:rPr>
        <w:t>4</w:t>
      </w:r>
      <w:r>
        <w:t>. Por providencia de 22 de abril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w:t>
      </w:r>
      <w:r>
        <w:lastRenderedPageBreak/>
        <w:t>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A12D44" w:rsidRDefault="00A12D44" w:rsidP="00A12D44">
      <w:pPr>
        <w:pStyle w:val="TextoNormal"/>
      </w:pPr>
    </w:p>
    <w:p w:rsidR="00A12D44" w:rsidRDefault="00A12D44" w:rsidP="00A12D44">
      <w:pPr>
        <w:pStyle w:val="TextoNormal"/>
      </w:pPr>
      <w:r w:rsidRPr="00A12D44">
        <w:rPr>
          <w:rStyle w:val="NumeroAFNegritaCaracter"/>
        </w:rPr>
        <w:t>5</w:t>
      </w:r>
      <w:r>
        <w:t>. En fecha 7 de mayo de 1991 se recibe el escrito de alegaciones del recurrente, en las que reitera las que se recogían en su escrito de demanda inicial y termina suplicando se admita a trámite el recurso y se dicte Sentencia conforme a lo solicitado en el suplico de la demanda inicial.</w:t>
      </w:r>
    </w:p>
    <w:p w:rsidR="00A12D44" w:rsidRDefault="00A12D44" w:rsidP="00A12D44">
      <w:pPr>
        <w:pStyle w:val="TextoNormal"/>
      </w:pPr>
    </w:p>
    <w:p w:rsidR="00A12D44" w:rsidRDefault="00A12D44" w:rsidP="00A12D44">
      <w:pPr>
        <w:pStyle w:val="TextoNormal"/>
      </w:pPr>
      <w:r w:rsidRPr="00A12D44">
        <w:rPr>
          <w:rStyle w:val="NumeroAFNegritaCaracter"/>
        </w:rPr>
        <w:t>6</w:t>
      </w:r>
      <w:r>
        <w:t>. En fecha 8 de mayo de 1991 se recibe el escrito de alegaciones del Ministerio Fiscal. En él interesa la inadmisión del recurso de amparo por concurrir la causa que prevé el art. 50.1 c) de la LOTC. Y además por la extemporaneidad del recurso. En el primer sentido, alega el Ministerio Público que el órgano judicial realiza la designación de Abogado y Procurador, de acuerdo con la petición del recurrente, y ambos profesionales asumen esta función y actúan como tales aunque el Letrado no compareciese a la vista. La falta de comunicación por el órgano judicial al actor de la designación realizada no produce indefensión de clase alguna porque en sí misma no infringe ninguna norma procesal ni el recurrente acredita o justifica en qué ha consistido la citada indefensión, y por otra parte pudo, con una sencilla actividad y un mínimo interés, tener conocimiento de dicha designación sin dejar transcurrir casi un año sin indagar el resultado de su petición de Letrado y Procurador y noticias del recurso interpuesto. Por tanto, concluye el Ministerio Fiscal, no ha habido acción u omisión del órgano judicial que origine la violación denunciada. Por otro lado -continúa- es doctrina constitu- cional que las relaciones que existen entre la parte y su representación procesal y dirección técnicas no están amparadas constitucionalmente aunque el fallo en dicha relación pueda dar lugar a otras consecuencias legales. La denuncia del actor respecto a la falta de comunicación con los profesionales y la inasistencia del Letrado a la vista sólo puede constituir una posible quiebra de los derechos y obligaciones contenido de esa relación, pero sin transcendencia constitucional. Es necesario por último destacar que la Sentencia de la Audiencia se notificó a la Procuradora del actor según consta en la copia de la resolución aportada con el recurso, el día 18 de octubre de, por lo que se considera también imcumplido el plazo que establece el art. 44.2 de la LOTC.</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recurrente centra su queja en dos motivos esenciales: el desconocimiento de la fecha de señalamiento de la vista de apelación, consecuencia a su vez de la falta de comunicación con los profesionales del turno de oficio que le fueron designados para su defensa y representación, y la ausencia injustificada de su Letrado defensor al citado acto de la vista en segunda instancia. Pero ninguno de ellos adquiere relevancia constitucional para fundamentar una decisión por parte de este Tribunal Constitucional.</w:t>
      </w:r>
    </w:p>
    <w:p w:rsidR="00A12D44" w:rsidRDefault="00A12D44" w:rsidP="00A12D44">
      <w:pPr>
        <w:pStyle w:val="TextoNormal"/>
      </w:pPr>
      <w:r>
        <w:t>En cuanto al primero, es claro que la designación de los profesionales -Abogado y Procurador- del turno de oficio solicitada por el recurrente se efectuó en debida forma, y el señalamiento para la celebración de la vista en segunda instancia fue también oportunamente comunicado al representante de la parte, por lo que ninguna omisión procesal o actuación incorrecta cabe reprochar al órgano judicial. En tal sentido, ha de recordarse que las comunicaciones realizadas al Procurador de la parte deben entenderse hechas a su re</w:t>
      </w:r>
      <w:r>
        <w:lastRenderedPageBreak/>
        <w:t>presentado (con excepción obviamente de aquellos supuestos en que expresamente la propia ley procesal prevea cosa diferente, que no es el caso que ahora nos ocupa) y que la ausencia de la debida comunicación entre Procurador, Letrado y recurrente es un hecho ajeno a cualquier acción u omisión del órgano judicial y no cabe, por tanto, derivar de él un recurso de amparo fundamentado en tal motivo.</w:t>
      </w:r>
    </w:p>
    <w:p w:rsidR="00A12D44" w:rsidRDefault="00A12D44" w:rsidP="00A12D44">
      <w:pPr>
        <w:pStyle w:val="TextoNormal"/>
      </w:pPr>
    </w:p>
    <w:p w:rsidR="00A12D44" w:rsidRDefault="00A12D44" w:rsidP="00A12D44">
      <w:pPr>
        <w:pStyle w:val="TextoNormal"/>
      </w:pPr>
      <w:r w:rsidRPr="00A12D44">
        <w:rPr>
          <w:rStyle w:val="NumeroAFNegritaCaracter"/>
        </w:rPr>
        <w:t>2</w:t>
      </w:r>
      <w:r>
        <w:t>. Por lo que atañe al segundo motivo de la pretensión de amparo, su falta de relevancia constitucional es si cabe más patente, ya que la ausencia injustificada del Letrado al acto de la vista de apelación es con toda evidencia ajena por completo a la actuación del Tribunal ad quem, el cual, tras haber citado al recurrente por medio de su representante procesal -quien, por cierto, asistió a la vista- y sin haber recibido justificación alguna que motivase la incomparecencia del Letrado, hizo lo procesalmente correcto, esto es, celebrar el acto y resolver el recurso interpuesto. En consecuencia, la indefensión que el actor entiende que se le ha causado no ha tenido su origen en acción u omisión judicial alguna, sino, en su caso, en una eventual falta de diligencia profesional. frente a la cual el ordenamiento dispone medios adecuados para compensar los daños que a la parte hubiera podido ocasionar, mas no puede alegarse como fundamento de la vulneración del art. 24.1 C.E.</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Por lo expuesto, la Sección acuerda la inadmisión del presente recurso de amparo y el archivo de las actuaciones.</w:t>
      </w:r>
    </w:p>
    <w:p w:rsidR="00A12D44" w:rsidRDefault="00A12D44" w:rsidP="00A12D44">
      <w:pPr>
        <w:pStyle w:val="TextoNormal"/>
      </w:pPr>
    </w:p>
    <w:p w:rsidR="00A12D44" w:rsidRDefault="00A12D44" w:rsidP="00A12D44">
      <w:pPr>
        <w:pStyle w:val="TextoNormal"/>
      </w:pPr>
      <w:r>
        <w:t>Madrid, a veintisiete de abril de mil novecientos noventa y dos.</w:t>
      </w: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3" w:name="AUTO_1992_112"/>
      <w:r>
        <w:lastRenderedPageBreak/>
        <w:t>AUTO 112/1992, de 27 de abril de 1992</w:t>
      </w:r>
    </w:p>
    <w:bookmarkEnd w:id="183"/>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ECLI:ES:TC:1992:112A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acumulación de los recursos de amparo 30/1991, 192/1991, 798/1991, 799/1991, 1.594/1991, 2.382/1991, 2.383/1991, 2.384/1991, 2.385/1991, 2.386/1991 y 2.387/1991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4" w:name="AUTO_1992_113"/>
      <w:r>
        <w:lastRenderedPageBreak/>
        <w:t>AUTO 113/1992, de 29 de abril de 1992</w:t>
      </w:r>
    </w:p>
    <w:bookmarkEnd w:id="184"/>
    <w:p w:rsidR="00A12D44" w:rsidRDefault="00A12D44" w:rsidP="00A12D44">
      <w:pPr>
        <w:pStyle w:val="TtuloResolucin"/>
      </w:pPr>
      <w:r>
        <w:t>Sala Primera</w:t>
      </w:r>
    </w:p>
    <w:p w:rsidR="00A12D44" w:rsidRDefault="00A12D44" w:rsidP="00A12D44">
      <w:pPr>
        <w:pStyle w:val="TtuloResolucin"/>
      </w:pPr>
    </w:p>
    <w:p w:rsidR="00A12D44" w:rsidRDefault="00A12D44" w:rsidP="00A12D44">
      <w:pPr>
        <w:pStyle w:val="SntesisDescriptiva"/>
      </w:pPr>
      <w:r>
        <w:t>ECLI:ES:TC:1992:113A</w:t>
      </w:r>
    </w:p>
    <w:p w:rsidR="00A12D44" w:rsidRDefault="00A12D44" w:rsidP="00A12D44">
      <w:pPr>
        <w:pStyle w:val="SntesisDescriptiva"/>
      </w:pPr>
    </w:p>
    <w:p w:rsidR="00A12D44" w:rsidRDefault="00A12D44" w:rsidP="00A12D44">
      <w:pPr>
        <w:pStyle w:val="SntesisDescriptiva"/>
      </w:pPr>
      <w:r>
        <w:t>Excms. Srs. don Francisco Tomás y Valiente, don Fernando García-Mon y González-Regueral, don Carlos de la Vega Benayas, don Jesús Leguina Villa, don Luis López Guerra y don José Vicente Gimeno Sendra.</w:t>
      </w:r>
    </w:p>
    <w:p w:rsidR="00A12D44" w:rsidRDefault="00A12D44" w:rsidP="00A12D44">
      <w:pPr>
        <w:pStyle w:val="SntesisDescriptiva"/>
      </w:pPr>
    </w:p>
    <w:p w:rsidR="00A12D44" w:rsidRDefault="00A12D44" w:rsidP="00A12D44">
      <w:pPr>
        <w:pStyle w:val="SntesisDescriptiva"/>
      </w:pPr>
      <w:r>
        <w:t>Denegando la suspensión de la ejecución del acto que origina el recurso de amparo 1.993/1991</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pPr>
      <w:r>
        <w:t>I. Antecedentes</w:t>
      </w:r>
    </w:p>
    <w:p w:rsidR="00A12D44" w:rsidRDefault="00A12D44" w:rsidP="00A12D44">
      <w:pPr>
        <w:pStyle w:val="TextoNormalNegritaCentrado"/>
      </w:pPr>
    </w:p>
    <w:p w:rsidR="00A12D44" w:rsidRDefault="00A12D44" w:rsidP="00A12D44">
      <w:pPr>
        <w:pStyle w:val="TextoNormalNegritaCentrado"/>
      </w:pPr>
      <w:r>
        <w:t>II. Fundamentos jurídicos</w:t>
      </w:r>
    </w:p>
    <w:p w:rsidR="00A12D44" w:rsidRDefault="00A12D44" w:rsidP="00A12D44">
      <w:pPr>
        <w:pStyle w:val="TextoNormalNegritaCentrado"/>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Centrado"/>
      </w:pPr>
    </w:p>
    <w:p w:rsidR="00A12D44" w:rsidRDefault="00A12D44">
      <w:pPr>
        <w:rPr>
          <w:rFonts w:ascii="Times New Roman" w:eastAsia="Times New Roman" w:hAnsi="Times New Roman" w:cs="Times New Roman"/>
          <w:sz w:val="24"/>
          <w:szCs w:val="24"/>
          <w:lang w:eastAsia="es-ES"/>
        </w:rPr>
      </w:pPr>
      <w:r>
        <w:br w:type="page"/>
      </w:r>
    </w:p>
    <w:p w:rsidR="00A12D44" w:rsidRDefault="00A12D44" w:rsidP="00A12D44">
      <w:pPr>
        <w:pStyle w:val="TtuloResolucin"/>
      </w:pPr>
      <w:bookmarkStart w:id="185" w:name="AUTO_1992_114"/>
      <w:r>
        <w:lastRenderedPageBreak/>
        <w:t>AUTO 114/1992, de 29 de abril de 1992</w:t>
      </w:r>
    </w:p>
    <w:bookmarkEnd w:id="185"/>
    <w:p w:rsidR="00A12D44" w:rsidRDefault="00A12D44" w:rsidP="00A12D44">
      <w:pPr>
        <w:pStyle w:val="TtuloResolucin"/>
      </w:pPr>
      <w:r>
        <w:t>Sección Segunda</w:t>
      </w:r>
    </w:p>
    <w:p w:rsidR="00A12D44" w:rsidRDefault="00A12D44" w:rsidP="00A12D44">
      <w:pPr>
        <w:pStyle w:val="TtuloResolucin"/>
      </w:pPr>
    </w:p>
    <w:p w:rsidR="00A12D44" w:rsidRDefault="00A12D44" w:rsidP="00A12D44">
      <w:pPr>
        <w:pStyle w:val="SntesisDescriptiva"/>
      </w:pPr>
      <w:r>
        <w:t>ECLI:ES:TC:1992:114A</w:t>
      </w:r>
    </w:p>
    <w:p w:rsidR="00A12D44" w:rsidRDefault="00A12D44" w:rsidP="00A12D44">
      <w:pPr>
        <w:pStyle w:val="SntesisDescriptiva"/>
      </w:pPr>
    </w:p>
    <w:p w:rsidR="00A12D44" w:rsidRDefault="00A12D44" w:rsidP="00A12D44">
      <w:pPr>
        <w:pStyle w:val="SntesisDescriptiva"/>
      </w:pPr>
      <w:r>
        <w:t>Excms. Srs. don Carlos de la Vega Benayas, don Luis López Guerra y don José Vicente Gimeno Sendra.</w:t>
      </w:r>
    </w:p>
    <w:p w:rsidR="00A12D44" w:rsidRDefault="00A12D44" w:rsidP="00A12D44">
      <w:pPr>
        <w:pStyle w:val="SntesisDescriptiva"/>
      </w:pPr>
    </w:p>
    <w:p w:rsidR="00A12D44" w:rsidRDefault="00A12D44" w:rsidP="00A12D44">
      <w:pPr>
        <w:pStyle w:val="SntesisDescriptiva"/>
      </w:pPr>
      <w:r>
        <w:t>Acordando la inadmisión a trámite del recurso de amparo 541/1992</w:t>
      </w:r>
    </w:p>
    <w:p w:rsidR="00A12D44" w:rsidRDefault="00A12D44" w:rsidP="00A12D44">
      <w:pPr>
        <w:pStyle w:val="SntesisDescriptiva"/>
      </w:pPr>
    </w:p>
    <w:p w:rsidR="00A12D44" w:rsidRDefault="00A12D44" w:rsidP="00A12D44">
      <w:pPr>
        <w:pStyle w:val="SntesisDescriptiva"/>
      </w:pPr>
    </w:p>
    <w:p w:rsidR="00A12D44" w:rsidRDefault="00A12D44" w:rsidP="00A12D44">
      <w:pPr>
        <w:pStyle w:val="SntesisDescriptiva"/>
      </w:pPr>
    </w:p>
    <w:p w:rsidR="00A12D44" w:rsidRDefault="00A12D44" w:rsidP="00A12D44">
      <w:pPr>
        <w:pStyle w:val="TextoNormalNegritaCentrado"/>
      </w:pPr>
      <w:r>
        <w:t>AUTO</w:t>
      </w:r>
    </w:p>
    <w:p w:rsidR="00A12D44" w:rsidRDefault="00A12D44" w:rsidP="00A12D44">
      <w:pPr>
        <w:pStyle w:val="TextoNormalNegritaCentrado"/>
      </w:pPr>
    </w:p>
    <w:p w:rsidR="00A12D44" w:rsidRDefault="00A12D44" w:rsidP="00A12D44">
      <w:pPr>
        <w:pStyle w:val="TextoNormalNegritaCentrado"/>
        <w:keepNext/>
      </w:pPr>
      <w:r>
        <w:t>I. Antecedentes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Procurador de los Tribunales don Antonio del Castillo-Olivares Cebrián, por escrito que tiene su entrada en este Tribunal el día 2 de marzo de 1992, interpone recurso de amparo en nombre y representación de don Francisco Tejero Lacave contra la Sentencia de 4 de febrero de 1992 de la Sala Primera del Tribunal Supremo, la Sentencia de 26 de septiembre de 1989 y el Auto de 3 de noviembre de 1987 de la Sección Quinta de la Audiencia Provincial de Sevilla y la Sentencia de 3 de junio de 1986 y demás resoluciones dictadas por el Juzgado de Primera Instancia núm. 1 del Puerto de Santa María en el juicio de menor cuantía núm. 249/85, que denegaron la solicitud de proposición de prueba del recurrente.</w:t>
      </w:r>
    </w:p>
    <w:p w:rsidR="00A12D44" w:rsidRDefault="00A12D44" w:rsidP="00A12D44">
      <w:pPr>
        <w:pStyle w:val="TextoNormal"/>
      </w:pPr>
    </w:p>
    <w:p w:rsidR="00A12D44" w:rsidRDefault="00A12D44" w:rsidP="00A12D44">
      <w:pPr>
        <w:pStyle w:val="TextoNormal"/>
      </w:pPr>
      <w:r w:rsidRPr="00A12D44">
        <w:rPr>
          <w:rStyle w:val="NumeroAFNegritaCaracter"/>
        </w:rPr>
        <w:t>2</w:t>
      </w:r>
      <w:r>
        <w:t xml:space="preserve">. Los hechos en que se basa la demanda de amparo son los siguientes: </w:t>
      </w:r>
    </w:p>
    <w:p w:rsidR="00A12D44" w:rsidRDefault="00A12D44" w:rsidP="00A12D44">
      <w:pPr>
        <w:pStyle w:val="TextoNormal"/>
      </w:pPr>
      <w:r>
        <w:t xml:space="preserve">a) Contra el ahora recurrente y otras personas fue presentada ante el Juzgado de Primera Instancia núm. 1 del Puerto de Santa María solicitud de diligencia preliminar de reconocimiento de firma, constatando en ella a efectos de citación sus respectivos domicilios. </w:t>
      </w:r>
    </w:p>
    <w:p w:rsidR="00A12D44" w:rsidRDefault="00A12D44" w:rsidP="00A12D44">
      <w:pPr>
        <w:pStyle w:val="TextoNormal"/>
      </w:pPr>
      <w:r>
        <w:t xml:space="preserve">b) Con posterioridad, contra el ahora recurrente y otros codemandados fue presentada ante dicho Juzgado demanda de juicio ordinario de menor cuantía reclamando devolución de cantidad en concepto de préstamo. En dicha demanda, el actor señaló a efectos de emplazamiento la calle Larga, 81 del Puerto de Santa María, domicilio que en los documentos de préstamo origen de la demanda figuraba a efectos de citaciones para reuniones de los socios -actor y demandados- para tratar asuntos de una sociedad en vías de constitución, aunque no a efectos de notificaciones procesales. Aun así, al admitirse la demanda a trámite, el emplazamiento no se llevó a cabo ni en los domicilios particulares de los demandados ni en el mencionado de la calle Larga, 81 del Puerto de Santa María, en el que nadie fue hallado, sino en un tercer domicilio sito en la calle Nevería del Puerto de Santa María, en el que se encuentra un comercio de distribución de butano, supuestamente propiedad de la familia de uno de los codemandados, y llevándose a efecto el emplazamiento en la persona de una empleada de dicho establecimiento. </w:t>
      </w:r>
    </w:p>
    <w:p w:rsidR="00A12D44" w:rsidRDefault="00A12D44" w:rsidP="00A12D44">
      <w:pPr>
        <w:pStyle w:val="TextoNormal"/>
      </w:pPr>
      <w:r>
        <w:t xml:space="preserve">c) Como consecuencia de todo ello, afirma el recurrente que tuvo conocimiento de la demanda presentada contra él cuando casualmente le informó el padre del demandante, por lo cual decidió comparecer en el proceso. En su escrito de personación. que se presentó cuando el procedimiento se hallaba ya en período de prueba, el recurrente solicitó, entre </w:t>
      </w:r>
      <w:r>
        <w:lastRenderedPageBreak/>
        <w:t xml:space="preserve">otros extremos, la concesión de plazo para proposición de prueba. Con fecha 13 de enero de 1986, el Juzgado dictó providencia aceptando la personación del ahora recurrente, pero no resolvió sobre el plazo solicitado para proponer prueba. Contra dicha providencia se interpuso recurso de reposición, en el que el recurrente alegó la posible vulneración de su derecho a la tutela judicial efectiva sin que pueda producirse indefensión, con cita de la STC 63/1982. El recurso de reposición fue desestimado con fecha 23 de enero de 1986, por haber sido presentado fuera de plazo. Paralelamente, el 20 de enero de 1986, el recurrente presentó un escrito proponiendo diversos medios de prueba. Esta solicitud fue desestimada por providencia de 23 de enero de 1986, con base en que el escrito había sido presentado fuera del período de proposición de prueba. Contra dicha providencia se interpuso igualmente recurso de reposición, que fue desestimado. </w:t>
      </w:r>
    </w:p>
    <w:p w:rsidR="00A12D44" w:rsidRDefault="00A12D44" w:rsidP="00A12D44">
      <w:pPr>
        <w:pStyle w:val="TextoNormal"/>
      </w:pPr>
      <w:r>
        <w:t xml:space="preserve">d) En el escrito de conclusiones de la primera instancia, el recurrente y los codemandados insistieron en la irregularidad del emplazamiento, con invocación nuevamente de la STC de 20 de octubre de 1982 a efectos de un eventual recurso de amparo. Asimismo, estando los autos en apelación ante la Audiencia Territorial de Sevilla (aunque la Sentencia de la segunda instancia fue dictada por la Sección Quinta de la Audiencia Provincial de Sevilla, presumiblemente por la entrada en vigor de las previsiones de la L.O.P.J. tras la aprobación de la Ley de Demarcación y Planta Judicial), se interesó práctica de prueba y petición de nulidad de actuaciones, solicitudes estas que fueron rechazadas por Auto de 3 de noviembre de 1987, con base en que la parte solicitante no había hecho uso, en su momento, de los recursos que la ley establece previos al de nulidad, máxime teniendo en cuenta su personación durante la tramitación del pleito y la posibilidad de haber denunciado ante el Juez competente en primera instancia las irregularidades advertidas. Contra el mencionado Auto se interpuso recurso de súplica, que fue desestimado. Igualmente en la vista de la apelación se hizo mención de la irregularidad del emplazamiento y sus con- secuencias, desatendiendo la Audiencia en la Sentencia las peticiones del recurrente y los codemandando por idéntico motivo al consignado en los Autos precedentes. </w:t>
      </w:r>
    </w:p>
    <w:p w:rsidR="00A12D44" w:rsidRDefault="00A12D44" w:rsidP="00A12D44">
      <w:pPr>
        <w:pStyle w:val="TextoNormal"/>
      </w:pPr>
      <w:r>
        <w:t>e) Contra la Sentencia de apelación de la Sección Quinta de la Audiencia Provincial de Sevilla se interpuso recurso de casación. en el que -dejando aparte otros motivos-, al amparo del núm. 1 del art. 1692 L.E.C., esto es, por exceso de jurisdicción, se alegaba la infracción del art. 24.1 C.E. en concordancia con los arts. 2.1, 5.1 y 7.3 L.O.P.J. El recurso fue desestimado por la Sala Primera TS sobre la base de inidoneidad del art. 1692, 1. L.E.C. para denunciar algo distinto de la falta de jurisdicción y por la falta de coherencia y rigor lógico en la articulación del motivo de casación.</w:t>
      </w:r>
    </w:p>
    <w:p w:rsidR="00A12D44" w:rsidRDefault="00A12D44" w:rsidP="00A12D44">
      <w:pPr>
        <w:pStyle w:val="TextoNormal"/>
      </w:pPr>
    </w:p>
    <w:p w:rsidR="00A12D44" w:rsidRDefault="00A12D44" w:rsidP="00A12D44">
      <w:pPr>
        <w:pStyle w:val="TextoNormal"/>
      </w:pPr>
      <w:r w:rsidRPr="00A12D44">
        <w:rPr>
          <w:rStyle w:val="NumeroAFNegritaCaracter"/>
        </w:rPr>
        <w:t>3</w:t>
      </w:r>
      <w:r>
        <w:t>. El recurrente alega la vulneración de los derechos protegidos por el art. 24.1 y 2 C.E. La vulneración de la prohibición de indefensión consagrada por el art. 241 C.E. deriva, según el recurrente, de la irregularidad del emplazamiento para comparecer y contestar a la demanda en domicilio distinto del legalmente debido, así como de la negativa sucesiva de los órganos jurisdiccionales que conocieron en las respectivas instancias a permitir la práctica de prueba por parte del recurrente y los otros codemandados. Dicha negativa habría conllevado igualmente la vulneración del derecho de defensa y del derecho a los medios de prueba pertinentes para la defensa, consagrados en el art. 24.2 C.E. En consecuencia, solicita que, estimado el amparo, se anulen las actuaciones desde el momento en que, compareciendo en el proceso, se le impidió formular proposición de prueba.</w:t>
      </w:r>
    </w:p>
    <w:p w:rsidR="00A12D44" w:rsidRDefault="00A12D44" w:rsidP="00A12D44">
      <w:pPr>
        <w:pStyle w:val="TextoNormal"/>
      </w:pPr>
    </w:p>
    <w:p w:rsidR="00A12D44" w:rsidRDefault="00A12D44" w:rsidP="00A12D44">
      <w:pPr>
        <w:pStyle w:val="TextoNormal"/>
      </w:pPr>
      <w:r w:rsidRPr="00A12D44">
        <w:rPr>
          <w:rStyle w:val="NumeroAFNegritaCaracter"/>
        </w:rPr>
        <w:t>4</w:t>
      </w:r>
      <w:r>
        <w:t xml:space="preserve">. La Sección, por providencia de 30 de marzo de 1992, acuerda tener por interpuesto el recurso de amparo y, a tenor de lo dispuesto en el art. 50.3 LOTC, conceder un plazo </w:t>
      </w:r>
      <w:r>
        <w:lastRenderedPageBreak/>
        <w:t>común de diez días al Ministerio Fiscal y al solicitante del amparo, para que aleguen lo que estimen pertinente sobre la posible existencia de la causa de inadmisión consistente en la falta de agotamiento de los recursos utilizables dentro de la vía judicial en relación con los derechos fundamentales cuya vulneración se alega [art. 50.1 a), en relación con el art. 44.1 a) LOTC].</w:t>
      </w:r>
    </w:p>
    <w:p w:rsidR="00A12D44" w:rsidRDefault="00A12D44" w:rsidP="00A12D44">
      <w:pPr>
        <w:pStyle w:val="TextoNormal"/>
      </w:pPr>
    </w:p>
    <w:p w:rsidR="00A12D44" w:rsidRDefault="00A12D44" w:rsidP="00A12D44">
      <w:pPr>
        <w:pStyle w:val="TextoNormal"/>
      </w:pPr>
      <w:r w:rsidRPr="00A12D44">
        <w:rPr>
          <w:rStyle w:val="NumeroAFNegritaCaracter"/>
        </w:rPr>
        <w:t>5</w:t>
      </w:r>
      <w:r>
        <w:t>. Por escrito de 7 de abril de 1992, que tiene entrada en este Tribunal el día 10 de abril, la parte recurrente alega haber cumplido con el requisito del agotamiento de los recursos utilizables dentro de la vía judicial, dado que ha acreditado haber realizado las siguientes actuaciones procesales: un escrito proponiendo prueba, un recurso de reposición frente a la providencia que denegó la solicitud de proposición de prueba,, el escrito de conclusiones de la primera instancia, un recurso de apelación frente a la Sentencia de primera instancia, una petición de nulidad de actuaciones y de recibimiento a prueba en segunda instancia, un recurso de súplica frente al Auto que denegó dicha petición y un recurso de casación.</w:t>
      </w:r>
    </w:p>
    <w:p w:rsidR="00A12D44" w:rsidRDefault="00A12D44" w:rsidP="00A12D44">
      <w:pPr>
        <w:pStyle w:val="TextoNormal"/>
      </w:pPr>
    </w:p>
    <w:p w:rsidR="00A12D44" w:rsidRDefault="00A12D44" w:rsidP="00A12D44">
      <w:pPr>
        <w:pStyle w:val="TextoNormal"/>
      </w:pPr>
      <w:r w:rsidRPr="00A12D44">
        <w:rPr>
          <w:rStyle w:val="NumeroAFNegritaCaracter"/>
        </w:rPr>
        <w:t>6</w:t>
      </w:r>
      <w:r>
        <w:t xml:space="preserve">. El Ministerio Fiscal, dentro del plazo concedido, presenta un escrito en el que se pronuncia a favor de la inadmisión del recurso de amparo por la concurrencia del motivo señalado, con base en la siguiente argumentación: </w:t>
      </w:r>
    </w:p>
    <w:p w:rsidR="00A12D44" w:rsidRDefault="00A12D44" w:rsidP="00A12D44">
      <w:pPr>
        <w:pStyle w:val="TextoNormal"/>
      </w:pPr>
      <w:r>
        <w:t xml:space="preserve">a) La pretensión de amparo no se dirige contra ninguna de las Sentencias de instancia ni contra la del Tribunal Supremo. El objeto de la pretensión de amparo es, en esencia, determinar si el demandante sufrió indefensión al impedírsele el acceso al proceso, en su momento, como consecuencia del emplazamiento efectuado en un lugar que no era su domicilio, impidiendo de esta manera que pudiera personarse y contestar la demanda. </w:t>
      </w:r>
    </w:p>
    <w:p w:rsidR="00A12D44" w:rsidRDefault="00A12D44" w:rsidP="00A12D44">
      <w:pPr>
        <w:pStyle w:val="TextoNormal"/>
      </w:pPr>
      <w:r>
        <w:t xml:space="preserve">b) Por la incidencia que los actos de comunicación -en particular, citaciones y emplazamientos- tienen en el derecho fundamental a la defensa, reconocido en el art. 24.1 de la Constitución, es de todo punto necesario que se ajusten a las normas procesales que ordenan dichos actos, porque como ha puesto de relieve ese Tribunal, el emplazamiento y, en su caso, la citación no son formalismos, sino una garantía para el afectado en el procedimiento y una carga que corresponde llevar a cabo al órgano judicial, y que, además, forma parte del contenido esencial del derecho consagrado en el art. 24 de la Constitución (Sentencias, entre otras, 37/1984 y 16/1989), porque los actos de comunicación son el instrumento por el que el ordenamiento jurídico posibilita la defensa en el proceso de los derechos e intereses cuestionados al poner en conocimiento de las partes el acto o resolución judicial. Por eso la no realización del acto de comunicación, o la realización defectuosa pueden colocar a las partes en una situación de clara indefensión. Pero también es doctrina consagrada que la indefensión provocada por el órgano judicial al no realizar en forma el acto de comunicación ha de ser material, es decir, ha de producirse en circunstancias tales que el interesado no pueda ejercitar sus derechos, y que no existe indefensión cuando el interesado conoce por otros medios el contenido del acto de comunciación omitido o incorrectamente practicado, o cuando no le ha impedido personarse en el proceso y ejercitar en él sus derechos. </w:t>
      </w:r>
    </w:p>
    <w:p w:rsidR="00A12D44" w:rsidRDefault="00A12D44" w:rsidP="00A12D44">
      <w:pPr>
        <w:pStyle w:val="TextoNormal"/>
      </w:pPr>
      <w:r>
        <w:t xml:space="preserve">En este caso, la falta de emplazamiento en el domicilio del demandado recurrente podrá constituir tal vez una irregularidad procesal, pero no constituye indefensión, porque no impidió que pudiera personarse en la primera instancia, antes de dictar Sentencia, teniendo ocasión por tanto de ejercitar su derecho de defensa, de proponer y practicar pruebas -el declarado en rebeldía en primera instancia tiene abierta la posibilidad de hacerlo en la segunda instancia-, de denunciar el defecto procesal, de oponerse a la pretensión deducida </w:t>
      </w:r>
      <w:r>
        <w:lastRenderedPageBreak/>
        <w:t xml:space="preserve">por la parte actora, de interponer recurso de apelación e, incluso, como realmente sucedió en este caso, de formular recurso de casación. Es decir, el defecto inicial que presuntamente pudiera haberse emitido al realizar el emplazamiento, no impidió al recurrente en amparo ejercitar su defensa, y, como se ha dicho, la falta de emplazamiento personal en una infracción que sólo comporta lesión constitucional cuando la parte se ve colocada en el proceso en situación de verdadera indefensión. </w:t>
      </w:r>
    </w:p>
    <w:p w:rsidR="00A12D44" w:rsidRDefault="00A12D44" w:rsidP="00A12D44">
      <w:pPr>
        <w:pStyle w:val="TextoNormal"/>
      </w:pPr>
      <w:r>
        <w:t>c) A todo ello hay que agregar que el recurrente en amparo cuando se personó en primera instancia no trató de ejercitar los recursos que la ley establece como previos al de nulidad, al conocer la irregularidad del emplazamiento, según pone de manifiesto la Sentencia de apelación cuando en esta alzada se alegó la indefensión al no haber sido emplazado el demandado en el domicilio designado en el escrito de demanda. Esta falta de agotamiento de los recursos legales en vía judicial es bastante para acordar la inadmisión del recurso de amparo por concurrir la causa prevista en el art. 50.1 a), en relación con el art. 44.1 a), ambos de la LOTC.</w:t>
      </w:r>
    </w:p>
    <w:p w:rsidR="00A12D44" w:rsidRDefault="00A12D44" w:rsidP="00A12D44">
      <w:pPr>
        <w:pStyle w:val="TextoNormal"/>
      </w:pPr>
    </w:p>
    <w:p w:rsidR="00A12D44" w:rsidRDefault="00A12D44" w:rsidP="00A12D44">
      <w:pPr>
        <w:pStyle w:val="TextoNormalNegritaCentrado"/>
        <w:keepNext/>
      </w:pPr>
      <w:r>
        <w:t>II. Fundamentos jurídicos</w:t>
      </w:r>
    </w:p>
    <w:p w:rsidR="00A12D44" w:rsidRDefault="00A12D44" w:rsidP="00A12D44">
      <w:pPr>
        <w:pStyle w:val="TextoNormalNegritaCentrado"/>
        <w:keepNext/>
      </w:pPr>
    </w:p>
    <w:p w:rsidR="00A12D44" w:rsidRDefault="00A12D44" w:rsidP="00A12D44">
      <w:pPr>
        <w:pStyle w:val="TextoNormal"/>
      </w:pPr>
      <w:r w:rsidRPr="00A12D44">
        <w:rPr>
          <w:rStyle w:val="NumeroAFNegritaCaracter"/>
        </w:rPr>
        <w:t>1</w:t>
      </w:r>
      <w:r>
        <w:t>. El examen de la admisibilidad del presente recurso de amparo exige realizar ciertas consideraciones previas sobre su objeto. Razona el Ministerio Fiscal que el objeto de la pretensión de amparo es, en esencia, determinar si el demandante sufrió indefensión por realizarse el emplazamiento en un lugar que no era su domicilio. En ese sentido, continúa el Fiscal, aun admitiendo que se haya producido una irregularidad procesal, ésta no sería constitutiva de indefensión, porque no impidió al recurrente comparecer en la primera instancia y ejercitar su derecho de defensa. Si ese fuera el objeto exclusivo del presente amparo, nada más habría que añadir; mas el recurso de amparo se centra en el hecho de que, comparecido el recurrente que había sido rebelde involuntario, se le privó indebidamente de la facultad de proponer prueba. La secuencia de las denegaciones a las solicitudes de proposición de prueba es la siguiente. El recurrente, situado en rebeldía involuntaria por un emplazamiento irregular, comparece cuando el procedimiento de menor cuantía se halla en fase de práctica de prueba y solicita, entre otros extremos, la concesión de plazo para proponer prueba. El Juez dicta providencia teniéndole por comparecido, pero no provee respecto del plazo para proponer prueba. El recurrente interpone recurso de reposición frente a dicha providencia, que es desestimado por haber sido interpuesto fuera de plazo. Paralelamente, presenta un escrito proponiendo la práctica de diversos medios de prueba, el cual es desestimado por providencia que declara que ha precluido el trámite de proposición. Dicha providencia es recurrida en reposición y el recurso desestimado. En segunda instancia se reitera la solicitud de práctica de prueba, pero se deniega sobre la base de que se debían haber utilizado los mecanismos adecuados durante la primera instancia. Finalmente, al amparo del número 1.0 del art. 1692 L.E.C. - motivo claramente inadecuado- se recurre en casación,</w:t>
      </w:r>
    </w:p>
    <w:p w:rsidR="00A12D44" w:rsidRDefault="00A12D44" w:rsidP="00A12D44">
      <w:pPr>
        <w:pStyle w:val="TextoNormal"/>
      </w:pPr>
    </w:p>
    <w:p w:rsidR="00A12D44" w:rsidRDefault="00A12D44" w:rsidP="00A12D44">
      <w:pPr>
        <w:pStyle w:val="TextoNormal"/>
      </w:pPr>
      <w:r w:rsidRPr="00A12D44">
        <w:rPr>
          <w:rStyle w:val="NumeroAFNegritaCaracter"/>
        </w:rPr>
        <w:t>2</w:t>
      </w:r>
      <w:r>
        <w:t>. A la vista de dichas actuaciones, hay que estimar que concurre la causa de inadmisión contenida en el art. 50.1 a) LOTC, en relación con el art. 44.1 a) LOTC, respecto de las alegadas vulneraciones de la prohibición de indefensión, garantizada por el art. 24.1 C.E., y de los derechos de defensa y a los medios de prueba pertinentes para la defensa, garantizados por el art. 24.2 C.E. En efecto, como admite el recurrente y señalan las resoluciones judiciales impugnadas, frente a la providencia que no proveyó acerca de la solici</w:t>
      </w:r>
      <w:r>
        <w:lastRenderedPageBreak/>
        <w:t>tud de práctica de prueba, se planteó un recurso de reposición extemporáneo, que fue desestimado. Los posteriores y numerosos recursos y solicitudes del recurrente instando la nulidad de actuaciones y la posibilidad de proponer y practicar prueba no son aptos para subsanar la falta de utilización tempestiva del remedio procesal oportuno. Como se señaló en la STC 195/1990, admitida que una concreta declaración de rebeldía no fue debida a una voluntaria incomparecencia inicial del demandado, sino a un emplazamiento del que no se tuvo conocimiento real y efectivo, las consecuencias perjudiciales que para la defensa del demandado rebelde se hubieran producido por preclusión del plazo para la realización de actos de alegación y prueba deben ser remediadas por el órgano jurisdiccional en el momento mismo en que el demandado ponga fin a la rebeldía mediante su comparecencia enjuicio. Mas a dicha subsanación debe diligentemente colaborar el interesado mediante la utilización de los recursos procesales legalmente previstos (STC 102/1987); en este caso, el tempestivo recurso de reposición frente a la providencia que le tuvo por comparecido.</w:t>
      </w:r>
    </w:p>
    <w:p w:rsidR="00A12D44" w:rsidRDefault="00A12D44" w:rsidP="00A12D44">
      <w:pPr>
        <w:pStyle w:val="TextoNormal"/>
      </w:pPr>
      <w:r>
        <w:t>A mayor abundamiento, el recurrente no ha concretado en sus alegaciones cuál fue el efecto que se derivó de la pérdida de la posibilidad de proponer prueba, extremo éste imprescindible para que este Tribunal pueda considerar, incluso prima facie en fase de admisión, que efectivamente se produjo indefensión.</w:t>
      </w:r>
    </w:p>
    <w:p w:rsidR="00A12D44" w:rsidRDefault="00A12D44" w:rsidP="00A12D44">
      <w:pPr>
        <w:pStyle w:val="TextoNormal"/>
      </w:pPr>
    </w:p>
    <w:p w:rsidR="00A12D44" w:rsidRDefault="00A12D44" w:rsidP="00A12D44">
      <w:pPr>
        <w:pStyle w:val="TextoNormal"/>
      </w:pPr>
    </w:p>
    <w:p w:rsidR="00A12D44" w:rsidRDefault="00A12D44" w:rsidP="00A12D44">
      <w:pPr>
        <w:pStyle w:val="TextoNormal"/>
      </w:pPr>
    </w:p>
    <w:p w:rsidR="00A12D44" w:rsidRDefault="00A12D44" w:rsidP="00A12D44">
      <w:pPr>
        <w:pStyle w:val="TextoNormalCentrado"/>
      </w:pPr>
      <w:r>
        <w:t>ACUERDA</w:t>
      </w:r>
    </w:p>
    <w:p w:rsidR="00A12D44" w:rsidRDefault="00A12D44" w:rsidP="00A12D44">
      <w:pPr>
        <w:pStyle w:val="TextoNormalCentrado"/>
      </w:pPr>
    </w:p>
    <w:p w:rsidR="00A12D44" w:rsidRDefault="00A12D44" w:rsidP="00A12D44">
      <w:pPr>
        <w:pStyle w:val="TextoNormal"/>
      </w:pPr>
      <w:r>
        <w:t>En virtud de lo expuesto, la Sección acuerda la inadmisión del presente recurso de amparo y el archivo de las actuaciones.</w:t>
      </w:r>
    </w:p>
    <w:p w:rsidR="00A12D44" w:rsidRDefault="00A12D44" w:rsidP="00A12D44">
      <w:pPr>
        <w:pStyle w:val="TextoNormal"/>
      </w:pPr>
    </w:p>
    <w:p w:rsidR="00A12D44" w:rsidRDefault="00A12D44" w:rsidP="00815992">
      <w:pPr>
        <w:pStyle w:val="TextoNormal"/>
      </w:pPr>
      <w:r>
        <w:t>Madrid, a veintinueve de abril de mil novecientos noventa y dos.</w:t>
      </w:r>
    </w:p>
    <w:p w:rsidR="00815992" w:rsidRDefault="00815992">
      <w:pPr>
        <w:rPr>
          <w:rFonts w:ascii="Times New Roman" w:eastAsia="Times New Roman" w:hAnsi="Times New Roman" w:cs="Times New Roman"/>
          <w:sz w:val="24"/>
          <w:szCs w:val="24"/>
          <w:lang w:eastAsia="es-ES"/>
        </w:rPr>
      </w:pPr>
      <w:r>
        <w:br w:type="page"/>
      </w:r>
    </w:p>
    <w:p w:rsidR="00815992" w:rsidRDefault="00815992" w:rsidP="00A12D44">
      <w:pPr>
        <w:pStyle w:val="ParrafoNormal"/>
      </w:pPr>
    </w:p>
    <w:p w:rsidR="00815992" w:rsidRDefault="00815992" w:rsidP="00815992">
      <w:pPr>
        <w:pStyle w:val="TextoNormal"/>
      </w:pPr>
    </w:p>
    <w:p w:rsidR="00815992" w:rsidRDefault="00815992" w:rsidP="00815992">
      <w:pPr>
        <w:pStyle w:val="TextoNormal"/>
      </w:pPr>
    </w:p>
    <w:p w:rsidR="00815992" w:rsidRDefault="00815992" w:rsidP="00815992">
      <w:pPr>
        <w:pStyle w:val="TextoNormal"/>
      </w:pPr>
    </w:p>
    <w:p w:rsidR="00815992" w:rsidRDefault="009B4005" w:rsidP="00815992">
      <w:pPr>
        <w:pStyle w:val="Ttulondice"/>
        <w:suppressAutoHyphens/>
      </w:pPr>
      <w:r>
        <w:t>3.</w:t>
      </w:r>
      <w:r w:rsidR="00CC1839">
        <w:t xml:space="preserve"> ÍNDICE DE DISPOSICIONES CON FUERZA DE LEY IMPUGNADAS</w:t>
      </w: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pPr>
    </w:p>
    <w:p w:rsidR="00815992" w:rsidRDefault="00815992" w:rsidP="00815992">
      <w:pPr>
        <w:pStyle w:val="TextoNormal"/>
      </w:pPr>
      <w:bookmarkStart w:id="186" w:name="INDICE22802"/>
      <w:bookmarkEnd w:id="186"/>
    </w:p>
    <w:p w:rsidR="00815992" w:rsidRDefault="00AA3AB7" w:rsidP="00815992">
      <w:pPr>
        <w:pStyle w:val="TextoIndiceNivel2"/>
        <w:suppressAutoHyphens/>
      </w:pPr>
      <w:r>
        <w:t>A) Disposiciones con fuerza de ley del Estado</w:t>
      </w:r>
    </w:p>
    <w:p w:rsidR="00815992" w:rsidRDefault="00815992" w:rsidP="00815992">
      <w:pPr>
        <w:pStyle w:val="TextoIndiceNivel2"/>
      </w:pPr>
    </w:p>
    <w:p w:rsidR="00815992" w:rsidRDefault="00815992" w:rsidP="00815992">
      <w:pPr>
        <w:pStyle w:val="TextoNormalNegritaCursivandice"/>
      </w:pPr>
      <w:r>
        <w:t>Real Decreto de 3 de febrero de 1881. Ley de enjuiciamiento civil</w:t>
      </w:r>
    </w:p>
    <w:p w:rsidR="00815992" w:rsidRDefault="00815992" w:rsidP="00815992">
      <w:pPr>
        <w:pStyle w:val="SangriaFrancesaArticulo"/>
      </w:pPr>
      <w:r w:rsidRPr="00815992">
        <w:rPr>
          <w:rStyle w:val="TextoNormalNegritaCaracter"/>
        </w:rPr>
        <w:t>Artículo 1435 penúltimo párrafo frase primera</w:t>
      </w:r>
      <w:r>
        <w:t xml:space="preserve"> </w:t>
      </w:r>
      <w:r w:rsidRPr="00815992">
        <w:rPr>
          <w:rStyle w:val="TextoNormalCaracter"/>
        </w:rPr>
        <w:t>(redactado por la Ley 34/1984, de 6 de agosto)</w:t>
      </w:r>
      <w:r w:rsidRPr="00815992">
        <w:rPr>
          <w:rStyle w:val="TextoNormalNegritaCaracter"/>
        </w:rPr>
        <w:t>.</w:t>
      </w:r>
      <w:r w:rsidRPr="00815992">
        <w:rPr>
          <w:rStyle w:val="TextoNormalCaracter"/>
        </w:rPr>
        <w:t>-</w:t>
      </w:r>
      <w:r>
        <w:t xml:space="preserve"> Sentencias </w:t>
      </w:r>
      <w:hyperlink w:anchor="SENTENCIA_1992_14" w:history="1">
        <w:r w:rsidRPr="00815992">
          <w:rPr>
            <w:rStyle w:val="TextoNormalCaracter"/>
          </w:rPr>
          <w:t>14/1992</w:t>
        </w:r>
      </w:hyperlink>
      <w:r>
        <w:t xml:space="preserve">; </w:t>
      </w:r>
      <w:hyperlink w:anchor="SENTENCIA_1992_26" w:history="1">
        <w:r w:rsidRPr="00815992">
          <w:rPr>
            <w:rStyle w:val="TextoNormalCaracter"/>
          </w:rPr>
          <w:t>26/1992</w:t>
        </w:r>
      </w:hyperlink>
      <w:r>
        <w:t>.</w:t>
      </w:r>
    </w:p>
    <w:p w:rsidR="00815992" w:rsidRDefault="00815992" w:rsidP="00815992">
      <w:pPr>
        <w:pStyle w:val="SangriaFrancesaArticulo"/>
      </w:pPr>
    </w:p>
    <w:p w:rsidR="00815992" w:rsidRDefault="00815992" w:rsidP="00815992">
      <w:pPr>
        <w:pStyle w:val="TextoNormalNegritaCursivandice"/>
      </w:pPr>
      <w:r>
        <w:t>Ley 30/1984, de 2 de agosto. Medidas para la reforma de la función pública</w:t>
      </w:r>
    </w:p>
    <w:p w:rsidR="00815992" w:rsidRDefault="00815992" w:rsidP="00815992">
      <w:pPr>
        <w:pStyle w:val="SangriaFrancesaArticulo"/>
      </w:pPr>
      <w:r w:rsidRPr="00815992">
        <w:rPr>
          <w:rStyle w:val="TextoNormalNegritaCaracter"/>
        </w:rPr>
        <w:t>Artículo 32.</w:t>
      </w:r>
      <w:r w:rsidRPr="00815992">
        <w:rPr>
          <w:rStyle w:val="TextoNormalCaracter"/>
        </w:rPr>
        <w:t>-</w:t>
      </w:r>
      <w:r>
        <w:t xml:space="preserve"> Sentencia </w:t>
      </w:r>
      <w:hyperlink w:anchor="SENTENCIA_1992_5" w:history="1">
        <w:r w:rsidRPr="00815992">
          <w:rPr>
            <w:rStyle w:val="TextoNormalCaracter"/>
          </w:rPr>
          <w:t>5/1992</w:t>
        </w:r>
      </w:hyperlink>
      <w:r>
        <w:t xml:space="preserve"> (declara inconstitucional parcialmente).</w:t>
      </w:r>
    </w:p>
    <w:p w:rsidR="00815992" w:rsidRDefault="00815992" w:rsidP="00815992">
      <w:pPr>
        <w:pStyle w:val="SangriaFrancesaArticulo"/>
      </w:pPr>
    </w:p>
    <w:p w:rsidR="00815992" w:rsidRDefault="00815992" w:rsidP="00815992">
      <w:pPr>
        <w:pStyle w:val="TextoNormalNegritaCursivandice"/>
      </w:pPr>
      <w:r>
        <w:t>Ley 34/1984, de 6 de agosto. Reforma de la Ley de enjuiciamiento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14" w:history="1">
        <w:r w:rsidRPr="00815992">
          <w:rPr>
            <w:rStyle w:val="TextoNormalCaracter"/>
          </w:rPr>
          <w:t>14/1992</w:t>
        </w:r>
      </w:hyperlink>
      <w:r>
        <w:t xml:space="preserve">; </w:t>
      </w:r>
      <w:hyperlink w:anchor="SENTENCIA_1992_26" w:history="1">
        <w:r w:rsidRPr="00815992">
          <w:rPr>
            <w:rStyle w:val="TextoNormalCaracter"/>
          </w:rPr>
          <w:t>26/1992</w:t>
        </w:r>
      </w:hyperlink>
      <w:r>
        <w:t>.</w:t>
      </w:r>
    </w:p>
    <w:p w:rsidR="00815992" w:rsidRDefault="00815992" w:rsidP="00815992">
      <w:pPr>
        <w:pStyle w:val="SangriaFrancesaArticulo"/>
      </w:pPr>
    </w:p>
    <w:p w:rsidR="00815992" w:rsidRDefault="00815992" w:rsidP="00815992">
      <w:pPr>
        <w:pStyle w:val="TextoNormalNegritaCursivandice"/>
      </w:pPr>
      <w:r>
        <w:t>Ley 33/1987, de 23 de diciembre. Presupuestos generales del Estado para 1988</w:t>
      </w:r>
    </w:p>
    <w:p w:rsidR="00815992" w:rsidRDefault="00815992" w:rsidP="00815992">
      <w:pPr>
        <w:pStyle w:val="SangriaFrancesaArticulo"/>
      </w:pPr>
      <w:r w:rsidRPr="00815992">
        <w:rPr>
          <w:rStyle w:val="TextoNormalNegritaCaracter"/>
        </w:rPr>
        <w:t>Determinadas partidas presupuestarias correspondientes a las secciones 19, 26.</w:t>
      </w:r>
      <w:r w:rsidRPr="00815992">
        <w:rPr>
          <w:rStyle w:val="TextoNormalCaracter"/>
        </w:rPr>
        <w:t>-</w:t>
      </w:r>
      <w:r>
        <w:t xml:space="preserve"> Sentencia </w:t>
      </w:r>
      <w:hyperlink w:anchor="SENTENCIA_1992_13" w:history="1">
        <w:r w:rsidRPr="00815992">
          <w:rPr>
            <w:rStyle w:val="TextoNormalCaracter"/>
          </w:rPr>
          <w:t>13/1992</w:t>
        </w:r>
      </w:hyperlink>
      <w:r>
        <w:t>.</w:t>
      </w:r>
    </w:p>
    <w:p w:rsidR="00815992" w:rsidRDefault="00815992" w:rsidP="00815992">
      <w:pPr>
        <w:pStyle w:val="SangriaFrancesaArticulo"/>
      </w:pPr>
      <w:r w:rsidRPr="00815992">
        <w:rPr>
          <w:rStyle w:val="TextoNormalNegritaCaracter"/>
        </w:rPr>
        <w:t>Sección 26, servicio 09, programa 413 A, artículo 42, sección 26, servicio 11, programa 412 F, artículo 42.</w:t>
      </w:r>
      <w:r w:rsidRPr="00815992">
        <w:rPr>
          <w:rStyle w:val="TextoNormalCaracter"/>
        </w:rPr>
        <w:t>-</w:t>
      </w:r>
      <w:r>
        <w:t xml:space="preserve"> Sentencia </w:t>
      </w:r>
      <w:hyperlink w:anchor="SENTENCIA_1992_13" w:history="1">
        <w:r w:rsidRPr="00815992">
          <w:rPr>
            <w:rStyle w:val="TextoNormalCaracter"/>
          </w:rPr>
          <w:t>13/1992</w:t>
        </w:r>
      </w:hyperlink>
      <w:r>
        <w:t xml:space="preserve"> (declara inconstitucional).</w:t>
      </w:r>
    </w:p>
    <w:p w:rsidR="00815992" w:rsidRDefault="00815992" w:rsidP="00815992">
      <w:pPr>
        <w:pStyle w:val="SangriaFrancesaArticulo"/>
      </w:pPr>
    </w:p>
    <w:p w:rsidR="00815992" w:rsidRDefault="00815992" w:rsidP="00815992">
      <w:pPr>
        <w:pStyle w:val="TextoNormalNegritaCursivandice"/>
      </w:pPr>
      <w:r>
        <w:t>Ley 37/1988, de 28 de diciembre. Presupuestos generales del Estado para 1989</w:t>
      </w:r>
    </w:p>
    <w:p w:rsidR="00815992" w:rsidRDefault="00815992" w:rsidP="00815992">
      <w:pPr>
        <w:pStyle w:val="SangriaFrancesaArticulo"/>
      </w:pPr>
      <w:r w:rsidRPr="00815992">
        <w:rPr>
          <w:rStyle w:val="TextoNormalNegritaCaracter"/>
        </w:rPr>
        <w:t>Determinadas partidas presupuestarias correspondientes a las secciones 13, 16 a 21, 23, 24, 26, 27.</w:t>
      </w:r>
      <w:r w:rsidRPr="00815992">
        <w:rPr>
          <w:rStyle w:val="TextoNormalCaracter"/>
        </w:rPr>
        <w:t>-</w:t>
      </w:r>
      <w:r>
        <w:t xml:space="preserve"> Sentencia </w:t>
      </w:r>
      <w:hyperlink w:anchor="SENTENCIA_1992_13" w:history="1">
        <w:r w:rsidRPr="00815992">
          <w:rPr>
            <w:rStyle w:val="TextoNormalCaracter"/>
          </w:rPr>
          <w:t>13/1992</w:t>
        </w:r>
      </w:hyperlink>
      <w:r>
        <w:t>.</w:t>
      </w:r>
    </w:p>
    <w:p w:rsidR="00815992" w:rsidRDefault="00815992" w:rsidP="00815992">
      <w:pPr>
        <w:pStyle w:val="SangriaFrancesaArticulo"/>
      </w:pPr>
      <w:r w:rsidRPr="00815992">
        <w:rPr>
          <w:rStyle w:val="TextoNormalNegritaCaracter"/>
        </w:rPr>
        <w:t>Sección 18, servicio 06, programa 422 D, concepto 442, sección 26, servicio 09, programa 413 A, conceptos 421.02, 422.02, 423.2, 424.02, 425.02, 426.02, 427.02, 428.02, 429.02 y 429.12, sección 26, servicio 10, programa 313 G, concepto 422, sección 26, servicio 11, programa 412 F, conceptos 421.02, 423.02, 427.02, sección 27, servicio 01, programa 313 L, conceptos 486, 781.</w:t>
      </w:r>
      <w:r w:rsidRPr="00815992">
        <w:rPr>
          <w:rStyle w:val="TextoNormalCaracter"/>
        </w:rPr>
        <w:t>-</w:t>
      </w:r>
      <w:r>
        <w:t xml:space="preserve"> Sentencia </w:t>
      </w:r>
      <w:hyperlink w:anchor="SENTENCIA_1992_13" w:history="1">
        <w:r w:rsidRPr="00815992">
          <w:rPr>
            <w:rStyle w:val="TextoNormalCaracter"/>
          </w:rPr>
          <w:t>13/1992</w:t>
        </w:r>
      </w:hyperlink>
      <w:r>
        <w:t xml:space="preserve"> (declara inconstitucional).</w:t>
      </w:r>
    </w:p>
    <w:p w:rsidR="00815992" w:rsidRDefault="00815992" w:rsidP="00815992">
      <w:pPr>
        <w:pStyle w:val="TextoNormal"/>
      </w:pPr>
    </w:p>
    <w:p w:rsidR="00815992" w:rsidRDefault="00815992" w:rsidP="00815992">
      <w:pPr>
        <w:pStyle w:val="SangriaFrancesaArticulo"/>
      </w:pPr>
      <w:bookmarkStart w:id="187" w:name="INDICE22806"/>
    </w:p>
    <w:bookmarkEnd w:id="187"/>
    <w:p w:rsidR="00815992" w:rsidRDefault="005841EA" w:rsidP="00815992">
      <w:pPr>
        <w:pStyle w:val="TextoIndiceNivel2"/>
        <w:suppressAutoHyphens/>
      </w:pPr>
      <w:r>
        <w:t>B) Disposiciones con fuerza de ley de las Comunidades Autónomas</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B.1) Baleares</w:t>
      </w:r>
    </w:p>
    <w:p w:rsidR="00815992" w:rsidRDefault="00815992" w:rsidP="00815992">
      <w:pPr>
        <w:pStyle w:val="TextoNormalNegritaCentrado"/>
      </w:pPr>
    </w:p>
    <w:p w:rsidR="00815992" w:rsidRDefault="00815992" w:rsidP="00815992">
      <w:pPr>
        <w:pStyle w:val="TextoNormalNegritaCursivandice"/>
      </w:pPr>
      <w:r>
        <w:t>Ley del Parlamento de las Illes Balears 8/1986, de 26 de noviembre. Electoral de la Comunidad Autónoma</w:t>
      </w:r>
    </w:p>
    <w:p w:rsidR="00815992" w:rsidRDefault="00815992" w:rsidP="00815992">
      <w:pPr>
        <w:pStyle w:val="SangriaFrancesaArticulo"/>
      </w:pPr>
      <w:r w:rsidRPr="00815992">
        <w:rPr>
          <w:rStyle w:val="TextoNormalNegritaCaracter"/>
        </w:rPr>
        <w:t>Artículo 12.2.</w:t>
      </w:r>
      <w:r w:rsidRPr="00815992">
        <w:rPr>
          <w:rStyle w:val="TextoNormalCaracter"/>
        </w:rPr>
        <w:t>-</w:t>
      </w:r>
      <w:r>
        <w:t xml:space="preserve"> Sentencia </w:t>
      </w:r>
      <w:hyperlink w:anchor="SENTENCIA_1992_45" w:history="1">
        <w:r w:rsidRPr="00815992">
          <w:rPr>
            <w:rStyle w:val="TextoNormalCaracter"/>
          </w:rPr>
          <w:t>45/1992</w:t>
        </w:r>
      </w:hyperlink>
      <w:r>
        <w:t>.</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B.2) Cataluña</w:t>
      </w:r>
    </w:p>
    <w:p w:rsidR="00815992" w:rsidRDefault="00815992" w:rsidP="00815992">
      <w:pPr>
        <w:pStyle w:val="TextoNormalNegritaCentrado"/>
      </w:pPr>
    </w:p>
    <w:p w:rsidR="00815992" w:rsidRDefault="00815992" w:rsidP="00815992">
      <w:pPr>
        <w:pStyle w:val="TextoNormalNegritaCursivandice"/>
      </w:pPr>
      <w:r>
        <w:t>Ley del Parlamento de Cataluña 1/1986, de 25 de febrero. Regularización de la pesca marítima</w:t>
      </w:r>
    </w:p>
    <w:p w:rsidR="00815992" w:rsidRDefault="00815992" w:rsidP="00815992">
      <w:pPr>
        <w:pStyle w:val="SangriaFrancesaArticulo"/>
      </w:pPr>
      <w:r w:rsidRPr="00815992">
        <w:rPr>
          <w:rStyle w:val="TextoNormalNegritaCaracter"/>
        </w:rPr>
        <w:t>Artículos 2 a 4, 9 a 11.</w:t>
      </w:r>
      <w:r w:rsidRPr="00815992">
        <w:rPr>
          <w:rStyle w:val="TextoNormalCaracter"/>
        </w:rPr>
        <w:t>-</w:t>
      </w:r>
      <w:r>
        <w:t xml:space="preserve"> Sentencia </w:t>
      </w:r>
      <w:hyperlink w:anchor="SENTENCIA_1992_44" w:history="1">
        <w:r w:rsidRPr="00815992">
          <w:rPr>
            <w:rStyle w:val="TextoNormalCaracter"/>
          </w:rPr>
          <w:t>44/1992</w:t>
        </w:r>
      </w:hyperlink>
      <w:r>
        <w:t>.</w:t>
      </w:r>
    </w:p>
    <w:p w:rsidR="00815992" w:rsidRDefault="00815992" w:rsidP="00815992">
      <w:pPr>
        <w:pStyle w:val="SangriaFrancesaArticulo"/>
      </w:pPr>
      <w:r w:rsidRPr="00815992">
        <w:rPr>
          <w:rStyle w:val="TextoNormalNegritaCaracter"/>
        </w:rPr>
        <w:t>Artículos 2 inciso "actividades que inciden en la extracción y producción de los recursos marinos renovables", 3 apartados a) a c), 4.1, 9.2, 10 apartados a) a d), 11 apartados 1, 2.</w:t>
      </w:r>
      <w:r w:rsidRPr="00815992">
        <w:rPr>
          <w:rStyle w:val="TextoNormalCaracter"/>
        </w:rPr>
        <w:t>-</w:t>
      </w:r>
      <w:r>
        <w:t xml:space="preserve"> Sentencia </w:t>
      </w:r>
      <w:hyperlink w:anchor="SENTENCIA_1992_44" w:history="1">
        <w:r w:rsidRPr="00815992">
          <w:rPr>
            <w:rStyle w:val="TextoNormalCaracter"/>
          </w:rPr>
          <w:t>44/1992</w:t>
        </w:r>
      </w:hyperlink>
      <w:r>
        <w:t xml:space="preserve"> (anula).</w:t>
      </w:r>
    </w:p>
    <w:p w:rsidR="00815992" w:rsidRDefault="00815992" w:rsidP="00815992">
      <w:pPr>
        <w:pStyle w:val="SangriaFrancesaArticulo"/>
      </w:pPr>
      <w:r w:rsidRPr="00815992">
        <w:rPr>
          <w:rStyle w:val="TextoNormalNegritaCaracter"/>
        </w:rPr>
        <w:t>Artículo 11.3.</w:t>
      </w:r>
      <w:r w:rsidRPr="00815992">
        <w:rPr>
          <w:rStyle w:val="TextoNormalCaracter"/>
        </w:rPr>
        <w:t>-</w:t>
      </w:r>
      <w:r>
        <w:t xml:space="preserve"> Sentencia </w:t>
      </w:r>
      <w:hyperlink w:anchor="SENTENCIA_1992_44" w:history="1">
        <w:r w:rsidRPr="00815992">
          <w:rPr>
            <w:rStyle w:val="TextoNormalCaracter"/>
          </w:rPr>
          <w:t>44/1992</w:t>
        </w:r>
      </w:hyperlink>
      <w:r>
        <w:t xml:space="preserve"> (interpreta).</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B.3) Madrid</w:t>
      </w:r>
    </w:p>
    <w:p w:rsidR="00815992" w:rsidRDefault="00815992" w:rsidP="00815992">
      <w:pPr>
        <w:pStyle w:val="TextoNormalNegritaCentrado"/>
      </w:pPr>
    </w:p>
    <w:p w:rsidR="00815992" w:rsidRDefault="00815992" w:rsidP="00815992">
      <w:pPr>
        <w:pStyle w:val="TextoNormalNegritaCursivandice"/>
      </w:pPr>
      <w:r>
        <w:t>Ley de la Asamblea de Madrid 4/1984, de 10 de febrero. Medidas de disciplina urbanística</w:t>
      </w:r>
    </w:p>
    <w:p w:rsidR="00815992" w:rsidRDefault="00815992" w:rsidP="00815992">
      <w:pPr>
        <w:pStyle w:val="SangriaFrancesaArticulo"/>
      </w:pPr>
      <w:r w:rsidRPr="00815992">
        <w:rPr>
          <w:rStyle w:val="TextoNormalNegritaCaracter"/>
        </w:rPr>
        <w:t>Artículo 26.3.</w:t>
      </w:r>
      <w:r w:rsidRPr="00815992">
        <w:rPr>
          <w:rStyle w:val="TextoNormalCaracter"/>
        </w:rPr>
        <w:t>-</w:t>
      </w:r>
      <w:r>
        <w:t xml:space="preserve"> Sentencia </w:t>
      </w:r>
      <w:hyperlink w:anchor="SENTENCIA_1992_46" w:history="1">
        <w:r w:rsidRPr="00815992">
          <w:rPr>
            <w:rStyle w:val="TextoNormalCaracter"/>
          </w:rPr>
          <w:t>46/1992</w:t>
        </w:r>
      </w:hyperlink>
      <w:r>
        <w:t xml:space="preserve"> (anula).</w:t>
      </w:r>
    </w:p>
    <w:p w:rsidR="00815992" w:rsidRDefault="00815992">
      <w:pPr>
        <w:rPr>
          <w:rFonts w:ascii="Times New Roman" w:eastAsia="Times New Roman" w:hAnsi="Times New Roman" w:cs="Times New Roman"/>
          <w:sz w:val="24"/>
          <w:szCs w:val="24"/>
          <w:lang w:eastAsia="es-ES"/>
        </w:rPr>
      </w:pPr>
      <w:r>
        <w:br w:type="page"/>
      </w:r>
    </w:p>
    <w:p w:rsidR="00815992" w:rsidRDefault="00815992" w:rsidP="00815992">
      <w:pPr>
        <w:pStyle w:val="SangriaFrancesaArticulo"/>
      </w:pPr>
    </w:p>
    <w:p w:rsidR="00815992" w:rsidRDefault="00815992" w:rsidP="00815992">
      <w:pPr>
        <w:pStyle w:val="TextoNormal"/>
      </w:pPr>
    </w:p>
    <w:p w:rsidR="00815992" w:rsidRDefault="00815992" w:rsidP="00815992">
      <w:pPr>
        <w:pStyle w:val="TextoNormal"/>
      </w:pPr>
    </w:p>
    <w:p w:rsidR="00815992" w:rsidRDefault="00815992" w:rsidP="00815992">
      <w:pPr>
        <w:pStyle w:val="TextoNormal"/>
      </w:pPr>
    </w:p>
    <w:p w:rsidR="00815992" w:rsidRDefault="002D0A82" w:rsidP="00815992">
      <w:pPr>
        <w:pStyle w:val="Ttulondice"/>
        <w:suppressAutoHyphens/>
      </w:pPr>
      <w:r>
        <w:t>4. ÍNDICE DE DISPOSICIONES GENERALES IMPUGNADAS</w:t>
      </w: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pPr>
    </w:p>
    <w:p w:rsidR="00815992" w:rsidRDefault="00815992" w:rsidP="00815992">
      <w:pPr>
        <w:pStyle w:val="TextoNormal"/>
      </w:pPr>
      <w:bookmarkStart w:id="188" w:name="INDICE22803"/>
      <w:bookmarkEnd w:id="188"/>
    </w:p>
    <w:p w:rsidR="00815992" w:rsidRDefault="00815992" w:rsidP="00815992">
      <w:pPr>
        <w:pStyle w:val="TextoIndiceNivel2"/>
        <w:suppressAutoHyphens/>
      </w:pPr>
      <w:r>
        <w:t>A) Disposiciones del Estado</w:t>
      </w:r>
    </w:p>
    <w:p w:rsidR="00815992" w:rsidRDefault="00815992" w:rsidP="00815992">
      <w:pPr>
        <w:pStyle w:val="TextoIndiceNivel2"/>
      </w:pPr>
    </w:p>
    <w:p w:rsidR="00815992" w:rsidRDefault="00815992" w:rsidP="00815992">
      <w:pPr>
        <w:pStyle w:val="TextoNormalNegritaCursivandice"/>
      </w:pPr>
      <w:r>
        <w:t>Real Decreto 1348/1985, de 1 de agosto. Reglamento de ordenación del seguro privado</w:t>
      </w:r>
    </w:p>
    <w:p w:rsidR="00815992" w:rsidRDefault="00815992" w:rsidP="00815992">
      <w:pPr>
        <w:pStyle w:val="SangriaFrancesaArticulo"/>
      </w:pPr>
      <w:r w:rsidRPr="00815992">
        <w:rPr>
          <w:rStyle w:val="TextoNormalNegritaCaracter"/>
        </w:rPr>
        <w:t>Artículos 2 apartados 1, 4 y 5, 3 d), 8 apartado 1, 12 apartado 1, 14 apartados 2, 3, 25 apartados 1, epígrafes a) a d), f) hasta el primer punto, h) e i) hasta el primer punto, 2 hasta el primer punto, 3 último párrafo, 38 apartados 1, epígrafes a) a e) hasta primer punto, 2 primer punto, 40, 41, 42.1, 43 apartados 1 inciso a partir de y en particular, 2, 45 apartados 2 a 4, 6 a 8, 46 apartados 1, 4, 47.2, 48, 55 apartados 2 a 7, 56.2, 57 a 61, 63 a 65, 66 apartados 1 epígrafes b) a e), 2, 3, 4 inciso a partir de su extensión, 5, 67 a 75, 77 a 79, 85 apartados 2, 3, 92.1, 113.2, 117 apartados 1 a 4, 124.1, disposición final primera apartados 1, 2, 4, disposiciones transitorias segunda, sexta apartado 2.</w:t>
      </w:r>
      <w:r w:rsidRPr="00815992">
        <w:rPr>
          <w:rStyle w:val="TextoNormalCaracter"/>
        </w:rPr>
        <w:t>-</w:t>
      </w:r>
      <w:r>
        <w:t xml:space="preserve"> Sentencia </w:t>
      </w:r>
      <w:hyperlink w:anchor="SENTENCIA_1992_35" w:history="1">
        <w:r w:rsidRPr="00815992">
          <w:rPr>
            <w:rStyle w:val="TextoNormalCaracter"/>
          </w:rPr>
          <w:t>35/1992</w:t>
        </w:r>
      </w:hyperlink>
      <w:r>
        <w:t>.</w:t>
      </w:r>
    </w:p>
    <w:p w:rsidR="00815992" w:rsidRDefault="00815992" w:rsidP="00815992">
      <w:pPr>
        <w:pStyle w:val="SangriaFrancesaArticulo"/>
      </w:pPr>
      <w:r w:rsidRPr="00815992">
        <w:rPr>
          <w:rStyle w:val="TextoNormalNegritaCaracter"/>
        </w:rPr>
        <w:t>Artículos 26 a 36, 39, 49, 50, 51 apartados 2 a 4, 52 a 54, 85 apartados 2, 3, 93 apartados 1, 3, 106 apartado 1.</w:t>
      </w:r>
      <w:r w:rsidRPr="00815992">
        <w:rPr>
          <w:rStyle w:val="TextoNormalCaracter"/>
        </w:rPr>
        <w:t>-</w:t>
      </w:r>
      <w:r>
        <w:t xml:space="preserve"> Sentencia </w:t>
      </w:r>
      <w:hyperlink w:anchor="SENTENCIA_1992_35" w:history="1">
        <w:r w:rsidRPr="00815992">
          <w:rPr>
            <w:rStyle w:val="TextoNormalCaracter"/>
          </w:rPr>
          <w:t>35/1992</w:t>
        </w:r>
      </w:hyperlink>
      <w:r>
        <w:t xml:space="preserve"> (delimita).</w:t>
      </w:r>
    </w:p>
    <w:p w:rsidR="00815992" w:rsidRDefault="00815992" w:rsidP="00815992">
      <w:pPr>
        <w:pStyle w:val="SangriaFrancesaArticulo"/>
      </w:pPr>
      <w:r w:rsidRPr="00815992">
        <w:rPr>
          <w:rStyle w:val="TextoNormalNegritaCaracter"/>
        </w:rPr>
        <w:t>Disposición final primera, apartado 3.</w:t>
      </w:r>
      <w:r w:rsidRPr="00815992">
        <w:rPr>
          <w:rStyle w:val="TextoNormalCaracter"/>
        </w:rPr>
        <w:t>-</w:t>
      </w:r>
      <w:r>
        <w:t xml:space="preserve"> Sentencia </w:t>
      </w:r>
      <w:hyperlink w:anchor="SENTENCIA_1992_35" w:history="1">
        <w:r w:rsidRPr="00815992">
          <w:rPr>
            <w:rStyle w:val="TextoNormalCaracter"/>
          </w:rPr>
          <w:t>35/1992</w:t>
        </w:r>
      </w:hyperlink>
      <w:r>
        <w:t xml:space="preserve"> (anula parcialmente).</w:t>
      </w:r>
    </w:p>
    <w:p w:rsidR="00815992" w:rsidRDefault="00815992" w:rsidP="00815992">
      <w:pPr>
        <w:pStyle w:val="SangriaFrancesaArticulo"/>
      </w:pPr>
    </w:p>
    <w:p w:rsidR="00815992" w:rsidRDefault="00815992" w:rsidP="00815992">
      <w:pPr>
        <w:pStyle w:val="TextoNormalNegritaCursivandice"/>
      </w:pPr>
      <w:r>
        <w:t>Real Decreto 942/1986, de 9 de mayo. Normas generales para la realización de experimentaciones educativas en centros docentes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8" w:history="1">
        <w:r w:rsidRPr="00815992">
          <w:rPr>
            <w:rStyle w:val="TextoNormalCaracter"/>
          </w:rPr>
          <w:t>38/1992</w:t>
        </w:r>
      </w:hyperlink>
      <w:r>
        <w:t xml:space="preserve"> (delimita).</w:t>
      </w:r>
    </w:p>
    <w:p w:rsidR="00815992" w:rsidRDefault="00815992" w:rsidP="00815992">
      <w:pPr>
        <w:pStyle w:val="SangriaFrancesaArticulo"/>
      </w:pPr>
    </w:p>
    <w:p w:rsidR="00815992" w:rsidRDefault="00815992" w:rsidP="00815992">
      <w:pPr>
        <w:pStyle w:val="TextoNormalNegritaCursivandice"/>
      </w:pPr>
      <w:r>
        <w:t>Real Decreto 518/1987, de 15 de abril. Prestación de servicios mínimos por «Unión Eléctrica Fenosa, S.A.», con motivo de la huelga prevista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8" w:history="1">
        <w:r w:rsidRPr="00815992">
          <w:rPr>
            <w:rStyle w:val="TextoNormalCaracter"/>
          </w:rPr>
          <w:t>8/1992</w:t>
        </w:r>
      </w:hyperlink>
      <w:r>
        <w:t>.</w:t>
      </w:r>
    </w:p>
    <w:p w:rsidR="00815992" w:rsidRDefault="00815992" w:rsidP="00815992">
      <w:pPr>
        <w:pStyle w:val="TextoNormal"/>
      </w:pPr>
    </w:p>
    <w:p w:rsidR="00815992" w:rsidRDefault="00815992" w:rsidP="00815992">
      <w:pPr>
        <w:pStyle w:val="SangriaFrancesaArticulo"/>
      </w:pPr>
      <w:bookmarkStart w:id="189" w:name="INDICE22824"/>
    </w:p>
    <w:bookmarkEnd w:id="189"/>
    <w:p w:rsidR="00815992" w:rsidRDefault="00815992" w:rsidP="00815992">
      <w:pPr>
        <w:pStyle w:val="TextoIndiceNivel2"/>
        <w:suppressAutoHyphens/>
      </w:pPr>
      <w:r>
        <w:lastRenderedPageBreak/>
        <w:t>B) Disposiciones de las Comunidades y Ciudades Autónomas</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B.1) Cantabria</w:t>
      </w:r>
    </w:p>
    <w:p w:rsidR="00815992" w:rsidRDefault="00815992" w:rsidP="00815992">
      <w:pPr>
        <w:pStyle w:val="TextoNormalNegritaCentrado"/>
      </w:pPr>
    </w:p>
    <w:p w:rsidR="00815992" w:rsidRDefault="00815992" w:rsidP="00815992">
      <w:pPr>
        <w:pStyle w:val="TextoNormalNegritaCursivandice"/>
      </w:pPr>
      <w:r>
        <w:t>Resolución del Presidente de la Asamblea Regional de Cantabria, de 21 de julio de 1988, privando a un Diputado de su condición de tal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7" w:history="1">
        <w:r w:rsidRPr="00815992">
          <w:rPr>
            <w:rStyle w:val="TextoNormalCaracter"/>
          </w:rPr>
          <w:t>7/1992</w:t>
        </w:r>
      </w:hyperlink>
      <w:r>
        <w:t>.</w:t>
      </w:r>
    </w:p>
    <w:p w:rsidR="00815992" w:rsidRDefault="00815992" w:rsidP="00815992">
      <w:pPr>
        <w:pStyle w:val="SangriaFrancesaArticulo"/>
      </w:pPr>
    </w:p>
    <w:p w:rsidR="00815992" w:rsidRDefault="00815992" w:rsidP="00815992">
      <w:pPr>
        <w:pStyle w:val="TextoNormalNegritaCursivandice"/>
      </w:pPr>
      <w:r>
        <w:t>Resolución del Presidente de la Asamblea Regional de Cantabria, de 11 de abril de 1989, por la que se suspende al Grupo Mixto de la percepción de la asignación mensual por grupo parlamentario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5" w:history="1">
        <w:r w:rsidRPr="00815992">
          <w:rPr>
            <w:rStyle w:val="TextoNormalCaracter"/>
          </w:rPr>
          <w:t>15/1992</w:t>
        </w:r>
      </w:hyperlink>
      <w:r>
        <w:t>.</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B.2) Cataluña</w:t>
      </w:r>
    </w:p>
    <w:p w:rsidR="00815992" w:rsidRDefault="00815992" w:rsidP="00815992">
      <w:pPr>
        <w:pStyle w:val="TextoNormalNegritaCentrado"/>
      </w:pPr>
    </w:p>
    <w:p w:rsidR="00815992" w:rsidRDefault="00815992" w:rsidP="00815992">
      <w:pPr>
        <w:pStyle w:val="TextoNormalNegritaCursivandice"/>
      </w:pPr>
      <w:r>
        <w:t>Decreto de la Generalidad de Cataluña 79/1986, de 20 de marzo. Medidas de regulación del esfuerzo de pesca en el litoral de Cataluña</w:t>
      </w:r>
    </w:p>
    <w:p w:rsidR="00815992" w:rsidRDefault="00815992" w:rsidP="00815992">
      <w:pPr>
        <w:pStyle w:val="SangriaFrancesaArticulo"/>
      </w:pPr>
      <w:r w:rsidRPr="00815992">
        <w:rPr>
          <w:rStyle w:val="TextoNormalNegritaCaracter"/>
        </w:rPr>
        <w:t>Artículos 1, 6, 8, 9.</w:t>
      </w:r>
      <w:r w:rsidRPr="00815992">
        <w:rPr>
          <w:rStyle w:val="TextoNormalCaracter"/>
        </w:rPr>
        <w:t>-</w:t>
      </w:r>
      <w:r>
        <w:t xml:space="preserve"> Sentencia </w:t>
      </w:r>
      <w:hyperlink w:anchor="SENTENCIA_1992_57" w:history="1">
        <w:r w:rsidRPr="00815992">
          <w:rPr>
            <w:rStyle w:val="TextoNormalCaracter"/>
          </w:rPr>
          <w:t>57/1992</w:t>
        </w:r>
      </w:hyperlink>
      <w:r>
        <w:t xml:space="preserve"> (delimita).</w:t>
      </w:r>
    </w:p>
    <w:p w:rsidR="00815992" w:rsidRDefault="00815992" w:rsidP="00815992">
      <w:pPr>
        <w:pStyle w:val="SangriaFrancesaArticulo"/>
      </w:pPr>
      <w:r w:rsidRPr="00815992">
        <w:rPr>
          <w:rStyle w:val="TextoNormalNegritaCaracter"/>
        </w:rPr>
        <w:t>Artículos 2 a 4.</w:t>
      </w:r>
      <w:r w:rsidRPr="00815992">
        <w:rPr>
          <w:rStyle w:val="TextoNormalCaracter"/>
        </w:rPr>
        <w:t>-</w:t>
      </w:r>
      <w:r>
        <w:t xml:space="preserve"> Sentencia </w:t>
      </w:r>
      <w:hyperlink w:anchor="SENTENCIA_1992_57" w:history="1">
        <w:r w:rsidRPr="00815992">
          <w:rPr>
            <w:rStyle w:val="TextoNormalCaracter"/>
          </w:rPr>
          <w:t>57/1992</w:t>
        </w:r>
      </w:hyperlink>
      <w:r>
        <w:t xml:space="preserve"> (anula).</w:t>
      </w:r>
    </w:p>
    <w:p w:rsidR="00815992" w:rsidRDefault="00815992" w:rsidP="00815992">
      <w:pPr>
        <w:pStyle w:val="SangriaFrancesaArticulo"/>
      </w:pPr>
      <w:r w:rsidRPr="00815992">
        <w:rPr>
          <w:rStyle w:val="TextoNormalNegritaCaracter"/>
        </w:rPr>
        <w:t>Artículo 5 apartados 1, 2.</w:t>
      </w:r>
      <w:r w:rsidRPr="00815992">
        <w:rPr>
          <w:rStyle w:val="TextoNormalCaracter"/>
        </w:rPr>
        <w:t>-</w:t>
      </w:r>
      <w:r>
        <w:t xml:space="preserve"> Sentencia </w:t>
      </w:r>
      <w:hyperlink w:anchor="SENTENCIA_1992_57" w:history="1">
        <w:r w:rsidRPr="00815992">
          <w:rPr>
            <w:rStyle w:val="TextoNormalCaracter"/>
          </w:rPr>
          <w:t>57/1992</w:t>
        </w:r>
      </w:hyperlink>
      <w:r>
        <w:t xml:space="preserve"> (anula).</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Sentencia </w:t>
      </w:r>
      <w:hyperlink w:anchor="SENTENCIA_1992_57" w:history="1">
        <w:r w:rsidRPr="00815992">
          <w:rPr>
            <w:rStyle w:val="TextoNormalCaracter"/>
          </w:rPr>
          <w:t>57/1992</w:t>
        </w:r>
      </w:hyperlink>
      <w:r>
        <w:t xml:space="preserve"> (anula).</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B.3) Galicia</w:t>
      </w:r>
    </w:p>
    <w:p w:rsidR="00815992" w:rsidRDefault="00815992" w:rsidP="00815992">
      <w:pPr>
        <w:pStyle w:val="TextoNormalNegritaCentrado"/>
      </w:pPr>
    </w:p>
    <w:p w:rsidR="00815992" w:rsidRDefault="00815992" w:rsidP="00815992">
      <w:pPr>
        <w:pStyle w:val="TextoNormalNegritaCursivandice"/>
      </w:pPr>
      <w:r>
        <w:t>Decreto de la Junta de Galicia 262/1991, de 12 de julio. Reglamento de la actividad pesquera y de las artes y aparejos de pesca permisibles en Galicia</w:t>
      </w:r>
    </w:p>
    <w:p w:rsidR="00815992" w:rsidRDefault="00815992" w:rsidP="00815992">
      <w:pPr>
        <w:pStyle w:val="SangriaFrancesaArticulo"/>
      </w:pPr>
      <w:r w:rsidRPr="00815992">
        <w:rPr>
          <w:rStyle w:val="TextoNormalNegritaCaracter"/>
        </w:rPr>
        <w:t>Artículo 84.</w:t>
      </w:r>
      <w:r w:rsidRPr="00815992">
        <w:rPr>
          <w:rStyle w:val="TextoNormalCaracter"/>
        </w:rPr>
        <w:t>-</w:t>
      </w:r>
      <w:r>
        <w:t xml:space="preserve"> Sentencia </w:t>
      </w:r>
      <w:hyperlink w:anchor="SENTENCIA_1992_68" w:history="1">
        <w:r w:rsidRPr="00815992">
          <w:rPr>
            <w:rStyle w:val="TextoNormalCaracter"/>
          </w:rPr>
          <w:t>68/1992</w:t>
        </w:r>
      </w:hyperlink>
      <w:r>
        <w:t xml:space="preserve"> (delimita).</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B.4) Madrid</w:t>
      </w:r>
    </w:p>
    <w:p w:rsidR="00815992" w:rsidRDefault="00815992" w:rsidP="00815992">
      <w:pPr>
        <w:pStyle w:val="TextoNormalNegritaCentrado"/>
      </w:pPr>
    </w:p>
    <w:p w:rsidR="00815992" w:rsidRDefault="00815992" w:rsidP="00815992">
      <w:pPr>
        <w:pStyle w:val="TextoNormalNegritaCursivandice"/>
      </w:pPr>
      <w:r>
        <w:t>Resolución de 12 de junio de 1986 de la Dirección General de Industria de la Comunidad Autónoma de Madrid de autorización y declaración de utilidad pública la ampliación de la subestación 400/200 KV "San Sebastián de los Reyes".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67" w:history="1">
        <w:r w:rsidRPr="00815992">
          <w:rPr>
            <w:rStyle w:val="TextoNormalCaracter"/>
          </w:rPr>
          <w:t>67/1992</w:t>
        </w:r>
      </w:hyperlink>
      <w:r>
        <w:t xml:space="preserve"> (anula).</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B.5) País Vasco</w:t>
      </w:r>
    </w:p>
    <w:p w:rsidR="00815992" w:rsidRDefault="00815992" w:rsidP="00815992">
      <w:pPr>
        <w:pStyle w:val="TextoNormalNegritaCentrado"/>
      </w:pPr>
    </w:p>
    <w:p w:rsidR="00815992" w:rsidRDefault="00815992" w:rsidP="00815992">
      <w:pPr>
        <w:pStyle w:val="TextoNormalNegritaCursivandice"/>
      </w:pPr>
      <w:r>
        <w:t>Orden del Departamento de Economía y Hacienda del Gobierno Vasco, de 17 de julio de 1985. Establece los valores aptos para la cobertura de reservas técnicas de entidades de seguros, de capitalización y ahorro y entidades de previsión social voluntaria</w:t>
      </w:r>
    </w:p>
    <w:p w:rsidR="00815992" w:rsidRDefault="00815992" w:rsidP="00815992">
      <w:pPr>
        <w:pStyle w:val="SangriaFrancesaArticulo"/>
      </w:pPr>
      <w:r w:rsidRPr="00815992">
        <w:rPr>
          <w:rStyle w:val="TextoNormalNegritaCaracter"/>
        </w:rPr>
        <w:lastRenderedPageBreak/>
        <w:t>En general.</w:t>
      </w:r>
      <w:r w:rsidRPr="00815992">
        <w:rPr>
          <w:rStyle w:val="TextoNormalCaracter"/>
        </w:rPr>
        <w:t>-</w:t>
      </w:r>
      <w:r>
        <w:t xml:space="preserve"> Sentencia </w:t>
      </w:r>
      <w:hyperlink w:anchor="SENTENCIA_1992_36" w:history="1">
        <w:r w:rsidRPr="00815992">
          <w:rPr>
            <w:rStyle w:val="TextoNormalCaracter"/>
          </w:rPr>
          <w:t>36/1992</w:t>
        </w:r>
      </w:hyperlink>
      <w:r>
        <w:t xml:space="preserve"> (anula).</w:t>
      </w:r>
    </w:p>
    <w:p w:rsidR="00815992" w:rsidRDefault="00815992">
      <w:pPr>
        <w:rPr>
          <w:rFonts w:ascii="Times New Roman" w:eastAsia="Times New Roman" w:hAnsi="Times New Roman" w:cs="Times New Roman"/>
          <w:sz w:val="24"/>
          <w:szCs w:val="24"/>
          <w:lang w:eastAsia="es-ES"/>
        </w:rPr>
      </w:pPr>
      <w:r>
        <w:br w:type="page"/>
      </w:r>
    </w:p>
    <w:p w:rsidR="00815992" w:rsidRDefault="00815992" w:rsidP="00815992">
      <w:pPr>
        <w:pStyle w:val="SangriaFrancesaArticulo"/>
      </w:pPr>
    </w:p>
    <w:p w:rsidR="00815992" w:rsidRDefault="00815992" w:rsidP="00815992">
      <w:pPr>
        <w:pStyle w:val="TextoNormal"/>
      </w:pPr>
    </w:p>
    <w:p w:rsidR="00815992" w:rsidRDefault="00815992" w:rsidP="00815992">
      <w:pPr>
        <w:pStyle w:val="TextoNormal"/>
      </w:pPr>
    </w:p>
    <w:p w:rsidR="00815992" w:rsidRDefault="00815992" w:rsidP="00815992">
      <w:pPr>
        <w:pStyle w:val="TextoNormal"/>
      </w:pPr>
    </w:p>
    <w:p w:rsidR="00815992" w:rsidRDefault="00815992" w:rsidP="00815992">
      <w:pPr>
        <w:pStyle w:val="Ttulondice"/>
        <w:suppressAutoHyphens/>
      </w:pPr>
      <w:r>
        <w:t>5. ÍNDICE DE DISPOSICIONES CITADAS</w:t>
      </w: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pPr>
    </w:p>
    <w:p w:rsidR="00815992" w:rsidRDefault="00815992" w:rsidP="00815992">
      <w:pPr>
        <w:pStyle w:val="TextoNormal"/>
      </w:pPr>
      <w:bookmarkStart w:id="190" w:name="INDICE22804"/>
      <w:bookmarkEnd w:id="190"/>
    </w:p>
    <w:p w:rsidR="00815992" w:rsidRDefault="00815992" w:rsidP="00815992">
      <w:pPr>
        <w:pStyle w:val="TextoIndiceNivel2"/>
        <w:suppressAutoHyphens/>
      </w:pPr>
      <w:r>
        <w:t>A) Constitución</w:t>
      </w:r>
    </w:p>
    <w:p w:rsidR="00815992" w:rsidRDefault="00815992" w:rsidP="00815992">
      <w:pPr>
        <w:pStyle w:val="TextoIndiceNivel2"/>
      </w:pPr>
    </w:p>
    <w:p w:rsidR="00815992" w:rsidRDefault="00815992" w:rsidP="00815992">
      <w:pPr>
        <w:pStyle w:val="TextoNormalNegritaCursivandice"/>
      </w:pPr>
      <w:r>
        <w:t>Constitución española, de 27 de diciembre de 1978</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2" w:history="1">
        <w:r w:rsidRPr="00815992">
          <w:rPr>
            <w:rStyle w:val="TextoNormalCaracter"/>
          </w:rPr>
          <w:t>2/1992</w:t>
        </w:r>
      </w:hyperlink>
      <w:r>
        <w:t xml:space="preserve">, f. 5; </w:t>
      </w:r>
      <w:hyperlink w:anchor="SENTENCIA_1992_3" w:history="1">
        <w:r w:rsidRPr="00815992">
          <w:rPr>
            <w:rStyle w:val="TextoNormalCaracter"/>
          </w:rPr>
          <w:t>3/1992</w:t>
        </w:r>
      </w:hyperlink>
      <w:r>
        <w:t xml:space="preserve">, f. 5; </w:t>
      </w:r>
      <w:hyperlink w:anchor="SENTENCIA_1992_4" w:history="1">
        <w:r w:rsidRPr="00815992">
          <w:rPr>
            <w:rStyle w:val="TextoNormalCaracter"/>
          </w:rPr>
          <w:t>4/1992</w:t>
        </w:r>
      </w:hyperlink>
      <w:r>
        <w:t xml:space="preserve">, f. 3; </w:t>
      </w:r>
      <w:hyperlink w:anchor="SENTENCIA_1992_5" w:history="1">
        <w:r w:rsidRPr="00815992">
          <w:rPr>
            <w:rStyle w:val="TextoNormalCaracter"/>
          </w:rPr>
          <w:t>5/1992</w:t>
        </w:r>
      </w:hyperlink>
      <w:r>
        <w:t xml:space="preserve">, ff. 4 a 7; </w:t>
      </w:r>
      <w:hyperlink w:anchor="SENTENCIA_1992_6" w:history="1">
        <w:r w:rsidRPr="00815992">
          <w:rPr>
            <w:rStyle w:val="TextoNormalCaracter"/>
          </w:rPr>
          <w:t>6/1992</w:t>
        </w:r>
      </w:hyperlink>
      <w:r>
        <w:t xml:space="preserve">, f. 1; </w:t>
      </w:r>
      <w:hyperlink w:anchor="SENTENCIA_1992_10" w:history="1">
        <w:r w:rsidRPr="00815992">
          <w:rPr>
            <w:rStyle w:val="TextoNormalCaracter"/>
          </w:rPr>
          <w:t>10/1992</w:t>
        </w:r>
      </w:hyperlink>
      <w:r>
        <w:t xml:space="preserve">, f. 2; </w:t>
      </w:r>
      <w:hyperlink w:anchor="SENTENCIA_1992_11" w:history="1">
        <w:r w:rsidRPr="00815992">
          <w:rPr>
            <w:rStyle w:val="TextoNormalCaracter"/>
          </w:rPr>
          <w:t>11/1992</w:t>
        </w:r>
      </w:hyperlink>
      <w:r>
        <w:t xml:space="preserve">, f. 2; </w:t>
      </w:r>
      <w:hyperlink w:anchor="SENTENCIA_1992_13" w:history="1">
        <w:r w:rsidRPr="00815992">
          <w:rPr>
            <w:rStyle w:val="TextoNormalCaracter"/>
          </w:rPr>
          <w:t>13/1992</w:t>
        </w:r>
      </w:hyperlink>
      <w:r>
        <w:t xml:space="preserve">, ff. 2, 4 a 7, 11, 13, 16; </w:t>
      </w:r>
      <w:hyperlink w:anchor="SENTENCIA_1992_14" w:history="1">
        <w:r w:rsidRPr="00815992">
          <w:rPr>
            <w:rStyle w:val="TextoNormalCaracter"/>
          </w:rPr>
          <w:t>14/1992</w:t>
        </w:r>
      </w:hyperlink>
      <w:r>
        <w:t xml:space="preserve">, f. 10; </w:t>
      </w:r>
      <w:hyperlink w:anchor="SENTENCIA_1992_20" w:history="1">
        <w:r w:rsidRPr="00815992">
          <w:rPr>
            <w:rStyle w:val="TextoNormalCaracter"/>
          </w:rPr>
          <w:t>20/1992</w:t>
        </w:r>
      </w:hyperlink>
      <w:r>
        <w:t xml:space="preserve">, ff. 2, 3; </w:t>
      </w:r>
      <w:hyperlink w:anchor="SENTENCIA_1992_22" w:history="1">
        <w:r w:rsidRPr="00815992">
          <w:rPr>
            <w:rStyle w:val="TextoNormalCaracter"/>
          </w:rPr>
          <w:t>22/1992</w:t>
        </w:r>
      </w:hyperlink>
      <w:r>
        <w:t xml:space="preserve">, f. 3; </w:t>
      </w:r>
      <w:hyperlink w:anchor="SENTENCIA_1992_28" w:history="1">
        <w:r w:rsidRPr="00815992">
          <w:rPr>
            <w:rStyle w:val="TextoNormalCaracter"/>
          </w:rPr>
          <w:t>28/1992</w:t>
        </w:r>
      </w:hyperlink>
      <w:r>
        <w:t xml:space="preserve">, f. 4; </w:t>
      </w:r>
      <w:hyperlink w:anchor="SENTENCIA_1992_51" w:history="1">
        <w:r w:rsidRPr="00815992">
          <w:rPr>
            <w:rStyle w:val="TextoNormalCaracter"/>
          </w:rPr>
          <w:t>51/1992</w:t>
        </w:r>
      </w:hyperlink>
      <w:r>
        <w:t xml:space="preserve">, f. 2; </w:t>
      </w:r>
      <w:hyperlink w:anchor="SENTENCIA_1992_58" w:history="1">
        <w:r w:rsidRPr="00815992">
          <w:rPr>
            <w:rStyle w:val="TextoNormalCaracter"/>
          </w:rPr>
          <w:t>58/1992</w:t>
        </w:r>
      </w:hyperlink>
      <w:r>
        <w:t>, f. 5.</w:t>
      </w:r>
    </w:p>
    <w:p w:rsidR="00815992" w:rsidRDefault="00815992" w:rsidP="00815992">
      <w:pPr>
        <w:pStyle w:val="SangriaIzquierdaArticulo"/>
      </w:pPr>
      <w:r>
        <w:t xml:space="preserve">Autos </w:t>
      </w:r>
      <w:hyperlink w:anchor="AUTO_1992_9" w:history="1">
        <w:r w:rsidRPr="00815992">
          <w:rPr>
            <w:rStyle w:val="TextoNormalCaracter"/>
          </w:rPr>
          <w:t>9/1992</w:t>
        </w:r>
      </w:hyperlink>
      <w:r>
        <w:t xml:space="preserve">; </w:t>
      </w:r>
      <w:hyperlink w:anchor="AUTO_1992_19" w:history="1">
        <w:r w:rsidRPr="00815992">
          <w:rPr>
            <w:rStyle w:val="TextoNormalCaracter"/>
          </w:rPr>
          <w:t>19/1992</w:t>
        </w:r>
      </w:hyperlink>
      <w:r>
        <w:t xml:space="preserve">; </w:t>
      </w:r>
      <w:hyperlink w:anchor="AUTO_1992_22" w:history="1">
        <w:r w:rsidRPr="00815992">
          <w:rPr>
            <w:rStyle w:val="TextoNormalCaracter"/>
          </w:rPr>
          <w:t>22/1992</w:t>
        </w:r>
      </w:hyperlink>
      <w:r>
        <w:t xml:space="preserve">; </w:t>
      </w:r>
      <w:hyperlink w:anchor="AUTO_1992_31" w:history="1">
        <w:r w:rsidRPr="00815992">
          <w:rPr>
            <w:rStyle w:val="TextoNormalCaracter"/>
          </w:rPr>
          <w:t>31/1992</w:t>
        </w:r>
      </w:hyperlink>
      <w:r>
        <w:t xml:space="preserve">; </w:t>
      </w:r>
      <w:hyperlink w:anchor="AUTO_1992_62" w:history="1">
        <w:r w:rsidRPr="00815992">
          <w:rPr>
            <w:rStyle w:val="TextoNormalCaracter"/>
          </w:rPr>
          <w:t>62/1992</w:t>
        </w:r>
      </w:hyperlink>
      <w:r>
        <w:t xml:space="preserve">; </w:t>
      </w:r>
      <w:hyperlink w:anchor="AUTO_1992_72" w:history="1">
        <w:r w:rsidRPr="00815992">
          <w:rPr>
            <w:rStyle w:val="TextoNormalCaracter"/>
          </w:rPr>
          <w:t>72/1992</w:t>
        </w:r>
      </w:hyperlink>
      <w:r>
        <w:t xml:space="preserve">; </w:t>
      </w:r>
      <w:hyperlink w:anchor="AUTO_1992_79" w:history="1">
        <w:r w:rsidRPr="00815992">
          <w:rPr>
            <w:rStyle w:val="TextoNormalCaracter"/>
          </w:rPr>
          <w:t>79/1992</w:t>
        </w:r>
      </w:hyperlink>
      <w:r>
        <w:t xml:space="preserve">; </w:t>
      </w:r>
      <w:hyperlink w:anchor="AUTO_1992_80" w:history="1">
        <w:r w:rsidRPr="00815992">
          <w:rPr>
            <w:rStyle w:val="TextoNormalCaracter"/>
          </w:rPr>
          <w:t>80/1992</w:t>
        </w:r>
      </w:hyperlink>
      <w:r>
        <w:t xml:space="preserve">; </w:t>
      </w:r>
      <w:hyperlink w:anchor="AUTO_1992_83" w:history="1">
        <w:r w:rsidRPr="00815992">
          <w:rPr>
            <w:rStyle w:val="TextoNormalCaracter"/>
          </w:rPr>
          <w:t>83/1992</w:t>
        </w:r>
      </w:hyperlink>
      <w:r>
        <w:t xml:space="preserve">;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Título I, capítulo III.</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Sentencias </w:t>
      </w:r>
      <w:hyperlink w:anchor="SENTENCIA_1992_13" w:history="1">
        <w:r w:rsidRPr="00815992">
          <w:rPr>
            <w:rStyle w:val="TextoNormalCaracter"/>
          </w:rPr>
          <w:t>13/1992</w:t>
        </w:r>
      </w:hyperlink>
      <w:r>
        <w:t xml:space="preserve">, ff. 7, 14; </w:t>
      </w:r>
      <w:hyperlink w:anchor="SENTENCIA_1992_14" w:history="1">
        <w:r w:rsidRPr="00815992">
          <w:rPr>
            <w:rStyle w:val="TextoNormalCaracter"/>
          </w:rPr>
          <w:t>14/1992</w:t>
        </w:r>
      </w:hyperlink>
      <w:r>
        <w:t>, f. 11.</w:t>
      </w:r>
    </w:p>
    <w:p w:rsidR="00815992" w:rsidRDefault="00815992" w:rsidP="00815992">
      <w:pPr>
        <w:pStyle w:val="SangriaIzquierdaArticulo"/>
      </w:pPr>
      <w:r>
        <w:t xml:space="preserve">Autos </w:t>
      </w:r>
      <w:hyperlink w:anchor="AUTO_1992_27" w:history="1">
        <w:r w:rsidRPr="00815992">
          <w:rPr>
            <w:rStyle w:val="TextoNormalCaracter"/>
          </w:rPr>
          <w:t>27/1992</w:t>
        </w:r>
      </w:hyperlink>
      <w:r>
        <w:t xml:space="preserve">; </w:t>
      </w:r>
      <w:hyperlink w:anchor="AUTO_1992_112" w:history="1">
        <w:r w:rsidRPr="00815992">
          <w:rPr>
            <w:rStyle w:val="TextoNormalCaracter"/>
          </w:rPr>
          <w:t>112/1992</w:t>
        </w:r>
      </w:hyperlink>
      <w:r>
        <w:t>.</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Sentencias </w:t>
      </w:r>
      <w:hyperlink w:anchor="SENTENCIA_1992_13" w:history="1">
        <w:r w:rsidRPr="00815992">
          <w:rPr>
            <w:rStyle w:val="TextoNormalCaracter"/>
          </w:rPr>
          <w:t>13/1992</w:t>
        </w:r>
      </w:hyperlink>
      <w:r>
        <w:t xml:space="preserve">, f. 7; </w:t>
      </w:r>
      <w:hyperlink w:anchor="SENTENCIA_1992_13" w:history="1">
        <w:r w:rsidRPr="00815992">
          <w:rPr>
            <w:rStyle w:val="TextoNormalCaracter"/>
          </w:rPr>
          <w:t>13/1992</w:t>
        </w:r>
      </w:hyperlink>
      <w:r>
        <w:t>, f. 6.</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Sentencia </w:t>
      </w:r>
      <w:hyperlink w:anchor="SENTENCIA_1992_30" w:history="1">
        <w:r w:rsidRPr="00815992">
          <w:rPr>
            <w:rStyle w:val="TextoNormalCaracter"/>
          </w:rPr>
          <w:t>30/1992</w:t>
        </w:r>
      </w:hyperlink>
      <w:r>
        <w:t>, f. 3.</w:t>
      </w:r>
    </w:p>
    <w:p w:rsidR="00815992" w:rsidRDefault="00815992" w:rsidP="00815992">
      <w:pPr>
        <w:pStyle w:val="SangriaFrancesaArticulo"/>
      </w:pPr>
      <w:r w:rsidRPr="00815992">
        <w:rPr>
          <w:rStyle w:val="TextoNormalNegritaCaracter"/>
        </w:rPr>
        <w:t>Artículo 9.</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9.2.</w:t>
      </w:r>
      <w:r w:rsidRPr="00815992">
        <w:rPr>
          <w:rStyle w:val="TextoNormalCaracter"/>
        </w:rPr>
        <w:t>-</w:t>
      </w:r>
      <w:r>
        <w:t xml:space="preserve"> Sentencias </w:t>
      </w:r>
      <w:hyperlink w:anchor="SENTENCIA_1992_13" w:history="1">
        <w:r w:rsidRPr="00815992">
          <w:rPr>
            <w:rStyle w:val="TextoNormalCaracter"/>
          </w:rPr>
          <w:t>13/1992</w:t>
        </w:r>
      </w:hyperlink>
      <w:r>
        <w:t xml:space="preserve">, ff. 7, 14; </w:t>
      </w:r>
      <w:hyperlink w:anchor="SENTENCIA_1992_28" w:history="1">
        <w:r w:rsidRPr="00815992">
          <w:rPr>
            <w:rStyle w:val="TextoNormalCaracter"/>
          </w:rPr>
          <w:t>28/1992</w:t>
        </w:r>
      </w:hyperlink>
      <w:r>
        <w:t>, f. 3.</w:t>
      </w:r>
    </w:p>
    <w:p w:rsidR="00815992" w:rsidRDefault="00815992" w:rsidP="00815992">
      <w:pPr>
        <w:pStyle w:val="SangriaFrancesaArticulo"/>
      </w:pPr>
      <w:r w:rsidRPr="00815992">
        <w:rPr>
          <w:rStyle w:val="TextoNormalNegritaCaracter"/>
        </w:rPr>
        <w:t>Artículo 9.3.</w:t>
      </w:r>
      <w:r w:rsidRPr="00815992">
        <w:rPr>
          <w:rStyle w:val="TextoNormalCaracter"/>
        </w:rPr>
        <w:t>-</w:t>
      </w:r>
      <w:r>
        <w:t xml:space="preserve"> Sentencias </w:t>
      </w:r>
      <w:hyperlink w:anchor="SENTENCIA_1992_5" w:history="1">
        <w:r w:rsidRPr="00815992">
          <w:rPr>
            <w:rStyle w:val="TextoNormalCaracter"/>
          </w:rPr>
          <w:t>5/1992</w:t>
        </w:r>
      </w:hyperlink>
      <w:r>
        <w:t xml:space="preserve">, f. 7; </w:t>
      </w:r>
      <w:hyperlink w:anchor="SENTENCIA_1992_59" w:history="1">
        <w:r w:rsidRPr="00815992">
          <w:rPr>
            <w:rStyle w:val="TextoNormalCaracter"/>
          </w:rPr>
          <w:t>59/1992</w:t>
        </w:r>
      </w:hyperlink>
      <w:r>
        <w:t>, f. 4.</w:t>
      </w:r>
    </w:p>
    <w:p w:rsidR="00815992" w:rsidRDefault="00815992" w:rsidP="00815992">
      <w:pPr>
        <w:pStyle w:val="SangriaIzquierdaArticulo"/>
      </w:pPr>
      <w:r>
        <w:t xml:space="preserve">Autos </w:t>
      </w:r>
      <w:hyperlink w:anchor="AUTO_1992_12" w:history="1">
        <w:r w:rsidRPr="00815992">
          <w:rPr>
            <w:rStyle w:val="TextoNormalCaracter"/>
          </w:rPr>
          <w:t>12/1992</w:t>
        </w:r>
      </w:hyperlink>
      <w:r>
        <w:t xml:space="preserve">;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 xml:space="preserve">; </w:t>
      </w:r>
      <w:hyperlink w:anchor="AUTO_1992_105" w:history="1">
        <w:r w:rsidRPr="00815992">
          <w:rPr>
            <w:rStyle w:val="TextoNormalCaracter"/>
          </w:rPr>
          <w:t>105/1992</w:t>
        </w:r>
      </w:hyperlink>
      <w:r>
        <w:t>.</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Auto </w:t>
      </w:r>
      <w:hyperlink w:anchor="AUTO_1992_71" w:history="1">
        <w:r w:rsidRPr="00815992">
          <w:rPr>
            <w:rStyle w:val="TextoNormalCaracter"/>
          </w:rPr>
          <w:t>71/1992</w:t>
        </w:r>
      </w:hyperlink>
      <w:r>
        <w:t>.</w:t>
      </w:r>
    </w:p>
    <w:p w:rsidR="00815992" w:rsidRDefault="00815992" w:rsidP="00815992">
      <w:pPr>
        <w:pStyle w:val="SangriaFrancesaArticulo"/>
      </w:pPr>
      <w:r w:rsidRPr="00815992">
        <w:rPr>
          <w:rStyle w:val="TextoNormalNegritaCaracter"/>
        </w:rPr>
        <w:t>Artículo 10.1.</w:t>
      </w:r>
      <w:r w:rsidRPr="00815992">
        <w:rPr>
          <w:rStyle w:val="TextoNormalCaracter"/>
        </w:rPr>
        <w:t>-</w:t>
      </w:r>
      <w:r>
        <w:t xml:space="preserve"> Sentencia </w:t>
      </w:r>
      <w:hyperlink w:anchor="SENTENCIA_1992_20" w:history="1">
        <w:r w:rsidRPr="00815992">
          <w:rPr>
            <w:rStyle w:val="TextoNormalCaracter"/>
          </w:rPr>
          <w:t>20/1992</w:t>
        </w:r>
      </w:hyperlink>
      <w:r>
        <w:t>, f. 3.</w:t>
      </w:r>
    </w:p>
    <w:p w:rsidR="00815992" w:rsidRDefault="00815992" w:rsidP="00815992">
      <w:pPr>
        <w:pStyle w:val="SangriaFrancesaArticulo"/>
      </w:pPr>
      <w:r w:rsidRPr="00815992">
        <w:rPr>
          <w:rStyle w:val="TextoNormalNegritaCaracter"/>
        </w:rPr>
        <w:t>Artículo 10.2.</w:t>
      </w:r>
      <w:r w:rsidRPr="00815992">
        <w:rPr>
          <w:rStyle w:val="TextoNormalCaracter"/>
        </w:rPr>
        <w:t>-</w:t>
      </w:r>
      <w:r>
        <w:t xml:space="preserve"> Sentencias </w:t>
      </w:r>
      <w:hyperlink w:anchor="SENTENCIA_1992_21" w:history="1">
        <w:r w:rsidRPr="00815992">
          <w:rPr>
            <w:rStyle w:val="TextoNormalCaracter"/>
          </w:rPr>
          <w:t>21/1992</w:t>
        </w:r>
      </w:hyperlink>
      <w:r>
        <w:t xml:space="preserve">, ff. 1, 2;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Sentencias </w:t>
      </w:r>
      <w:hyperlink w:anchor="SENTENCIA_1992_2" w:history="1">
        <w:r w:rsidRPr="00815992">
          <w:rPr>
            <w:rStyle w:val="TextoNormalCaracter"/>
          </w:rPr>
          <w:t>2/1992</w:t>
        </w:r>
      </w:hyperlink>
      <w:r>
        <w:t xml:space="preserve">, ff. 3, 4; </w:t>
      </w:r>
      <w:hyperlink w:anchor="SENTENCIA_1992_5" w:history="1">
        <w:r w:rsidRPr="00815992">
          <w:rPr>
            <w:rStyle w:val="TextoNormalCaracter"/>
          </w:rPr>
          <w:t>5/1992</w:t>
        </w:r>
      </w:hyperlink>
      <w:r>
        <w:t xml:space="preserve">, ff. 1, 4 a 7; </w:t>
      </w:r>
      <w:hyperlink w:anchor="SENTENCIA_1992_7" w:history="1">
        <w:r w:rsidRPr="00815992">
          <w:rPr>
            <w:rStyle w:val="TextoNormalCaracter"/>
          </w:rPr>
          <w:t>7/1992</w:t>
        </w:r>
      </w:hyperlink>
      <w:r>
        <w:t xml:space="preserve">, ff. 1, 4; </w:t>
      </w:r>
      <w:hyperlink w:anchor="SENTENCIA_1992_14" w:history="1">
        <w:r w:rsidRPr="00815992">
          <w:rPr>
            <w:rStyle w:val="TextoNormalCaracter"/>
          </w:rPr>
          <w:t>14/1992</w:t>
        </w:r>
      </w:hyperlink>
      <w:r>
        <w:t xml:space="preserve">, ff. 1, 3, 5, VP; </w:t>
      </w:r>
      <w:hyperlink w:anchor="SENTENCIA_1992_20" w:history="1">
        <w:r w:rsidRPr="00815992">
          <w:rPr>
            <w:rStyle w:val="TextoNormalCaracter"/>
          </w:rPr>
          <w:t>20/1992</w:t>
        </w:r>
      </w:hyperlink>
      <w:r>
        <w:t xml:space="preserve">, f. 1; </w:t>
      </w:r>
      <w:hyperlink w:anchor="SENTENCIA_1992_21" w:history="1">
        <w:r w:rsidRPr="00815992">
          <w:rPr>
            <w:rStyle w:val="TextoNormalCaracter"/>
          </w:rPr>
          <w:t>21/1992</w:t>
        </w:r>
      </w:hyperlink>
      <w:r>
        <w:t xml:space="preserve">, ff. 1, 4; </w:t>
      </w:r>
      <w:hyperlink w:anchor="SENTENCIA_1992_25" w:history="1">
        <w:r w:rsidRPr="00815992">
          <w:rPr>
            <w:rStyle w:val="TextoNormalCaracter"/>
          </w:rPr>
          <w:t>25/1992</w:t>
        </w:r>
      </w:hyperlink>
      <w:r>
        <w:t xml:space="preserve">, f. 1; </w:t>
      </w:r>
      <w:hyperlink w:anchor="SENTENCIA_1992_27" w:history="1">
        <w:r w:rsidRPr="00815992">
          <w:rPr>
            <w:rStyle w:val="TextoNormalCaracter"/>
          </w:rPr>
          <w:t>27/1992</w:t>
        </w:r>
      </w:hyperlink>
      <w:r>
        <w:t xml:space="preserve">, ff. 1, 5; </w:t>
      </w:r>
      <w:hyperlink w:anchor="SENTENCIA_1992_28" w:history="1">
        <w:r w:rsidRPr="00815992">
          <w:rPr>
            <w:rStyle w:val="TextoNormalCaracter"/>
          </w:rPr>
          <w:t>28/1992</w:t>
        </w:r>
      </w:hyperlink>
      <w:r>
        <w:t xml:space="preserve">, ff. 1 a 3; </w:t>
      </w:r>
      <w:hyperlink w:anchor="SENTENCIA_1992_29" w:history="1">
        <w:r w:rsidRPr="00815992">
          <w:rPr>
            <w:rStyle w:val="TextoNormalCaracter"/>
          </w:rPr>
          <w:t>29/1992</w:t>
        </w:r>
      </w:hyperlink>
      <w:r>
        <w:t xml:space="preserve">, ff. 3 a 5; </w:t>
      </w:r>
      <w:hyperlink w:anchor="SENTENCIA_1992_39" w:history="1">
        <w:r w:rsidRPr="00815992">
          <w:rPr>
            <w:rStyle w:val="TextoNormalCaracter"/>
          </w:rPr>
          <w:t>39/1992</w:t>
        </w:r>
      </w:hyperlink>
      <w:r>
        <w:t xml:space="preserve">, ff. 1, 3, 4; </w:t>
      </w:r>
      <w:hyperlink w:anchor="SENTENCIA_1992_45" w:history="1">
        <w:r w:rsidRPr="00815992">
          <w:rPr>
            <w:rStyle w:val="TextoNormalCaracter"/>
          </w:rPr>
          <w:t>45/1992</w:t>
        </w:r>
      </w:hyperlink>
      <w:r>
        <w:t xml:space="preserve">, f. 1; </w:t>
      </w:r>
      <w:hyperlink w:anchor="SENTENCIA_1992_47" w:history="1">
        <w:r w:rsidRPr="00815992">
          <w:rPr>
            <w:rStyle w:val="TextoNormalCaracter"/>
          </w:rPr>
          <w:t>47/1992</w:t>
        </w:r>
      </w:hyperlink>
      <w:r>
        <w:t xml:space="preserve">, f. 3; </w:t>
      </w:r>
      <w:hyperlink w:anchor="SENTENCIA_1992_48" w:history="1">
        <w:r w:rsidRPr="00815992">
          <w:rPr>
            <w:rStyle w:val="TextoNormalCaracter"/>
          </w:rPr>
          <w:t>48/1992</w:t>
        </w:r>
      </w:hyperlink>
      <w:r>
        <w:t xml:space="preserve">, ff. 1, 2; </w:t>
      </w:r>
      <w:hyperlink w:anchor="SENTENCIA_1992_49" w:history="1">
        <w:r w:rsidRPr="00815992">
          <w:rPr>
            <w:rStyle w:val="TextoNormalCaracter"/>
          </w:rPr>
          <w:t>49/1992</w:t>
        </w:r>
      </w:hyperlink>
      <w:r>
        <w:t xml:space="preserve">, ff. 1, 2; </w:t>
      </w:r>
      <w:hyperlink w:anchor="SENTENCIA_1992_52" w:history="1">
        <w:r w:rsidRPr="00815992">
          <w:rPr>
            <w:rStyle w:val="TextoNormalCaracter"/>
          </w:rPr>
          <w:t>52/1992</w:t>
        </w:r>
      </w:hyperlink>
      <w:r>
        <w:t xml:space="preserve">, ff. 1, 3; </w:t>
      </w:r>
      <w:hyperlink w:anchor="SENTENCIA_1992_53" w:history="1">
        <w:r w:rsidRPr="00815992">
          <w:rPr>
            <w:rStyle w:val="TextoNormalCaracter"/>
          </w:rPr>
          <w:t>53/1992</w:t>
        </w:r>
      </w:hyperlink>
      <w:r>
        <w:t xml:space="preserve">, f. 2; </w:t>
      </w:r>
      <w:hyperlink w:anchor="SENTENCIA_1992_58" w:history="1">
        <w:r w:rsidRPr="00815992">
          <w:rPr>
            <w:rStyle w:val="TextoNormalCaracter"/>
          </w:rPr>
          <w:t>58/1992</w:t>
        </w:r>
      </w:hyperlink>
      <w:r>
        <w:t xml:space="preserve">, f. 2; </w:t>
      </w:r>
      <w:hyperlink w:anchor="SENTENCIA_1992_59" w:history="1">
        <w:r w:rsidRPr="00815992">
          <w:rPr>
            <w:rStyle w:val="TextoNormalCaracter"/>
          </w:rPr>
          <w:t>59/1992</w:t>
        </w:r>
      </w:hyperlink>
      <w:r>
        <w:t xml:space="preserve">, ff. 1 a 4; </w:t>
      </w:r>
      <w:hyperlink w:anchor="SENTENCIA_1992_62" w:history="1">
        <w:r w:rsidRPr="00815992">
          <w:rPr>
            <w:rStyle w:val="TextoNormalCaracter"/>
          </w:rPr>
          <w:t>62/1992</w:t>
        </w:r>
      </w:hyperlink>
      <w:r>
        <w:t xml:space="preserve">, f. 2; </w:t>
      </w:r>
      <w:hyperlink w:anchor="SENTENCIA_1992_63" w:history="1">
        <w:r w:rsidRPr="00815992">
          <w:rPr>
            <w:rStyle w:val="TextoNormalCaracter"/>
          </w:rPr>
          <w:t>63/1992</w:t>
        </w:r>
      </w:hyperlink>
      <w:r>
        <w:t>, f. 1.</w:t>
      </w:r>
    </w:p>
    <w:p w:rsidR="00815992" w:rsidRDefault="00815992" w:rsidP="00815992">
      <w:pPr>
        <w:pStyle w:val="SangriaIzquierdaArticulo"/>
      </w:pPr>
      <w:r>
        <w:t xml:space="preserve">Autos </w:t>
      </w:r>
      <w:hyperlink w:anchor="AUTO_1992_2" w:history="1">
        <w:r w:rsidRPr="00815992">
          <w:rPr>
            <w:rStyle w:val="TextoNormalCaracter"/>
          </w:rPr>
          <w:t>2/1992</w:t>
        </w:r>
      </w:hyperlink>
      <w:r>
        <w:t xml:space="preserve">; </w:t>
      </w:r>
      <w:hyperlink w:anchor="AUTO_1992_9" w:history="1">
        <w:r w:rsidRPr="00815992">
          <w:rPr>
            <w:rStyle w:val="TextoNormalCaracter"/>
          </w:rPr>
          <w:t>9/1992</w:t>
        </w:r>
      </w:hyperlink>
      <w:r>
        <w:t xml:space="preserve">; </w:t>
      </w:r>
      <w:hyperlink w:anchor="AUTO_1992_13" w:history="1">
        <w:r w:rsidRPr="00815992">
          <w:rPr>
            <w:rStyle w:val="TextoNormalCaracter"/>
          </w:rPr>
          <w:t>13/1992</w:t>
        </w:r>
      </w:hyperlink>
      <w:r>
        <w:t xml:space="preserve">; </w:t>
      </w:r>
      <w:hyperlink w:anchor="AUTO_1992_22" w:history="1">
        <w:r w:rsidRPr="00815992">
          <w:rPr>
            <w:rStyle w:val="TextoNormalCaracter"/>
          </w:rPr>
          <w:t>22/1992</w:t>
        </w:r>
      </w:hyperlink>
      <w:r>
        <w:t xml:space="preserve">; </w:t>
      </w:r>
      <w:hyperlink w:anchor="AUTO_1992_23" w:history="1">
        <w:r w:rsidRPr="00815992">
          <w:rPr>
            <w:rStyle w:val="TextoNormalCaracter"/>
          </w:rPr>
          <w:t>23/1992</w:t>
        </w:r>
      </w:hyperlink>
      <w:r>
        <w:t xml:space="preserve">; </w:t>
      </w:r>
      <w:hyperlink w:anchor="AUTO_1992_24" w:history="1">
        <w:r w:rsidRPr="00815992">
          <w:rPr>
            <w:rStyle w:val="TextoNormalCaracter"/>
          </w:rPr>
          <w:t>24/1992</w:t>
        </w:r>
      </w:hyperlink>
      <w:r>
        <w:t xml:space="preserve">; </w:t>
      </w:r>
      <w:hyperlink w:anchor="AUTO_1992_38" w:history="1">
        <w:r w:rsidRPr="00815992">
          <w:rPr>
            <w:rStyle w:val="TextoNormalCaracter"/>
          </w:rPr>
          <w:t>38/1992</w:t>
        </w:r>
      </w:hyperlink>
      <w:r>
        <w:t xml:space="preserve">; </w:t>
      </w:r>
      <w:hyperlink w:anchor="AUTO_1992_40" w:history="1">
        <w:r w:rsidRPr="00815992">
          <w:rPr>
            <w:rStyle w:val="TextoNormalCaracter"/>
          </w:rPr>
          <w:t>40/1992</w:t>
        </w:r>
      </w:hyperlink>
      <w:r>
        <w:t xml:space="preserve">; </w:t>
      </w:r>
      <w:hyperlink w:anchor="AUTO_1992_54" w:history="1">
        <w:r w:rsidRPr="00815992">
          <w:rPr>
            <w:rStyle w:val="TextoNormalCaracter"/>
          </w:rPr>
          <w:t>54/1992</w:t>
        </w:r>
      </w:hyperlink>
      <w:r>
        <w:t xml:space="preserve">; </w:t>
      </w:r>
      <w:hyperlink w:anchor="AUTO_1992_55" w:history="1">
        <w:r w:rsidRPr="00815992">
          <w:rPr>
            <w:rStyle w:val="TextoNormalCaracter"/>
          </w:rPr>
          <w:t>55/1992</w:t>
        </w:r>
      </w:hyperlink>
      <w:r>
        <w:t xml:space="preserve">; </w:t>
      </w:r>
      <w:hyperlink w:anchor="AUTO_1992_86" w:history="1">
        <w:r w:rsidRPr="00815992">
          <w:rPr>
            <w:rStyle w:val="TextoNormalCaracter"/>
          </w:rPr>
          <w:t>86/1992</w:t>
        </w:r>
      </w:hyperlink>
      <w:r>
        <w:t xml:space="preserve">;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 xml:space="preserve">; </w:t>
      </w:r>
      <w:hyperlink w:anchor="AUTO_1992_100" w:history="1">
        <w:r w:rsidRPr="00815992">
          <w:rPr>
            <w:rStyle w:val="TextoNormalCaracter"/>
          </w:rPr>
          <w:t>100/1992</w:t>
        </w:r>
      </w:hyperlink>
      <w:r>
        <w:t>.</w:t>
      </w:r>
    </w:p>
    <w:p w:rsidR="00815992" w:rsidRDefault="00815992" w:rsidP="00815992">
      <w:pPr>
        <w:pStyle w:val="SangriaFrancesaArticulo"/>
      </w:pPr>
      <w:r w:rsidRPr="00815992">
        <w:rPr>
          <w:rStyle w:val="TextoNormalNegritaCaracter"/>
        </w:rPr>
        <w:t>Artículo 14</w:t>
      </w:r>
      <w:r>
        <w:t xml:space="preserve"> </w:t>
      </w:r>
      <w:r w:rsidRPr="00815992">
        <w:rPr>
          <w:rStyle w:val="TextoNormalCaracter"/>
        </w:rPr>
        <w:t>(igualdad en la ley)</w:t>
      </w:r>
      <w:r w:rsidRPr="00815992">
        <w:rPr>
          <w:rStyle w:val="TextoNormalNegritaCaracter"/>
        </w:rPr>
        <w:t>.</w:t>
      </w:r>
      <w:r w:rsidRPr="00815992">
        <w:rPr>
          <w:rStyle w:val="TextoNormalCaracter"/>
        </w:rPr>
        <w:t>-</w:t>
      </w:r>
      <w:r>
        <w:t xml:space="preserve"> Auto </w:t>
      </w:r>
      <w:hyperlink w:anchor="AUTO_1992_37" w:history="1">
        <w:r w:rsidRPr="00815992">
          <w:rPr>
            <w:rStyle w:val="TextoNormalCaracter"/>
          </w:rPr>
          <w:t>37/1992</w:t>
        </w:r>
      </w:hyperlink>
      <w:r>
        <w:t>.</w:t>
      </w:r>
    </w:p>
    <w:p w:rsidR="00815992" w:rsidRDefault="00815992" w:rsidP="00815992">
      <w:pPr>
        <w:pStyle w:val="SangriaFrancesaArticulo"/>
      </w:pPr>
      <w:r w:rsidRPr="00815992">
        <w:rPr>
          <w:rStyle w:val="TextoNormalNegritaCaracter"/>
        </w:rPr>
        <w:t>Artículos 14 a 29 y 30.2.</w:t>
      </w:r>
      <w:r w:rsidRPr="00815992">
        <w:rPr>
          <w:rStyle w:val="TextoNormalCaracter"/>
        </w:rPr>
        <w:t>-</w:t>
      </w:r>
      <w:r>
        <w:t xml:space="preserve"> Auto </w:t>
      </w:r>
      <w:hyperlink w:anchor="AUTO_1992_37" w:history="1">
        <w:r w:rsidRPr="00815992">
          <w:rPr>
            <w:rStyle w:val="TextoNormalCaracter"/>
          </w:rPr>
          <w:t>37/1992</w:t>
        </w:r>
      </w:hyperlink>
      <w:r>
        <w:t>.</w:t>
      </w:r>
    </w:p>
    <w:p w:rsidR="00815992" w:rsidRDefault="00815992" w:rsidP="00815992">
      <w:pPr>
        <w:pStyle w:val="SangriaFrancesaArticulo"/>
      </w:pPr>
      <w:r w:rsidRPr="00815992">
        <w:rPr>
          <w:rStyle w:val="TextoNormalNegritaCaracter"/>
        </w:rPr>
        <w:t>Artículo 15.</w:t>
      </w:r>
      <w:r w:rsidRPr="00815992">
        <w:rPr>
          <w:rStyle w:val="TextoNormalCaracter"/>
        </w:rPr>
        <w:t>-</w:t>
      </w:r>
      <w:r>
        <w:t xml:space="preserve"> Auto </w:t>
      </w:r>
      <w:hyperlink w:anchor="AUTO_1992_71" w:history="1">
        <w:r w:rsidRPr="00815992">
          <w:rPr>
            <w:rStyle w:val="TextoNormalCaracter"/>
          </w:rPr>
          <w:t>71/1992</w:t>
        </w:r>
      </w:hyperlink>
      <w:r>
        <w:t>.</w:t>
      </w:r>
    </w:p>
    <w:p w:rsidR="00815992" w:rsidRDefault="00815992" w:rsidP="00815992">
      <w:pPr>
        <w:pStyle w:val="SangriaFrancesaArticulo"/>
      </w:pPr>
      <w:r w:rsidRPr="00815992">
        <w:rPr>
          <w:rStyle w:val="TextoNormalNegritaCaracter"/>
        </w:rPr>
        <w:lastRenderedPageBreak/>
        <w:t>Artículo 16.</w:t>
      </w:r>
      <w:r w:rsidRPr="00815992">
        <w:rPr>
          <w:rStyle w:val="TextoNormalCaracter"/>
        </w:rPr>
        <w:t>-</w:t>
      </w:r>
      <w:r>
        <w:t xml:space="preserve"> Sentencia </w:t>
      </w:r>
      <w:hyperlink w:anchor="SENTENCIA_1992_59" w:history="1">
        <w:r w:rsidRPr="00815992">
          <w:rPr>
            <w:rStyle w:val="TextoNormalCaracter"/>
          </w:rPr>
          <w:t>59/1992</w:t>
        </w:r>
      </w:hyperlink>
      <w:r>
        <w:t>, f. 3.</w:t>
      </w:r>
    </w:p>
    <w:p w:rsidR="00815992" w:rsidRDefault="00815992" w:rsidP="00815992">
      <w:pPr>
        <w:pStyle w:val="SangriaIzquierdaArticulo"/>
      </w:pPr>
      <w:r>
        <w:t xml:space="preserve">Auto </w:t>
      </w:r>
      <w:hyperlink w:anchor="AUTO_1992_19" w:history="1">
        <w:r w:rsidRPr="00815992">
          <w:rPr>
            <w:rStyle w:val="TextoNormalCaracter"/>
          </w:rPr>
          <w:t>19/1992</w:t>
        </w:r>
      </w:hyperlink>
      <w:r>
        <w:t>.</w:t>
      </w:r>
    </w:p>
    <w:p w:rsidR="00815992" w:rsidRDefault="00815992" w:rsidP="00815992">
      <w:pPr>
        <w:pStyle w:val="SangriaFrancesaArticulo"/>
      </w:pPr>
      <w:r w:rsidRPr="00815992">
        <w:rPr>
          <w:rStyle w:val="TextoNormalNegritaCaracter"/>
        </w:rPr>
        <w:t>Artículo 16.1.</w:t>
      </w:r>
      <w:r w:rsidRPr="00815992">
        <w:rPr>
          <w:rStyle w:val="TextoNormalCaracter"/>
        </w:rPr>
        <w:t>-</w:t>
      </w:r>
      <w:r>
        <w:t xml:space="preserve"> Auto </w:t>
      </w:r>
      <w:hyperlink w:anchor="AUTO_1992_19" w:history="1">
        <w:r w:rsidRPr="00815992">
          <w:rPr>
            <w:rStyle w:val="TextoNormalCaracter"/>
          </w:rPr>
          <w:t>19/1992</w:t>
        </w:r>
      </w:hyperlink>
      <w:r>
        <w:t>.</w:t>
      </w:r>
    </w:p>
    <w:p w:rsidR="00815992" w:rsidRDefault="00815992" w:rsidP="00815992">
      <w:pPr>
        <w:pStyle w:val="SangriaFrancesaArticulo"/>
      </w:pPr>
      <w:r w:rsidRPr="00815992">
        <w:rPr>
          <w:rStyle w:val="TextoNormalNegritaCaracter"/>
        </w:rPr>
        <w:t>Artículo 16.3.</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Sentencia </w:t>
      </w:r>
      <w:hyperlink w:anchor="SENTENCIA_1992_54" w:history="1">
        <w:r w:rsidRPr="00815992">
          <w:rPr>
            <w:rStyle w:val="TextoNormalCaracter"/>
          </w:rPr>
          <w:t>54/1992</w:t>
        </w:r>
      </w:hyperlink>
      <w:r>
        <w:t>, f. 2.</w:t>
      </w:r>
    </w:p>
    <w:p w:rsidR="00815992" w:rsidRDefault="00815992" w:rsidP="00815992">
      <w:pPr>
        <w:pStyle w:val="SangriaIzquierdaArticulo"/>
      </w:pPr>
      <w:r>
        <w:t xml:space="preserve">Autos </w:t>
      </w:r>
      <w:hyperlink w:anchor="AUTO_1992_50" w:history="1">
        <w:r w:rsidRPr="00815992">
          <w:rPr>
            <w:rStyle w:val="TextoNormalCaracter"/>
          </w:rPr>
          <w:t>50/1992</w:t>
        </w:r>
      </w:hyperlink>
      <w:r>
        <w:t xml:space="preserve">; </w:t>
      </w:r>
      <w:hyperlink w:anchor="AUTO_1992_84" w:history="1">
        <w:r w:rsidRPr="00815992">
          <w:rPr>
            <w:rStyle w:val="TextoNormalCaracter"/>
          </w:rPr>
          <w:t>84/1992</w:t>
        </w:r>
      </w:hyperlink>
      <w:r>
        <w:t xml:space="preserve">;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17.1.</w:t>
      </w:r>
      <w:r w:rsidRPr="00815992">
        <w:rPr>
          <w:rStyle w:val="TextoNormalCaracter"/>
        </w:rPr>
        <w:t>-</w:t>
      </w:r>
      <w:r>
        <w:t xml:space="preserve"> Sentencias </w:t>
      </w:r>
      <w:hyperlink w:anchor="SENTENCIA_1992_3" w:history="1">
        <w:r w:rsidRPr="00815992">
          <w:rPr>
            <w:rStyle w:val="TextoNormalCaracter"/>
          </w:rPr>
          <w:t>3/1992</w:t>
        </w:r>
      </w:hyperlink>
      <w:r>
        <w:t xml:space="preserve">, ff. 1, 5; </w:t>
      </w:r>
      <w:hyperlink w:anchor="SENTENCIA_1992_54" w:history="1">
        <w:r w:rsidRPr="00815992">
          <w:rPr>
            <w:rStyle w:val="TextoNormalCaracter"/>
          </w:rPr>
          <w:t>54/1992</w:t>
        </w:r>
      </w:hyperlink>
      <w:r>
        <w:t>, f. 1.</w:t>
      </w:r>
    </w:p>
    <w:p w:rsidR="00815992" w:rsidRDefault="00815992" w:rsidP="00815992">
      <w:pPr>
        <w:pStyle w:val="SangriaIzquierdaArticulo"/>
      </w:pPr>
      <w:r>
        <w:t xml:space="preserve">Autos </w:t>
      </w:r>
      <w:hyperlink w:anchor="AUTO_1992_50" w:history="1">
        <w:r w:rsidRPr="00815992">
          <w:rPr>
            <w:rStyle w:val="TextoNormalCaracter"/>
          </w:rPr>
          <w:t>50/1992</w:t>
        </w:r>
      </w:hyperlink>
      <w:r>
        <w:t xml:space="preserve">; </w:t>
      </w:r>
      <w:hyperlink w:anchor="AUTO_1992_84" w:history="1">
        <w:r w:rsidRPr="00815992">
          <w:rPr>
            <w:rStyle w:val="TextoNormalCaracter"/>
          </w:rPr>
          <w:t>84/1992</w:t>
        </w:r>
      </w:hyperlink>
      <w:r>
        <w:t>.</w:t>
      </w:r>
    </w:p>
    <w:p w:rsidR="00815992" w:rsidRDefault="00815992" w:rsidP="00815992">
      <w:pPr>
        <w:pStyle w:val="SangriaFrancesaArticulo"/>
      </w:pPr>
      <w:r w:rsidRPr="00815992">
        <w:rPr>
          <w:rStyle w:val="TextoNormalNegritaCaracter"/>
        </w:rPr>
        <w:t>Artículo 17.3.</w:t>
      </w:r>
      <w:r w:rsidRPr="00815992">
        <w:rPr>
          <w:rStyle w:val="TextoNormalCaracter"/>
        </w:rPr>
        <w:t>-</w:t>
      </w:r>
      <w:r>
        <w:t xml:space="preserve"> Auto </w:t>
      </w:r>
      <w:hyperlink w:anchor="AUTO_1992_16" w:history="1">
        <w:r w:rsidRPr="00815992">
          <w:rPr>
            <w:rStyle w:val="TextoNormalCaracter"/>
          </w:rPr>
          <w:t>16/1992</w:t>
        </w:r>
      </w:hyperlink>
      <w:r>
        <w:t>.</w:t>
      </w:r>
    </w:p>
    <w:p w:rsidR="00815992" w:rsidRDefault="00815992" w:rsidP="00815992">
      <w:pPr>
        <w:pStyle w:val="SangriaFrancesaArticulo"/>
      </w:pPr>
      <w:r w:rsidRPr="00815992">
        <w:rPr>
          <w:rStyle w:val="TextoNormalNegritaCaracter"/>
        </w:rPr>
        <w:t>Artículo 17.4.</w:t>
      </w:r>
      <w:r w:rsidRPr="00815992">
        <w:rPr>
          <w:rStyle w:val="TextoNormalCaracter"/>
        </w:rPr>
        <w:t>-</w:t>
      </w:r>
      <w:r>
        <w:t xml:space="preserve"> Autos </w:t>
      </w:r>
      <w:hyperlink w:anchor="AUTO_1992_50" w:history="1">
        <w:r w:rsidRPr="00815992">
          <w:rPr>
            <w:rStyle w:val="TextoNormalCaracter"/>
          </w:rPr>
          <w:t>50/1992</w:t>
        </w:r>
      </w:hyperlink>
      <w:r>
        <w:t xml:space="preserve">; </w:t>
      </w:r>
      <w:hyperlink w:anchor="AUTO_1992_84" w:history="1">
        <w:r w:rsidRPr="00815992">
          <w:rPr>
            <w:rStyle w:val="TextoNormalCaracter"/>
          </w:rPr>
          <w:t>84/1992</w:t>
        </w:r>
      </w:hyperlink>
      <w:r>
        <w:t>.</w:t>
      </w:r>
    </w:p>
    <w:p w:rsidR="00815992" w:rsidRDefault="00815992" w:rsidP="00815992">
      <w:pPr>
        <w:pStyle w:val="SangriaFrancesaArticulo"/>
      </w:pPr>
      <w:r w:rsidRPr="00815992">
        <w:rPr>
          <w:rStyle w:val="TextoNormalNegritaCaracter"/>
        </w:rPr>
        <w:t>Artículo 18.</w:t>
      </w:r>
      <w:r w:rsidRPr="00815992">
        <w:rPr>
          <w:rStyle w:val="TextoNormalCaracter"/>
        </w:rPr>
        <w:t>-</w:t>
      </w:r>
      <w:r>
        <w:t xml:space="preserve"> Sentencia </w:t>
      </w:r>
      <w:hyperlink w:anchor="SENTENCIA_1992_40" w:history="1">
        <w:r w:rsidRPr="00815992">
          <w:rPr>
            <w:rStyle w:val="TextoNormalCaracter"/>
          </w:rPr>
          <w:t>40/1992</w:t>
        </w:r>
      </w:hyperlink>
      <w:r>
        <w:t>, f. 1.</w:t>
      </w:r>
    </w:p>
    <w:p w:rsidR="00815992" w:rsidRDefault="00815992" w:rsidP="00815992">
      <w:pPr>
        <w:pStyle w:val="SangriaIzquierdaArticulo"/>
      </w:pPr>
      <w:r>
        <w:t xml:space="preserve">Autos </w:t>
      </w:r>
      <w:hyperlink w:anchor="AUTO_1992_52" w:history="1">
        <w:r w:rsidRPr="00815992">
          <w:rPr>
            <w:rStyle w:val="TextoNormalCaracter"/>
          </w:rPr>
          <w:t>52/1992</w:t>
        </w:r>
      </w:hyperlink>
      <w:r>
        <w:t xml:space="preserve">;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18.1.</w:t>
      </w:r>
      <w:r w:rsidRPr="00815992">
        <w:rPr>
          <w:rStyle w:val="TextoNormalCaracter"/>
        </w:rPr>
        <w:t>-</w:t>
      </w:r>
      <w:r>
        <w:t xml:space="preserve"> Sentencias </w:t>
      </w:r>
      <w:hyperlink w:anchor="SENTENCIA_1992_20" w:history="1">
        <w:r w:rsidRPr="00815992">
          <w:rPr>
            <w:rStyle w:val="TextoNormalCaracter"/>
          </w:rPr>
          <w:t>20/1992</w:t>
        </w:r>
      </w:hyperlink>
      <w:r>
        <w:t xml:space="preserve">, ff. 2, 3; </w:t>
      </w:r>
      <w:hyperlink w:anchor="SENTENCIA_1992_40" w:history="1">
        <w:r w:rsidRPr="00815992">
          <w:rPr>
            <w:rStyle w:val="TextoNormalCaracter"/>
          </w:rPr>
          <w:t>40/1992</w:t>
        </w:r>
      </w:hyperlink>
      <w:r>
        <w:t>, f. 1.</w:t>
      </w:r>
    </w:p>
    <w:p w:rsidR="00815992" w:rsidRDefault="00815992" w:rsidP="00815992">
      <w:pPr>
        <w:pStyle w:val="SangriaIzquierdaArticulo"/>
      </w:pPr>
      <w:r>
        <w:t xml:space="preserve">Autos </w:t>
      </w:r>
      <w:hyperlink w:anchor="AUTO_1992_5" w:history="1">
        <w:r w:rsidRPr="00815992">
          <w:rPr>
            <w:rStyle w:val="TextoNormalCaracter"/>
          </w:rPr>
          <w:t>5/1992</w:t>
        </w:r>
      </w:hyperlink>
      <w:r>
        <w:t xml:space="preserve">; </w:t>
      </w:r>
      <w:hyperlink w:anchor="AUTO_1992_52" w:history="1">
        <w:r w:rsidRPr="00815992">
          <w:rPr>
            <w:rStyle w:val="TextoNormalCaracter"/>
          </w:rPr>
          <w:t>52/1992</w:t>
        </w:r>
      </w:hyperlink>
      <w:r>
        <w:t>.</w:t>
      </w:r>
    </w:p>
    <w:p w:rsidR="00815992" w:rsidRDefault="00815992" w:rsidP="00815992">
      <w:pPr>
        <w:pStyle w:val="SangriaFrancesaArticulo"/>
      </w:pPr>
      <w:r w:rsidRPr="00815992">
        <w:rPr>
          <w:rStyle w:val="TextoNormalNegritaCaracter"/>
        </w:rPr>
        <w:t>Artículo 18.2.</w:t>
      </w:r>
      <w:r w:rsidRPr="00815992">
        <w:rPr>
          <w:rStyle w:val="TextoNormalCaracter"/>
        </w:rPr>
        <w:t>-</w:t>
      </w:r>
      <w:r>
        <w:t xml:space="preserve"> Autos </w:t>
      </w:r>
      <w:hyperlink w:anchor="AUTO_1992_58" w:history="1">
        <w:r w:rsidRPr="00815992">
          <w:rPr>
            <w:rStyle w:val="TextoNormalCaracter"/>
          </w:rPr>
          <w:t>58/1992</w:t>
        </w:r>
      </w:hyperlink>
      <w:r>
        <w:t xml:space="preserve">;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20.</w:t>
      </w:r>
      <w:r w:rsidRPr="00815992">
        <w:rPr>
          <w:rStyle w:val="TextoNormalCaracter"/>
        </w:rPr>
        <w:t>-</w:t>
      </w:r>
      <w:r>
        <w:t xml:space="preserve"> Sentencia </w:t>
      </w:r>
      <w:hyperlink w:anchor="SENTENCIA_1992_40" w:history="1">
        <w:r w:rsidRPr="00815992">
          <w:rPr>
            <w:rStyle w:val="TextoNormalCaracter"/>
          </w:rPr>
          <w:t>40/1992</w:t>
        </w:r>
      </w:hyperlink>
      <w:r>
        <w:t>, f. 3.</w:t>
      </w:r>
    </w:p>
    <w:p w:rsidR="00815992" w:rsidRDefault="00815992" w:rsidP="00815992">
      <w:pPr>
        <w:pStyle w:val="SangriaIzquierdaArticulo"/>
      </w:pPr>
      <w:r>
        <w:t xml:space="preserve">Autos </w:t>
      </w:r>
      <w:hyperlink w:anchor="AUTO_1992_5" w:history="1">
        <w:r w:rsidRPr="00815992">
          <w:rPr>
            <w:rStyle w:val="TextoNormalCaracter"/>
          </w:rPr>
          <w:t>5/1992</w:t>
        </w:r>
      </w:hyperlink>
      <w:r>
        <w:t xml:space="preserve">; </w:t>
      </w:r>
      <w:hyperlink w:anchor="AUTO_1992_17" w:history="1">
        <w:r w:rsidRPr="00815992">
          <w:rPr>
            <w:rStyle w:val="TextoNormalCaracter"/>
          </w:rPr>
          <w:t>17/1992</w:t>
        </w:r>
      </w:hyperlink>
      <w:r>
        <w:t xml:space="preserve">; </w:t>
      </w:r>
      <w:hyperlink w:anchor="AUTO_1992_19" w:history="1">
        <w:r w:rsidRPr="00815992">
          <w:rPr>
            <w:rStyle w:val="TextoNormalCaracter"/>
          </w:rPr>
          <w:t>19/1992</w:t>
        </w:r>
      </w:hyperlink>
      <w:r>
        <w:t xml:space="preserve">; </w:t>
      </w:r>
      <w:hyperlink w:anchor="AUTO_1992_42" w:history="1">
        <w:r w:rsidRPr="00815992">
          <w:rPr>
            <w:rStyle w:val="TextoNormalCaracter"/>
          </w:rPr>
          <w:t>42/1992</w:t>
        </w:r>
      </w:hyperlink>
      <w:r>
        <w:t>.</w:t>
      </w:r>
    </w:p>
    <w:p w:rsidR="00815992" w:rsidRDefault="00815992" w:rsidP="00815992">
      <w:pPr>
        <w:pStyle w:val="SangriaFrancesaArticulo"/>
      </w:pPr>
      <w:r w:rsidRPr="00815992">
        <w:rPr>
          <w:rStyle w:val="TextoNormalNegritaCaracter"/>
        </w:rPr>
        <w:t>Artículo 20.1.</w:t>
      </w:r>
      <w:r w:rsidRPr="00815992">
        <w:rPr>
          <w:rStyle w:val="TextoNormalCaracter"/>
        </w:rPr>
        <w:t>-</w:t>
      </w:r>
      <w:r>
        <w:t xml:space="preserve"> Sentencia </w:t>
      </w:r>
      <w:hyperlink w:anchor="SENTENCIA_1992_20" w:history="1">
        <w:r w:rsidRPr="00815992">
          <w:rPr>
            <w:rStyle w:val="TextoNormalCaracter"/>
          </w:rPr>
          <w:t>20/1992</w:t>
        </w:r>
      </w:hyperlink>
      <w:r>
        <w:t>, f. 2.</w:t>
      </w:r>
    </w:p>
    <w:p w:rsidR="00815992" w:rsidRDefault="00815992" w:rsidP="00815992">
      <w:pPr>
        <w:pStyle w:val="SangriaIzquierdaArticulo"/>
      </w:pPr>
      <w:r>
        <w:t xml:space="preserve">Auto </w:t>
      </w:r>
      <w:hyperlink w:anchor="AUTO_1992_19" w:history="1">
        <w:r w:rsidRPr="00815992">
          <w:rPr>
            <w:rStyle w:val="TextoNormalCaracter"/>
          </w:rPr>
          <w:t>19/1992</w:t>
        </w:r>
      </w:hyperlink>
      <w:r>
        <w:t>.</w:t>
      </w:r>
    </w:p>
    <w:p w:rsidR="00815992" w:rsidRDefault="00815992" w:rsidP="00815992">
      <w:pPr>
        <w:pStyle w:val="SangriaFrancesaArticulo"/>
      </w:pPr>
      <w:r w:rsidRPr="00815992">
        <w:rPr>
          <w:rStyle w:val="TextoNormalNegritaCaracter"/>
        </w:rPr>
        <w:t>Artículo 20.1 a).</w:t>
      </w:r>
      <w:r w:rsidRPr="00815992">
        <w:rPr>
          <w:rStyle w:val="TextoNormalCaracter"/>
        </w:rPr>
        <w:t>-</w:t>
      </w:r>
      <w:r>
        <w:t xml:space="preserve"> Sentencia </w:t>
      </w:r>
      <w:hyperlink w:anchor="SENTENCIA_1992_20" w:history="1">
        <w:r w:rsidRPr="00815992">
          <w:rPr>
            <w:rStyle w:val="TextoNormalCaracter"/>
          </w:rPr>
          <w:t>20/1992</w:t>
        </w:r>
      </w:hyperlink>
      <w:r>
        <w:t>, ff. 1, 2.</w:t>
      </w:r>
    </w:p>
    <w:p w:rsidR="00815992" w:rsidRDefault="00815992" w:rsidP="00815992">
      <w:pPr>
        <w:pStyle w:val="SangriaIzquierdaArticulo"/>
      </w:pPr>
      <w:r>
        <w:t xml:space="preserve">Autos </w:t>
      </w:r>
      <w:hyperlink w:anchor="AUTO_1992_17" w:history="1">
        <w:r w:rsidRPr="00815992">
          <w:rPr>
            <w:rStyle w:val="TextoNormalCaracter"/>
          </w:rPr>
          <w:t>17/1992</w:t>
        </w:r>
      </w:hyperlink>
      <w:r>
        <w:t xml:space="preserve">; </w:t>
      </w:r>
      <w:hyperlink w:anchor="AUTO_1992_19" w:history="1">
        <w:r w:rsidRPr="00815992">
          <w:rPr>
            <w:rStyle w:val="TextoNormalCaracter"/>
          </w:rPr>
          <w:t>19/1992</w:t>
        </w:r>
      </w:hyperlink>
      <w:r>
        <w:t>.</w:t>
      </w:r>
    </w:p>
    <w:p w:rsidR="00815992" w:rsidRDefault="00815992" w:rsidP="00815992">
      <w:pPr>
        <w:pStyle w:val="SangriaFrancesaArticulo"/>
      </w:pPr>
      <w:r w:rsidRPr="00815992">
        <w:rPr>
          <w:rStyle w:val="TextoNormalNegritaCaracter"/>
        </w:rPr>
        <w:t>Artículo 20.1 c).</w:t>
      </w:r>
      <w:r w:rsidRPr="00815992">
        <w:rPr>
          <w:rStyle w:val="TextoNormalCaracter"/>
        </w:rPr>
        <w:t>-</w:t>
      </w:r>
      <w:r>
        <w:t xml:space="preserve"> Auto </w:t>
      </w:r>
      <w:hyperlink w:anchor="AUTO_1992_42" w:history="1">
        <w:r w:rsidRPr="00815992">
          <w:rPr>
            <w:rStyle w:val="TextoNormalCaracter"/>
          </w:rPr>
          <w:t>42/1992</w:t>
        </w:r>
      </w:hyperlink>
      <w:r>
        <w:t>.</w:t>
      </w:r>
    </w:p>
    <w:p w:rsidR="00815992" w:rsidRDefault="00815992" w:rsidP="00815992">
      <w:pPr>
        <w:pStyle w:val="SangriaFrancesaArticulo"/>
      </w:pPr>
      <w:r w:rsidRPr="00815992">
        <w:rPr>
          <w:rStyle w:val="TextoNormalNegritaCaracter"/>
        </w:rPr>
        <w:t>Artículo 20.1 d).</w:t>
      </w:r>
      <w:r w:rsidRPr="00815992">
        <w:rPr>
          <w:rStyle w:val="TextoNormalCaracter"/>
        </w:rPr>
        <w:t>-</w:t>
      </w:r>
      <w:r>
        <w:t xml:space="preserve"> Sentencias </w:t>
      </w:r>
      <w:hyperlink w:anchor="SENTENCIA_1992_20" w:history="1">
        <w:r w:rsidRPr="00815992">
          <w:rPr>
            <w:rStyle w:val="TextoNormalCaracter"/>
          </w:rPr>
          <w:t>20/1992</w:t>
        </w:r>
      </w:hyperlink>
      <w:r>
        <w:t xml:space="preserve">, ff. 1, 2; </w:t>
      </w:r>
      <w:hyperlink w:anchor="SENTENCIA_1992_40" w:history="1">
        <w:r w:rsidRPr="00815992">
          <w:rPr>
            <w:rStyle w:val="TextoNormalCaracter"/>
          </w:rPr>
          <w:t>40/1992</w:t>
        </w:r>
      </w:hyperlink>
      <w:r>
        <w:t>, ff. 1 a 3.</w:t>
      </w:r>
    </w:p>
    <w:p w:rsidR="00815992" w:rsidRDefault="00815992" w:rsidP="00815992">
      <w:pPr>
        <w:pStyle w:val="SangriaIzquierdaArticulo"/>
      </w:pPr>
      <w:r>
        <w:t xml:space="preserve">Autos </w:t>
      </w:r>
      <w:hyperlink w:anchor="AUTO_1992_5" w:history="1">
        <w:r w:rsidRPr="00815992">
          <w:rPr>
            <w:rStyle w:val="TextoNormalCaracter"/>
          </w:rPr>
          <w:t>5/1992</w:t>
        </w:r>
      </w:hyperlink>
      <w:r>
        <w:t xml:space="preserve">; </w:t>
      </w:r>
      <w:hyperlink w:anchor="AUTO_1992_19" w:history="1">
        <w:r w:rsidRPr="00815992">
          <w:rPr>
            <w:rStyle w:val="TextoNormalCaracter"/>
          </w:rPr>
          <w:t>19/1992</w:t>
        </w:r>
      </w:hyperlink>
      <w:r>
        <w:t xml:space="preserve">; </w:t>
      </w:r>
      <w:hyperlink w:anchor="AUTO_1992_70" w:history="1">
        <w:r w:rsidRPr="00815992">
          <w:rPr>
            <w:rStyle w:val="TextoNormalCaracter"/>
          </w:rPr>
          <w:t>70/1992</w:t>
        </w:r>
      </w:hyperlink>
      <w:r>
        <w:t>.</w:t>
      </w:r>
    </w:p>
    <w:p w:rsidR="00815992" w:rsidRDefault="00815992" w:rsidP="00815992">
      <w:pPr>
        <w:pStyle w:val="SangriaFrancesaArticulo"/>
      </w:pPr>
      <w:r w:rsidRPr="00815992">
        <w:rPr>
          <w:rStyle w:val="TextoNormalNegritaCaracter"/>
        </w:rPr>
        <w:t>Artículo 20.4.</w:t>
      </w:r>
      <w:r w:rsidRPr="00815992">
        <w:rPr>
          <w:rStyle w:val="TextoNormalCaracter"/>
        </w:rPr>
        <w:t>-</w:t>
      </w:r>
      <w:r>
        <w:t xml:space="preserve"> Sentencias </w:t>
      </w:r>
      <w:hyperlink w:anchor="SENTENCIA_1992_20" w:history="1">
        <w:r w:rsidRPr="00815992">
          <w:rPr>
            <w:rStyle w:val="TextoNormalCaracter"/>
          </w:rPr>
          <w:t>20/1992</w:t>
        </w:r>
      </w:hyperlink>
      <w:r>
        <w:t xml:space="preserve">, f. 2; </w:t>
      </w:r>
      <w:hyperlink w:anchor="SENTENCIA_1992_40" w:history="1">
        <w:r w:rsidRPr="00815992">
          <w:rPr>
            <w:rStyle w:val="TextoNormalCaracter"/>
          </w:rPr>
          <w:t>40/1992</w:t>
        </w:r>
      </w:hyperlink>
      <w:r>
        <w:t>, f. 1.</w:t>
      </w:r>
    </w:p>
    <w:p w:rsidR="00815992" w:rsidRDefault="00815992" w:rsidP="00815992">
      <w:pPr>
        <w:pStyle w:val="SangriaIzquierdaArticulo"/>
      </w:pPr>
      <w:r>
        <w:t xml:space="preserve">Auto </w:t>
      </w:r>
      <w:hyperlink w:anchor="AUTO_1992_19" w:history="1">
        <w:r w:rsidRPr="00815992">
          <w:rPr>
            <w:rStyle w:val="TextoNormalCaracter"/>
          </w:rPr>
          <w:t>19/1992</w:t>
        </w:r>
      </w:hyperlink>
      <w:r>
        <w:t>.</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Sentencias </w:t>
      </w:r>
      <w:hyperlink w:anchor="SENTENCIA_1992_18" w:history="1">
        <w:r w:rsidRPr="00815992">
          <w:rPr>
            <w:rStyle w:val="TextoNormalCaracter"/>
          </w:rPr>
          <w:t>18/1992</w:t>
        </w:r>
      </w:hyperlink>
      <w:r>
        <w:t xml:space="preserve">, f. 3; </w:t>
      </w:r>
      <w:hyperlink w:anchor="SENTENCIA_1992_52" w:history="1">
        <w:r w:rsidRPr="00815992">
          <w:rPr>
            <w:rStyle w:val="TextoNormalCaracter"/>
          </w:rPr>
          <w:t>52/1992</w:t>
        </w:r>
      </w:hyperlink>
      <w:r>
        <w:t>, f. 3.</w:t>
      </w:r>
    </w:p>
    <w:p w:rsidR="00815992" w:rsidRDefault="00815992" w:rsidP="00815992">
      <w:pPr>
        <w:pStyle w:val="SangriaFrancesaArticulo"/>
      </w:pPr>
      <w:r w:rsidRPr="00815992">
        <w:rPr>
          <w:rStyle w:val="TextoNormalNegritaCaracter"/>
        </w:rPr>
        <w:t>Artículo 23.</w:t>
      </w:r>
      <w:r w:rsidRPr="00815992">
        <w:rPr>
          <w:rStyle w:val="TextoNormalCaracter"/>
        </w:rPr>
        <w:t>-</w:t>
      </w:r>
      <w:r>
        <w:t xml:space="preserve"> Sentencia </w:t>
      </w:r>
      <w:hyperlink w:anchor="SENTENCIA_1992_13" w:history="1">
        <w:r w:rsidRPr="00815992">
          <w:rPr>
            <w:rStyle w:val="TextoNormalCaracter"/>
          </w:rPr>
          <w:t>13/1992</w:t>
        </w:r>
      </w:hyperlink>
      <w:r>
        <w:t>, f. 12.</w:t>
      </w:r>
    </w:p>
    <w:p w:rsidR="00815992" w:rsidRDefault="00815992" w:rsidP="00815992">
      <w:pPr>
        <w:pStyle w:val="SangriaFrancesaArticulo"/>
      </w:pPr>
      <w:r w:rsidRPr="00815992">
        <w:rPr>
          <w:rStyle w:val="TextoNormalNegritaCaracter"/>
        </w:rPr>
        <w:t>Artículo 23.1.</w:t>
      </w:r>
      <w:r w:rsidRPr="00815992">
        <w:rPr>
          <w:rStyle w:val="TextoNormalCaracter"/>
        </w:rPr>
        <w:t>-</w:t>
      </w:r>
      <w:r>
        <w:t xml:space="preserve"> Sentencia </w:t>
      </w:r>
      <w:hyperlink w:anchor="SENTENCIA_1992_7" w:history="1">
        <w:r w:rsidRPr="00815992">
          <w:rPr>
            <w:rStyle w:val="TextoNormalCaracter"/>
          </w:rPr>
          <w:t>7/1992</w:t>
        </w:r>
      </w:hyperlink>
      <w:r>
        <w:t>, f. 1.</w:t>
      </w:r>
    </w:p>
    <w:p w:rsidR="00815992" w:rsidRDefault="00815992" w:rsidP="00815992">
      <w:pPr>
        <w:pStyle w:val="SangriaFrancesaArticulo"/>
      </w:pPr>
      <w:r w:rsidRPr="00815992">
        <w:rPr>
          <w:rStyle w:val="TextoNormalNegritaCaracter"/>
        </w:rPr>
        <w:t>Artículo 23.2.</w:t>
      </w:r>
      <w:r w:rsidRPr="00815992">
        <w:rPr>
          <w:rStyle w:val="TextoNormalCaracter"/>
        </w:rPr>
        <w:t>-</w:t>
      </w:r>
      <w:r>
        <w:t xml:space="preserve"> Sentencias </w:t>
      </w:r>
      <w:hyperlink w:anchor="SENTENCIA_1992_4" w:history="1">
        <w:r w:rsidRPr="00815992">
          <w:rPr>
            <w:rStyle w:val="TextoNormalCaracter"/>
          </w:rPr>
          <w:t>4/1992</w:t>
        </w:r>
      </w:hyperlink>
      <w:r>
        <w:t xml:space="preserve">, ff. 1 a 3; </w:t>
      </w:r>
      <w:hyperlink w:anchor="SENTENCIA_1992_7" w:history="1">
        <w:r w:rsidRPr="00815992">
          <w:rPr>
            <w:rStyle w:val="TextoNormalCaracter"/>
          </w:rPr>
          <w:t>7/1992</w:t>
        </w:r>
      </w:hyperlink>
      <w:r>
        <w:t xml:space="preserve">, ff. 2, 3; </w:t>
      </w:r>
      <w:hyperlink w:anchor="SENTENCIA_1992_15" w:history="1">
        <w:r w:rsidRPr="00815992">
          <w:rPr>
            <w:rStyle w:val="TextoNormalCaracter"/>
          </w:rPr>
          <w:t>15/1992</w:t>
        </w:r>
      </w:hyperlink>
      <w:r>
        <w:t xml:space="preserve">, ff. 2, 3, 6; </w:t>
      </w:r>
      <w:hyperlink w:anchor="SENTENCIA_1992_18" w:history="1">
        <w:r w:rsidRPr="00815992">
          <w:rPr>
            <w:rStyle w:val="TextoNormalCaracter"/>
          </w:rPr>
          <w:t>18/1992</w:t>
        </w:r>
      </w:hyperlink>
      <w:r>
        <w:t xml:space="preserve">, f. 3; </w:t>
      </w:r>
      <w:hyperlink w:anchor="SENTENCIA_1992_25" w:history="1">
        <w:r w:rsidRPr="00815992">
          <w:rPr>
            <w:rStyle w:val="TextoNormalCaracter"/>
          </w:rPr>
          <w:t>25/1992</w:t>
        </w:r>
      </w:hyperlink>
      <w:r>
        <w:t xml:space="preserve">, f. 1; </w:t>
      </w:r>
      <w:hyperlink w:anchor="SENTENCIA_1992_45" w:history="1">
        <w:r w:rsidRPr="00815992">
          <w:rPr>
            <w:rStyle w:val="TextoNormalCaracter"/>
          </w:rPr>
          <w:t>45/1992</w:t>
        </w:r>
      </w:hyperlink>
      <w:r>
        <w:t xml:space="preserve">, f. 1; </w:t>
      </w:r>
      <w:hyperlink w:anchor="SENTENCIA_1992_53" w:history="1">
        <w:r w:rsidRPr="00815992">
          <w:rPr>
            <w:rStyle w:val="TextoNormalCaracter"/>
          </w:rPr>
          <w:t>53/1992</w:t>
        </w:r>
      </w:hyperlink>
      <w:r>
        <w:t>, f. 2.</w:t>
      </w:r>
    </w:p>
    <w:p w:rsidR="00815992" w:rsidRDefault="00815992" w:rsidP="00815992">
      <w:pPr>
        <w:pStyle w:val="SangriaIzquierdaArticulo"/>
      </w:pPr>
      <w:r>
        <w:t xml:space="preserve">Autos </w:t>
      </w:r>
      <w:hyperlink w:anchor="AUTO_1992_4" w:history="1">
        <w:r w:rsidRPr="00815992">
          <w:rPr>
            <w:rStyle w:val="TextoNormalCaracter"/>
          </w:rPr>
          <w:t>4/1992</w:t>
        </w:r>
      </w:hyperlink>
      <w:r>
        <w:t xml:space="preserve">; </w:t>
      </w:r>
      <w:hyperlink w:anchor="AUTO_1992_24" w:history="1">
        <w:r w:rsidRPr="00815992">
          <w:rPr>
            <w:rStyle w:val="TextoNormalCaracter"/>
          </w:rPr>
          <w:t>24/1992</w:t>
        </w:r>
      </w:hyperlink>
      <w:r>
        <w:t>.</w:t>
      </w:r>
    </w:p>
    <w:p w:rsidR="00815992" w:rsidRDefault="00815992" w:rsidP="00815992">
      <w:pPr>
        <w:pStyle w:val="SangriaFrancesaArticulo"/>
      </w:pPr>
      <w:r w:rsidRPr="00815992">
        <w:rPr>
          <w:rStyle w:val="TextoNormalNegritaCaracter"/>
        </w:rPr>
        <w:t>Artículo 24.</w:t>
      </w:r>
      <w:r w:rsidRPr="00815992">
        <w:rPr>
          <w:rStyle w:val="TextoNormalCaracter"/>
        </w:rPr>
        <w:t>-</w:t>
      </w:r>
      <w:r>
        <w:t xml:space="preserve"> Sentencias </w:t>
      </w:r>
      <w:hyperlink w:anchor="SENTENCIA_1992_1" w:history="1">
        <w:r w:rsidRPr="00815992">
          <w:rPr>
            <w:rStyle w:val="TextoNormalCaracter"/>
          </w:rPr>
          <w:t>1/1992</w:t>
        </w:r>
      </w:hyperlink>
      <w:r>
        <w:t xml:space="preserve">, ff. 1, 3; </w:t>
      </w:r>
      <w:hyperlink w:anchor="SENTENCIA_1992_6" w:history="1">
        <w:r w:rsidRPr="00815992">
          <w:rPr>
            <w:rStyle w:val="TextoNormalCaracter"/>
          </w:rPr>
          <w:t>6/1992</w:t>
        </w:r>
      </w:hyperlink>
      <w:r>
        <w:t xml:space="preserve">, f. 5; </w:t>
      </w:r>
      <w:hyperlink w:anchor="SENTENCIA_1992_7" w:history="1">
        <w:r w:rsidRPr="00815992">
          <w:rPr>
            <w:rStyle w:val="TextoNormalCaracter"/>
          </w:rPr>
          <w:t>7/1992</w:t>
        </w:r>
      </w:hyperlink>
      <w:r>
        <w:t xml:space="preserve">, ff. 1, 4; </w:t>
      </w:r>
      <w:hyperlink w:anchor="SENTENCIA_1992_11" w:history="1">
        <w:r w:rsidRPr="00815992">
          <w:rPr>
            <w:rStyle w:val="TextoNormalCaracter"/>
          </w:rPr>
          <w:t>11/1992</w:t>
        </w:r>
      </w:hyperlink>
      <w:r>
        <w:t xml:space="preserve">, ff. 1, 3; </w:t>
      </w:r>
      <w:hyperlink w:anchor="SENTENCIA_1992_14" w:history="1">
        <w:r w:rsidRPr="00815992">
          <w:rPr>
            <w:rStyle w:val="TextoNormalCaracter"/>
          </w:rPr>
          <w:t>14/1992</w:t>
        </w:r>
      </w:hyperlink>
      <w:r>
        <w:t xml:space="preserve">, ff. 1, 4 a 7, 10, VP; </w:t>
      </w:r>
      <w:hyperlink w:anchor="SENTENCIA_1992_16" w:history="1">
        <w:r w:rsidRPr="00815992">
          <w:rPr>
            <w:rStyle w:val="TextoNormalCaracter"/>
          </w:rPr>
          <w:t>16/1992</w:t>
        </w:r>
      </w:hyperlink>
      <w:r>
        <w:t xml:space="preserve">, ff. 2, 3,; </w:t>
      </w:r>
      <w:hyperlink w:anchor="SENTENCIA_1992_18" w:history="1">
        <w:r w:rsidRPr="00815992">
          <w:rPr>
            <w:rStyle w:val="TextoNormalCaracter"/>
          </w:rPr>
          <w:t>18/1992</w:t>
        </w:r>
      </w:hyperlink>
      <w:r>
        <w:t xml:space="preserve">, ff. 1, 3; </w:t>
      </w:r>
      <w:hyperlink w:anchor="SENTENCIA_1992_19" w:history="1">
        <w:r w:rsidRPr="00815992">
          <w:rPr>
            <w:rStyle w:val="TextoNormalCaracter"/>
          </w:rPr>
          <w:t>19/1992</w:t>
        </w:r>
      </w:hyperlink>
      <w:r>
        <w:t xml:space="preserve">, f. 2; </w:t>
      </w:r>
      <w:hyperlink w:anchor="SENTENCIA_1992_29" w:history="1">
        <w:r w:rsidRPr="00815992">
          <w:rPr>
            <w:rStyle w:val="TextoNormalCaracter"/>
          </w:rPr>
          <w:t>29/1992</w:t>
        </w:r>
      </w:hyperlink>
      <w:r>
        <w:t xml:space="preserve">, ff. 2, 3; </w:t>
      </w:r>
      <w:hyperlink w:anchor="SENTENCIA_1992_34" w:history="1">
        <w:r w:rsidRPr="00815992">
          <w:rPr>
            <w:rStyle w:val="TextoNormalCaracter"/>
          </w:rPr>
          <w:t>34/1992</w:t>
        </w:r>
      </w:hyperlink>
      <w:r>
        <w:t xml:space="preserve">, f. 3; </w:t>
      </w:r>
      <w:hyperlink w:anchor="SENTENCIA_1992_37" w:history="1">
        <w:r w:rsidRPr="00815992">
          <w:rPr>
            <w:rStyle w:val="TextoNormalCaracter"/>
          </w:rPr>
          <w:t>37/1992</w:t>
        </w:r>
      </w:hyperlink>
      <w:r>
        <w:t xml:space="preserve">, f. 4; </w:t>
      </w:r>
      <w:hyperlink w:anchor="SENTENCIA_1992_41" w:history="1">
        <w:r w:rsidRPr="00815992">
          <w:rPr>
            <w:rStyle w:val="TextoNormalCaracter"/>
          </w:rPr>
          <w:t>41/1992</w:t>
        </w:r>
      </w:hyperlink>
      <w:r>
        <w:t xml:space="preserve">, f. 6; </w:t>
      </w:r>
      <w:hyperlink w:anchor="SENTENCIA_1992_47" w:history="1">
        <w:r w:rsidRPr="00815992">
          <w:rPr>
            <w:rStyle w:val="TextoNormalCaracter"/>
          </w:rPr>
          <w:t>47/1992</w:t>
        </w:r>
      </w:hyperlink>
      <w:r>
        <w:t xml:space="preserve">, f. 3; </w:t>
      </w:r>
      <w:hyperlink w:anchor="SENTENCIA_1992_48" w:history="1">
        <w:r w:rsidRPr="00815992">
          <w:rPr>
            <w:rStyle w:val="TextoNormalCaracter"/>
          </w:rPr>
          <w:t>48/1992</w:t>
        </w:r>
      </w:hyperlink>
      <w:r>
        <w:t xml:space="preserve">, f. 4; </w:t>
      </w:r>
      <w:hyperlink w:anchor="SENTENCIA_1992_49" w:history="1">
        <w:r w:rsidRPr="00815992">
          <w:rPr>
            <w:rStyle w:val="TextoNormalCaracter"/>
          </w:rPr>
          <w:t>49/1992</w:t>
        </w:r>
      </w:hyperlink>
      <w:r>
        <w:t xml:space="preserve">, f. 3; </w:t>
      </w:r>
      <w:hyperlink w:anchor="SENTENCIA_1992_52" w:history="1">
        <w:r w:rsidRPr="00815992">
          <w:rPr>
            <w:rStyle w:val="TextoNormalCaracter"/>
          </w:rPr>
          <w:t>52/1992</w:t>
        </w:r>
      </w:hyperlink>
      <w:r>
        <w:t xml:space="preserve">, ff. 1, 2; </w:t>
      </w:r>
      <w:hyperlink w:anchor="SENTENCIA_1992_53" w:history="1">
        <w:r w:rsidRPr="00815992">
          <w:rPr>
            <w:rStyle w:val="TextoNormalCaracter"/>
          </w:rPr>
          <w:t>53/1992</w:t>
        </w:r>
      </w:hyperlink>
      <w:r>
        <w:t xml:space="preserve">, ff. 1, 4; </w:t>
      </w:r>
      <w:hyperlink w:anchor="SENTENCIA_1992_62" w:history="1">
        <w:r w:rsidRPr="00815992">
          <w:rPr>
            <w:rStyle w:val="TextoNormalCaracter"/>
          </w:rPr>
          <w:t>62/1992</w:t>
        </w:r>
      </w:hyperlink>
      <w:r>
        <w:t>, ff. 1 a 3.</w:t>
      </w:r>
    </w:p>
    <w:p w:rsidR="00815992" w:rsidRDefault="00815992" w:rsidP="00815992">
      <w:pPr>
        <w:pStyle w:val="SangriaIzquierdaArticulo"/>
      </w:pPr>
      <w:r>
        <w:t xml:space="preserve">Autos </w:t>
      </w:r>
      <w:hyperlink w:anchor="AUTO_1992_9" w:history="1">
        <w:r w:rsidRPr="00815992">
          <w:rPr>
            <w:rStyle w:val="TextoNormalCaracter"/>
          </w:rPr>
          <w:t>9/1992</w:t>
        </w:r>
      </w:hyperlink>
      <w:r>
        <w:t xml:space="preserve">; </w:t>
      </w:r>
      <w:hyperlink w:anchor="AUTO_1992_13" w:history="1">
        <w:r w:rsidRPr="00815992">
          <w:rPr>
            <w:rStyle w:val="TextoNormalCaracter"/>
          </w:rPr>
          <w:t>13/1992</w:t>
        </w:r>
      </w:hyperlink>
      <w:r>
        <w:t xml:space="preserve">; </w:t>
      </w:r>
      <w:hyperlink w:anchor="AUTO_1992_21" w:history="1">
        <w:r w:rsidRPr="00815992">
          <w:rPr>
            <w:rStyle w:val="TextoNormalCaracter"/>
          </w:rPr>
          <w:t>21/1992</w:t>
        </w:r>
      </w:hyperlink>
      <w:r>
        <w:t xml:space="preserve">; </w:t>
      </w:r>
      <w:hyperlink w:anchor="AUTO_1992_23" w:history="1">
        <w:r w:rsidRPr="00815992">
          <w:rPr>
            <w:rStyle w:val="TextoNormalCaracter"/>
          </w:rPr>
          <w:t>23/1992</w:t>
        </w:r>
      </w:hyperlink>
      <w:r>
        <w:t xml:space="preserve">; </w:t>
      </w:r>
      <w:hyperlink w:anchor="AUTO_1992_26" w:history="1">
        <w:r w:rsidRPr="00815992">
          <w:rPr>
            <w:rStyle w:val="TextoNormalCaracter"/>
          </w:rPr>
          <w:t>26/1992</w:t>
        </w:r>
      </w:hyperlink>
      <w:r>
        <w:t xml:space="preserve">; </w:t>
      </w:r>
      <w:hyperlink w:anchor="AUTO_1992_40" w:history="1">
        <w:r w:rsidRPr="00815992">
          <w:rPr>
            <w:rStyle w:val="TextoNormalCaracter"/>
          </w:rPr>
          <w:t>40/1992</w:t>
        </w:r>
      </w:hyperlink>
      <w:r>
        <w:t xml:space="preserve">; </w:t>
      </w:r>
      <w:hyperlink w:anchor="AUTO_1992_61" w:history="1">
        <w:r w:rsidRPr="00815992">
          <w:rPr>
            <w:rStyle w:val="TextoNormalCaracter"/>
          </w:rPr>
          <w:t>61/1992</w:t>
        </w:r>
      </w:hyperlink>
      <w:r>
        <w:t xml:space="preserve">; </w:t>
      </w:r>
      <w:hyperlink w:anchor="AUTO_1992_84" w:history="1">
        <w:r w:rsidRPr="00815992">
          <w:rPr>
            <w:rStyle w:val="TextoNormalCaracter"/>
          </w:rPr>
          <w:t>84/1992</w:t>
        </w:r>
      </w:hyperlink>
      <w:r>
        <w:t xml:space="preserve">;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r w:rsidRPr="00815992">
        <w:rPr>
          <w:rStyle w:val="TextoNormalNegritaCaracter"/>
        </w:rPr>
        <w:t>Artículo 24.1.</w:t>
      </w:r>
      <w:r w:rsidRPr="00815992">
        <w:rPr>
          <w:rStyle w:val="TextoNormalCaracter"/>
        </w:rPr>
        <w:t>-</w:t>
      </w:r>
      <w:r>
        <w:t xml:space="preserve"> Sentencias </w:t>
      </w:r>
      <w:hyperlink w:anchor="SENTENCIA_1992_1" w:history="1">
        <w:r w:rsidRPr="00815992">
          <w:rPr>
            <w:rStyle w:val="TextoNormalCaracter"/>
          </w:rPr>
          <w:t>1/1992</w:t>
        </w:r>
      </w:hyperlink>
      <w:r>
        <w:t xml:space="preserve">, ff. 3, 5, 6; </w:t>
      </w:r>
      <w:hyperlink w:anchor="SENTENCIA_1992_2" w:history="1">
        <w:r w:rsidRPr="00815992">
          <w:rPr>
            <w:rStyle w:val="TextoNormalCaracter"/>
          </w:rPr>
          <w:t>2/1992</w:t>
        </w:r>
      </w:hyperlink>
      <w:r>
        <w:t xml:space="preserve">, f. 2; </w:t>
      </w:r>
      <w:hyperlink w:anchor="SENTENCIA_1992_3" w:history="1">
        <w:r w:rsidRPr="00815992">
          <w:rPr>
            <w:rStyle w:val="TextoNormalCaracter"/>
          </w:rPr>
          <w:t>3/1992</w:t>
        </w:r>
      </w:hyperlink>
      <w:r>
        <w:t xml:space="preserve">, ff. 3, 4; </w:t>
      </w:r>
      <w:hyperlink w:anchor="SENTENCIA_1992_6" w:history="1">
        <w:r w:rsidRPr="00815992">
          <w:rPr>
            <w:rStyle w:val="TextoNormalCaracter"/>
          </w:rPr>
          <w:t>6/1992</w:t>
        </w:r>
      </w:hyperlink>
      <w:r>
        <w:t xml:space="preserve">, ff. 3, 5 a 7; </w:t>
      </w:r>
      <w:hyperlink w:anchor="SENTENCIA_1992_7" w:history="1">
        <w:r w:rsidRPr="00815992">
          <w:rPr>
            <w:rStyle w:val="TextoNormalCaracter"/>
          </w:rPr>
          <w:t>7/1992</w:t>
        </w:r>
      </w:hyperlink>
      <w:r>
        <w:t xml:space="preserve">, f. 4; </w:t>
      </w:r>
      <w:hyperlink w:anchor="SENTENCIA_1992_9" w:history="1">
        <w:r w:rsidRPr="00815992">
          <w:rPr>
            <w:rStyle w:val="TextoNormalCaracter"/>
          </w:rPr>
          <w:t>9/1992</w:t>
        </w:r>
      </w:hyperlink>
      <w:r>
        <w:t xml:space="preserve">, ff. 1, 2, 4; </w:t>
      </w:r>
      <w:hyperlink w:anchor="SENTENCIA_1992_12" w:history="1">
        <w:r w:rsidRPr="00815992">
          <w:rPr>
            <w:rStyle w:val="TextoNormalCaracter"/>
          </w:rPr>
          <w:t>12/1992</w:t>
        </w:r>
      </w:hyperlink>
      <w:r>
        <w:t xml:space="preserve">, ff. 1, 3; </w:t>
      </w:r>
      <w:hyperlink w:anchor="SENTENCIA_1992_14" w:history="1">
        <w:r w:rsidRPr="00815992">
          <w:rPr>
            <w:rStyle w:val="TextoNormalCaracter"/>
          </w:rPr>
          <w:t>14/1992</w:t>
        </w:r>
      </w:hyperlink>
      <w:r>
        <w:t xml:space="preserve">, ff. 3, 6; </w:t>
      </w:r>
      <w:hyperlink w:anchor="SENTENCIA_1992_16" w:history="1">
        <w:r w:rsidRPr="00815992">
          <w:rPr>
            <w:rStyle w:val="TextoNormalCaracter"/>
          </w:rPr>
          <w:t>16/1992</w:t>
        </w:r>
      </w:hyperlink>
      <w:r>
        <w:t xml:space="preserve">, ff. 1, 3; </w:t>
      </w:r>
      <w:hyperlink w:anchor="SENTENCIA_1992_17" w:history="1">
        <w:r w:rsidRPr="00815992">
          <w:rPr>
            <w:rStyle w:val="TextoNormalCaracter"/>
          </w:rPr>
          <w:t>17/1992</w:t>
        </w:r>
      </w:hyperlink>
      <w:r>
        <w:t xml:space="preserve">, ff. 1, 2, 4; </w:t>
      </w:r>
      <w:hyperlink w:anchor="SENTENCIA_1992_20" w:history="1">
        <w:r w:rsidRPr="00815992">
          <w:rPr>
            <w:rStyle w:val="TextoNormalCaracter"/>
          </w:rPr>
          <w:t>20/1992</w:t>
        </w:r>
      </w:hyperlink>
      <w:r>
        <w:t xml:space="preserve">, f. 1; </w:t>
      </w:r>
      <w:hyperlink w:anchor="SENTENCIA_1992_22" w:history="1">
        <w:r w:rsidRPr="00815992">
          <w:rPr>
            <w:rStyle w:val="TextoNormalCaracter"/>
          </w:rPr>
          <w:t>22/1992</w:t>
        </w:r>
      </w:hyperlink>
      <w:r>
        <w:t xml:space="preserve">, ff. 1, 3; </w:t>
      </w:r>
      <w:hyperlink w:anchor="SENTENCIA_1992_23" w:history="1">
        <w:r w:rsidRPr="00815992">
          <w:rPr>
            <w:rStyle w:val="TextoNormalCaracter"/>
          </w:rPr>
          <w:t>23/1992</w:t>
        </w:r>
      </w:hyperlink>
      <w:r>
        <w:t xml:space="preserve">, ff. 1, 3 a 5; </w:t>
      </w:r>
      <w:hyperlink w:anchor="SENTENCIA_1992_27" w:history="1">
        <w:r w:rsidRPr="00815992">
          <w:rPr>
            <w:rStyle w:val="TextoNormalCaracter"/>
          </w:rPr>
          <w:t>27/1992</w:t>
        </w:r>
      </w:hyperlink>
      <w:r>
        <w:t xml:space="preserve">, ff. 1 a, 4; </w:t>
      </w:r>
      <w:hyperlink w:anchor="SENTENCIA_1992_31" w:history="1">
        <w:r w:rsidRPr="00815992">
          <w:rPr>
            <w:rStyle w:val="TextoNormalCaracter"/>
          </w:rPr>
          <w:t>31/1992</w:t>
        </w:r>
      </w:hyperlink>
      <w:r>
        <w:t xml:space="preserve">, ff. 1, 2, 4; </w:t>
      </w:r>
      <w:hyperlink w:anchor="SENTENCIA_1992_32" w:history="1">
        <w:r w:rsidRPr="00815992">
          <w:rPr>
            <w:rStyle w:val="TextoNormalCaracter"/>
          </w:rPr>
          <w:t>32/1992</w:t>
        </w:r>
      </w:hyperlink>
      <w:r>
        <w:t xml:space="preserve">, f. 1; </w:t>
      </w:r>
      <w:hyperlink w:anchor="SENTENCIA_1992_33" w:history="1">
        <w:r w:rsidRPr="00815992">
          <w:rPr>
            <w:rStyle w:val="TextoNormalCaracter"/>
          </w:rPr>
          <w:t>33/1992</w:t>
        </w:r>
      </w:hyperlink>
      <w:r>
        <w:t xml:space="preserve">, f. 1; </w:t>
      </w:r>
      <w:hyperlink w:anchor="SENTENCIA_1992_34" w:history="1">
        <w:r w:rsidRPr="00815992">
          <w:rPr>
            <w:rStyle w:val="TextoNormalCaracter"/>
          </w:rPr>
          <w:t>34/1992</w:t>
        </w:r>
      </w:hyperlink>
      <w:r>
        <w:t xml:space="preserve">, ff. 1 a 3; </w:t>
      </w:r>
      <w:hyperlink w:anchor="SENTENCIA_1992_41" w:history="1">
        <w:r w:rsidRPr="00815992">
          <w:rPr>
            <w:rStyle w:val="TextoNormalCaracter"/>
          </w:rPr>
          <w:t>41/1992</w:t>
        </w:r>
      </w:hyperlink>
      <w:r>
        <w:t xml:space="preserve">, ff. 3, 5, 6; </w:t>
      </w:r>
      <w:hyperlink w:anchor="SENTENCIA_1992_42" w:history="1">
        <w:r w:rsidRPr="00815992">
          <w:rPr>
            <w:rStyle w:val="TextoNormalCaracter"/>
          </w:rPr>
          <w:t>42/1992</w:t>
        </w:r>
      </w:hyperlink>
      <w:r>
        <w:t xml:space="preserve">, ff. 1 a 5; </w:t>
      </w:r>
      <w:hyperlink w:anchor="SENTENCIA_1992_43" w:history="1">
        <w:r w:rsidRPr="00815992">
          <w:rPr>
            <w:rStyle w:val="TextoNormalCaracter"/>
          </w:rPr>
          <w:t>43/1992</w:t>
        </w:r>
      </w:hyperlink>
      <w:r>
        <w:t xml:space="preserve">, ff. 1, 3; </w:t>
      </w:r>
      <w:hyperlink w:anchor="SENTENCIA_1992_47" w:history="1">
        <w:r w:rsidRPr="00815992">
          <w:rPr>
            <w:rStyle w:val="TextoNormalCaracter"/>
          </w:rPr>
          <w:t>47/1992</w:t>
        </w:r>
      </w:hyperlink>
      <w:r>
        <w:t xml:space="preserve">, ff. 2, 3; </w:t>
      </w:r>
      <w:hyperlink w:anchor="SENTENCIA_1992_49" w:history="1">
        <w:r w:rsidRPr="00815992">
          <w:rPr>
            <w:rStyle w:val="TextoNormalCaracter"/>
          </w:rPr>
          <w:t>49/1992</w:t>
        </w:r>
      </w:hyperlink>
      <w:r>
        <w:t xml:space="preserve">, ff. 1, 5; </w:t>
      </w:r>
      <w:hyperlink w:anchor="SENTENCIA_1992_50" w:history="1">
        <w:r w:rsidRPr="00815992">
          <w:rPr>
            <w:rStyle w:val="TextoNormalCaracter"/>
          </w:rPr>
          <w:t>50/1992</w:t>
        </w:r>
      </w:hyperlink>
      <w:r>
        <w:t xml:space="preserve">, f. 1; </w:t>
      </w:r>
      <w:hyperlink w:anchor="SENTENCIA_1992_51" w:history="1">
        <w:r w:rsidRPr="00815992">
          <w:rPr>
            <w:rStyle w:val="TextoNormalCaracter"/>
          </w:rPr>
          <w:t>51/1992</w:t>
        </w:r>
      </w:hyperlink>
      <w:r>
        <w:t xml:space="preserve">, f. 1; </w:t>
      </w:r>
      <w:hyperlink w:anchor="SENTENCIA_1992_52" w:history="1">
        <w:r w:rsidRPr="00815992">
          <w:rPr>
            <w:rStyle w:val="TextoNormalCaracter"/>
          </w:rPr>
          <w:t>52/1992</w:t>
        </w:r>
      </w:hyperlink>
      <w:r>
        <w:t xml:space="preserve">, f. 2; </w:t>
      </w:r>
      <w:hyperlink w:anchor="SENTENCIA_1992_53" w:history="1">
        <w:r w:rsidRPr="00815992">
          <w:rPr>
            <w:rStyle w:val="TextoNormalCaracter"/>
          </w:rPr>
          <w:t>53/1992</w:t>
        </w:r>
      </w:hyperlink>
      <w:r>
        <w:t xml:space="preserve">, ff. 2 a 4; </w:t>
      </w:r>
      <w:hyperlink w:anchor="SENTENCIA_1992_54" w:history="1">
        <w:r w:rsidRPr="00815992">
          <w:rPr>
            <w:rStyle w:val="TextoNormalCaracter"/>
          </w:rPr>
          <w:t>54/1992</w:t>
        </w:r>
      </w:hyperlink>
      <w:r>
        <w:t xml:space="preserve">, ff. 1, 3; </w:t>
      </w:r>
      <w:hyperlink w:anchor="SENTENCIA_1992_55" w:history="1">
        <w:r w:rsidRPr="00815992">
          <w:rPr>
            <w:rStyle w:val="TextoNormalCaracter"/>
          </w:rPr>
          <w:t>55/1992</w:t>
        </w:r>
      </w:hyperlink>
      <w:r>
        <w:t xml:space="preserve">, f. 1; </w:t>
      </w:r>
      <w:hyperlink w:anchor="SENTENCIA_1992_56" w:history="1">
        <w:r w:rsidRPr="00815992">
          <w:rPr>
            <w:rStyle w:val="TextoNormalCaracter"/>
          </w:rPr>
          <w:t>56/1992</w:t>
        </w:r>
      </w:hyperlink>
      <w:r>
        <w:t xml:space="preserve">, ff. 1, 3, 4; </w:t>
      </w:r>
      <w:hyperlink w:anchor="SENTENCIA_1992_58" w:history="1">
        <w:r w:rsidRPr="00815992">
          <w:rPr>
            <w:rStyle w:val="TextoNormalCaracter"/>
          </w:rPr>
          <w:t>58/1992</w:t>
        </w:r>
      </w:hyperlink>
      <w:r>
        <w:t xml:space="preserve">, f. 1; </w:t>
      </w:r>
      <w:hyperlink w:anchor="SENTENCIA_1992_59" w:history="1">
        <w:r w:rsidRPr="00815992">
          <w:rPr>
            <w:rStyle w:val="TextoNormalCaracter"/>
          </w:rPr>
          <w:t>59/1992</w:t>
        </w:r>
      </w:hyperlink>
      <w:r>
        <w:t xml:space="preserve">, f. 2; </w:t>
      </w:r>
      <w:hyperlink w:anchor="SENTENCIA_1992_60" w:history="1">
        <w:r w:rsidRPr="00815992">
          <w:rPr>
            <w:rStyle w:val="TextoNormalCaracter"/>
          </w:rPr>
          <w:t>60/1992</w:t>
        </w:r>
      </w:hyperlink>
      <w:r>
        <w:t xml:space="preserve">, ff. 1, 2; </w:t>
      </w:r>
      <w:hyperlink w:anchor="SENTENCIA_1992_61" w:history="1">
        <w:r w:rsidRPr="00815992">
          <w:rPr>
            <w:rStyle w:val="TextoNormalCaracter"/>
          </w:rPr>
          <w:t>61/1992</w:t>
        </w:r>
      </w:hyperlink>
      <w:r>
        <w:t xml:space="preserve">, ff. 1, 3; </w:t>
      </w:r>
      <w:hyperlink w:anchor="SENTENCIA_1992_63" w:history="1">
        <w:r w:rsidRPr="00815992">
          <w:rPr>
            <w:rStyle w:val="TextoNormalCaracter"/>
          </w:rPr>
          <w:t>63/1992</w:t>
        </w:r>
      </w:hyperlink>
      <w:r>
        <w:t xml:space="preserve">, ff. 1 a 3; </w:t>
      </w:r>
      <w:hyperlink w:anchor="SENTENCIA_1992_64" w:history="1">
        <w:r w:rsidRPr="00815992">
          <w:rPr>
            <w:rStyle w:val="TextoNormalCaracter"/>
          </w:rPr>
          <w:t>64/1992</w:t>
        </w:r>
      </w:hyperlink>
      <w:r>
        <w:t xml:space="preserve">, ff. 1, 3, 5, 6; </w:t>
      </w:r>
      <w:hyperlink w:anchor="SENTENCIA_1992_66" w:history="1">
        <w:r w:rsidRPr="00815992">
          <w:rPr>
            <w:rStyle w:val="TextoNormalCaracter"/>
          </w:rPr>
          <w:t>66/1992</w:t>
        </w:r>
      </w:hyperlink>
      <w:r>
        <w:t>, ff. 1, 2.</w:t>
      </w:r>
    </w:p>
    <w:p w:rsidR="00815992" w:rsidRDefault="00815992" w:rsidP="00815992">
      <w:pPr>
        <w:pStyle w:val="SangriaIzquierdaArticulo"/>
      </w:pPr>
      <w:r>
        <w:t xml:space="preserve">Autos </w:t>
      </w:r>
      <w:hyperlink w:anchor="AUTO_1992_2" w:history="1">
        <w:r w:rsidRPr="00815992">
          <w:rPr>
            <w:rStyle w:val="TextoNormalCaracter"/>
          </w:rPr>
          <w:t>2/1992</w:t>
        </w:r>
      </w:hyperlink>
      <w:r>
        <w:t xml:space="preserve">; </w:t>
      </w:r>
      <w:hyperlink w:anchor="AUTO_1992_4" w:history="1">
        <w:r w:rsidRPr="00815992">
          <w:rPr>
            <w:rStyle w:val="TextoNormalCaracter"/>
          </w:rPr>
          <w:t>4/1992</w:t>
        </w:r>
      </w:hyperlink>
      <w:r>
        <w:t xml:space="preserve">; </w:t>
      </w:r>
      <w:hyperlink w:anchor="AUTO_1992_5" w:history="1">
        <w:r w:rsidRPr="00815992">
          <w:rPr>
            <w:rStyle w:val="TextoNormalCaracter"/>
          </w:rPr>
          <w:t>5/1992</w:t>
        </w:r>
      </w:hyperlink>
      <w:r>
        <w:t xml:space="preserve">; </w:t>
      </w:r>
      <w:hyperlink w:anchor="AUTO_1992_6" w:history="1">
        <w:r w:rsidRPr="00815992">
          <w:rPr>
            <w:rStyle w:val="TextoNormalCaracter"/>
          </w:rPr>
          <w:t>6/1992</w:t>
        </w:r>
      </w:hyperlink>
      <w:r>
        <w:t xml:space="preserve">; </w:t>
      </w:r>
      <w:hyperlink w:anchor="AUTO_1992_7" w:history="1">
        <w:r w:rsidRPr="00815992">
          <w:rPr>
            <w:rStyle w:val="TextoNormalCaracter"/>
          </w:rPr>
          <w:t>7/1992</w:t>
        </w:r>
      </w:hyperlink>
      <w:r>
        <w:t xml:space="preserve">; </w:t>
      </w:r>
      <w:hyperlink w:anchor="AUTO_1992_9" w:history="1">
        <w:r w:rsidRPr="00815992">
          <w:rPr>
            <w:rStyle w:val="TextoNormalCaracter"/>
          </w:rPr>
          <w:t>9/1992</w:t>
        </w:r>
      </w:hyperlink>
      <w:r>
        <w:t xml:space="preserve">; </w:t>
      </w:r>
      <w:hyperlink w:anchor="AUTO_1992_13" w:history="1">
        <w:r w:rsidRPr="00815992">
          <w:rPr>
            <w:rStyle w:val="TextoNormalCaracter"/>
          </w:rPr>
          <w:t>13/1992</w:t>
        </w:r>
      </w:hyperlink>
      <w:r>
        <w:t xml:space="preserve">; </w:t>
      </w:r>
      <w:hyperlink w:anchor="AUTO_1992_17" w:history="1">
        <w:r w:rsidRPr="00815992">
          <w:rPr>
            <w:rStyle w:val="TextoNormalCaracter"/>
          </w:rPr>
          <w:t>17/1992</w:t>
        </w:r>
      </w:hyperlink>
      <w:r>
        <w:t xml:space="preserve">; </w:t>
      </w:r>
      <w:hyperlink w:anchor="AUTO_1992_23" w:history="1">
        <w:r w:rsidRPr="00815992">
          <w:rPr>
            <w:rStyle w:val="TextoNormalCaracter"/>
          </w:rPr>
          <w:t>23/1992</w:t>
        </w:r>
      </w:hyperlink>
      <w:r>
        <w:t xml:space="preserve">; </w:t>
      </w:r>
      <w:hyperlink w:anchor="AUTO_1992_27" w:history="1">
        <w:r w:rsidRPr="00815992">
          <w:rPr>
            <w:rStyle w:val="TextoNormalCaracter"/>
          </w:rPr>
          <w:t>27/1992</w:t>
        </w:r>
      </w:hyperlink>
      <w:r>
        <w:t xml:space="preserve">; </w:t>
      </w:r>
      <w:hyperlink w:anchor="AUTO_1992_37" w:history="1">
        <w:r w:rsidRPr="00815992">
          <w:rPr>
            <w:rStyle w:val="TextoNormalCaracter"/>
          </w:rPr>
          <w:t>37/1992</w:t>
        </w:r>
      </w:hyperlink>
      <w:r>
        <w:t xml:space="preserve">; </w:t>
      </w:r>
      <w:hyperlink w:anchor="AUTO_1992_52" w:history="1">
        <w:r w:rsidRPr="00815992">
          <w:rPr>
            <w:rStyle w:val="TextoNormalCaracter"/>
          </w:rPr>
          <w:t>52/1992</w:t>
        </w:r>
      </w:hyperlink>
      <w:r>
        <w:t xml:space="preserve">; </w:t>
      </w:r>
      <w:hyperlink w:anchor="AUTO_1992_55" w:history="1">
        <w:r w:rsidRPr="00815992">
          <w:rPr>
            <w:rStyle w:val="TextoNormalCaracter"/>
          </w:rPr>
          <w:t>55/1992</w:t>
        </w:r>
      </w:hyperlink>
      <w:r>
        <w:t xml:space="preserve">; </w:t>
      </w:r>
      <w:hyperlink w:anchor="AUTO_1992_60" w:history="1">
        <w:r w:rsidRPr="00815992">
          <w:rPr>
            <w:rStyle w:val="TextoNormalCaracter"/>
          </w:rPr>
          <w:t>60/1992</w:t>
        </w:r>
      </w:hyperlink>
      <w:r>
        <w:t xml:space="preserve">; </w:t>
      </w:r>
      <w:hyperlink w:anchor="AUTO_1992_61" w:history="1">
        <w:r w:rsidRPr="00815992">
          <w:rPr>
            <w:rStyle w:val="TextoNormalCaracter"/>
          </w:rPr>
          <w:t>61/1992</w:t>
        </w:r>
      </w:hyperlink>
      <w:r>
        <w:t xml:space="preserve">; </w:t>
      </w:r>
      <w:hyperlink w:anchor="AUTO_1992_62" w:history="1">
        <w:r w:rsidRPr="00815992">
          <w:rPr>
            <w:rStyle w:val="TextoNormalCaracter"/>
          </w:rPr>
          <w:t>62/1992</w:t>
        </w:r>
      </w:hyperlink>
      <w:r>
        <w:t xml:space="preserve">; </w:t>
      </w:r>
      <w:hyperlink w:anchor="AUTO_1992_72" w:history="1">
        <w:r w:rsidRPr="00815992">
          <w:rPr>
            <w:rStyle w:val="TextoNormalCaracter"/>
          </w:rPr>
          <w:t>72/1992</w:t>
        </w:r>
      </w:hyperlink>
      <w:r>
        <w:t xml:space="preserve">; </w:t>
      </w:r>
      <w:hyperlink w:anchor="AUTO_1992_73" w:history="1">
        <w:r w:rsidRPr="00815992">
          <w:rPr>
            <w:rStyle w:val="TextoNormalCaracter"/>
          </w:rPr>
          <w:t>73/1992</w:t>
        </w:r>
      </w:hyperlink>
      <w:r>
        <w:t xml:space="preserve">; </w:t>
      </w:r>
      <w:hyperlink w:anchor="AUTO_1992_83" w:history="1">
        <w:r w:rsidRPr="00815992">
          <w:rPr>
            <w:rStyle w:val="TextoNormalCaracter"/>
          </w:rPr>
          <w:t>83/1992</w:t>
        </w:r>
      </w:hyperlink>
      <w:r>
        <w:t xml:space="preserve">; </w:t>
      </w:r>
      <w:hyperlink w:anchor="AUTO_1992_86" w:history="1">
        <w:r w:rsidRPr="00815992">
          <w:rPr>
            <w:rStyle w:val="TextoNormalCaracter"/>
          </w:rPr>
          <w:t>86/1992</w:t>
        </w:r>
      </w:hyperlink>
      <w:r>
        <w:t xml:space="preserve">; </w:t>
      </w:r>
      <w:hyperlink w:anchor="AUTO_1992_92" w:history="1">
        <w:r w:rsidRPr="00815992">
          <w:rPr>
            <w:rStyle w:val="TextoNormalCaracter"/>
          </w:rPr>
          <w:t>92/1992</w:t>
        </w:r>
      </w:hyperlink>
      <w:r>
        <w:t xml:space="preserve">; </w:t>
      </w:r>
      <w:hyperlink w:anchor="AUTO_1992_93" w:history="1">
        <w:r w:rsidRPr="00815992">
          <w:rPr>
            <w:rStyle w:val="TextoNormalCaracter"/>
          </w:rPr>
          <w:t>93/1992</w:t>
        </w:r>
      </w:hyperlink>
      <w:r>
        <w:t xml:space="preserve">; </w:t>
      </w:r>
      <w:hyperlink w:anchor="AUTO_1992_96" w:history="1">
        <w:r w:rsidRPr="00815992">
          <w:rPr>
            <w:rStyle w:val="TextoNormalCaracter"/>
          </w:rPr>
          <w:t>96/1992</w:t>
        </w:r>
      </w:hyperlink>
      <w:r>
        <w:t xml:space="preserve">; </w:t>
      </w:r>
      <w:hyperlink w:anchor="AUTO_1992_101" w:history="1">
        <w:r w:rsidRPr="00815992">
          <w:rPr>
            <w:rStyle w:val="TextoNormalCaracter"/>
          </w:rPr>
          <w:t>101/1992</w:t>
        </w:r>
      </w:hyperlink>
      <w:r>
        <w:t xml:space="preserve">; </w:t>
      </w:r>
      <w:hyperlink w:anchor="AUTO_1992_104" w:history="1">
        <w:r w:rsidRPr="00815992">
          <w:rPr>
            <w:rStyle w:val="TextoNormalCaracter"/>
          </w:rPr>
          <w:t>104/1992</w:t>
        </w:r>
      </w:hyperlink>
      <w:r>
        <w:t xml:space="preserve">; </w:t>
      </w:r>
      <w:hyperlink w:anchor="AUTO_1992_105" w:history="1">
        <w:r w:rsidRPr="00815992">
          <w:rPr>
            <w:rStyle w:val="TextoNormalCaracter"/>
          </w:rPr>
          <w:t>105/1992</w:t>
        </w:r>
      </w:hyperlink>
      <w:r>
        <w:t xml:space="preserve">; </w:t>
      </w:r>
      <w:hyperlink w:anchor="AUTO_1992_108" w:history="1">
        <w:r w:rsidRPr="00815992">
          <w:rPr>
            <w:rStyle w:val="TextoNormalCaracter"/>
          </w:rPr>
          <w:t>108/1992</w:t>
        </w:r>
      </w:hyperlink>
      <w:r>
        <w:t xml:space="preserve">; </w:t>
      </w:r>
      <w:hyperlink w:anchor="AUTO_1992_111" w:history="1">
        <w:r w:rsidRPr="00815992">
          <w:rPr>
            <w:rStyle w:val="TextoNormalCaracter"/>
          </w:rPr>
          <w:t>111/1992</w:t>
        </w:r>
      </w:hyperlink>
      <w:r>
        <w:t xml:space="preserve">; </w:t>
      </w:r>
      <w:hyperlink w:anchor="AUTO_1992_114" w:history="1">
        <w:r w:rsidRPr="00815992">
          <w:rPr>
            <w:rStyle w:val="TextoNormalCaracter"/>
          </w:rPr>
          <w:t>114/1992</w:t>
        </w:r>
      </w:hyperlink>
      <w:r>
        <w:t>.</w:t>
      </w:r>
    </w:p>
    <w:p w:rsidR="00815992" w:rsidRDefault="00815992" w:rsidP="00815992">
      <w:pPr>
        <w:pStyle w:val="SangriaFrancesaArticulo"/>
      </w:pPr>
      <w:r w:rsidRPr="00815992">
        <w:rPr>
          <w:rStyle w:val="TextoNormalNegritaCaracter"/>
        </w:rPr>
        <w:t>Artículo 24.2.</w:t>
      </w:r>
      <w:r w:rsidRPr="00815992">
        <w:rPr>
          <w:rStyle w:val="TextoNormalCaracter"/>
        </w:rPr>
        <w:t>-</w:t>
      </w:r>
      <w:r>
        <w:t xml:space="preserve"> Sentencias </w:t>
      </w:r>
      <w:hyperlink w:anchor="SENTENCIA_1992_1" w:history="1">
        <w:r w:rsidRPr="00815992">
          <w:rPr>
            <w:rStyle w:val="TextoNormalCaracter"/>
          </w:rPr>
          <w:t>1/1992</w:t>
        </w:r>
      </w:hyperlink>
      <w:r>
        <w:t xml:space="preserve">, ff. 4 a 6; </w:t>
      </w:r>
      <w:hyperlink w:anchor="SENTENCIA_1992_3" w:history="1">
        <w:r w:rsidRPr="00815992">
          <w:rPr>
            <w:rStyle w:val="TextoNormalCaracter"/>
          </w:rPr>
          <w:t>3/1992</w:t>
        </w:r>
      </w:hyperlink>
      <w:r>
        <w:t xml:space="preserve">, f. 4; </w:t>
      </w:r>
      <w:hyperlink w:anchor="SENTENCIA_1992_7" w:history="1">
        <w:r w:rsidRPr="00815992">
          <w:rPr>
            <w:rStyle w:val="TextoNormalCaracter"/>
          </w:rPr>
          <w:t>7/1992</w:t>
        </w:r>
      </w:hyperlink>
      <w:r>
        <w:t xml:space="preserve">, f. 4; </w:t>
      </w:r>
      <w:hyperlink w:anchor="SENTENCIA_1992_10" w:history="1">
        <w:r w:rsidRPr="00815992">
          <w:rPr>
            <w:rStyle w:val="TextoNormalCaracter"/>
          </w:rPr>
          <w:t>10/1992</w:t>
        </w:r>
      </w:hyperlink>
      <w:r>
        <w:t xml:space="preserve">, ff. 1, 5; </w:t>
      </w:r>
      <w:hyperlink w:anchor="SENTENCIA_1992_14" w:history="1">
        <w:r w:rsidRPr="00815992">
          <w:rPr>
            <w:rStyle w:val="TextoNormalCaracter"/>
          </w:rPr>
          <w:t>14/1992</w:t>
        </w:r>
      </w:hyperlink>
      <w:r>
        <w:t xml:space="preserve">, ff. 3, 6; </w:t>
      </w:r>
      <w:hyperlink w:anchor="SENTENCIA_1992_24" w:history="1">
        <w:r w:rsidRPr="00815992">
          <w:rPr>
            <w:rStyle w:val="TextoNormalCaracter"/>
          </w:rPr>
          <w:t>24/1992</w:t>
        </w:r>
      </w:hyperlink>
      <w:r>
        <w:t xml:space="preserve">, ff. 1, 4; </w:t>
      </w:r>
      <w:hyperlink w:anchor="SENTENCIA_1992_30" w:history="1">
        <w:r w:rsidRPr="00815992">
          <w:rPr>
            <w:rStyle w:val="TextoNormalCaracter"/>
          </w:rPr>
          <w:t>30/1992</w:t>
        </w:r>
      </w:hyperlink>
      <w:r>
        <w:t xml:space="preserve">, ff. 1, 7; </w:t>
      </w:r>
      <w:hyperlink w:anchor="SENTENCIA_1992_33" w:history="1">
        <w:r w:rsidRPr="00815992">
          <w:rPr>
            <w:rStyle w:val="TextoNormalCaracter"/>
          </w:rPr>
          <w:t>33/1992</w:t>
        </w:r>
      </w:hyperlink>
      <w:r>
        <w:t xml:space="preserve">, ff. 1, 4, 5; </w:t>
      </w:r>
      <w:hyperlink w:anchor="SENTENCIA_1992_50" w:history="1">
        <w:r w:rsidRPr="00815992">
          <w:rPr>
            <w:rStyle w:val="TextoNormalCaracter"/>
          </w:rPr>
          <w:t>50/1992</w:t>
        </w:r>
      </w:hyperlink>
      <w:r>
        <w:t xml:space="preserve">, ff. 1, 3; </w:t>
      </w:r>
      <w:hyperlink w:anchor="SENTENCIA_1992_65" w:history="1">
        <w:r w:rsidRPr="00815992">
          <w:rPr>
            <w:rStyle w:val="TextoNormalCaracter"/>
          </w:rPr>
          <w:t>65/1992</w:t>
        </w:r>
      </w:hyperlink>
      <w:r>
        <w:t>, ff. 1 a 4.</w:t>
      </w:r>
    </w:p>
    <w:p w:rsidR="00815992" w:rsidRDefault="00815992" w:rsidP="00815992">
      <w:pPr>
        <w:pStyle w:val="SangriaIzquierdaArticulo"/>
      </w:pPr>
      <w:r>
        <w:t xml:space="preserve">Autos </w:t>
      </w:r>
      <w:hyperlink w:anchor="AUTO_1992_2" w:history="1">
        <w:r w:rsidRPr="00815992">
          <w:rPr>
            <w:rStyle w:val="TextoNormalCaracter"/>
          </w:rPr>
          <w:t>2/1992</w:t>
        </w:r>
      </w:hyperlink>
      <w:r>
        <w:t xml:space="preserve">; </w:t>
      </w:r>
      <w:hyperlink w:anchor="AUTO_1992_3" w:history="1">
        <w:r w:rsidRPr="00815992">
          <w:rPr>
            <w:rStyle w:val="TextoNormalCaracter"/>
          </w:rPr>
          <w:t>3/1992</w:t>
        </w:r>
      </w:hyperlink>
      <w:r>
        <w:t xml:space="preserve">; </w:t>
      </w:r>
      <w:hyperlink w:anchor="AUTO_1992_9" w:history="1">
        <w:r w:rsidRPr="00815992">
          <w:rPr>
            <w:rStyle w:val="TextoNormalCaracter"/>
          </w:rPr>
          <w:t>9/1992</w:t>
        </w:r>
      </w:hyperlink>
      <w:r>
        <w:t xml:space="preserve">; </w:t>
      </w:r>
      <w:hyperlink w:anchor="AUTO_1992_15" w:history="1">
        <w:r w:rsidRPr="00815992">
          <w:rPr>
            <w:rStyle w:val="TextoNormalCaracter"/>
          </w:rPr>
          <w:t>15/1992</w:t>
        </w:r>
      </w:hyperlink>
      <w:r>
        <w:t xml:space="preserve">; </w:t>
      </w:r>
      <w:hyperlink w:anchor="AUTO_1992_16" w:history="1">
        <w:r w:rsidRPr="00815992">
          <w:rPr>
            <w:rStyle w:val="TextoNormalCaracter"/>
          </w:rPr>
          <w:t>16/1992</w:t>
        </w:r>
      </w:hyperlink>
      <w:r>
        <w:t xml:space="preserve">; </w:t>
      </w:r>
      <w:hyperlink w:anchor="AUTO_1992_17" w:history="1">
        <w:r w:rsidRPr="00815992">
          <w:rPr>
            <w:rStyle w:val="TextoNormalCaracter"/>
          </w:rPr>
          <w:t>17/1992</w:t>
        </w:r>
      </w:hyperlink>
      <w:r>
        <w:t xml:space="preserve">; </w:t>
      </w:r>
      <w:hyperlink w:anchor="AUTO_1992_27" w:history="1">
        <w:r w:rsidRPr="00815992">
          <w:rPr>
            <w:rStyle w:val="TextoNormalCaracter"/>
          </w:rPr>
          <w:t>27/1992</w:t>
        </w:r>
      </w:hyperlink>
      <w:r>
        <w:t xml:space="preserve">; </w:t>
      </w:r>
      <w:hyperlink w:anchor="AUTO_1992_60" w:history="1">
        <w:r w:rsidRPr="00815992">
          <w:rPr>
            <w:rStyle w:val="TextoNormalCaracter"/>
          </w:rPr>
          <w:t>60/1992</w:t>
        </w:r>
      </w:hyperlink>
      <w:r>
        <w:t xml:space="preserve">; </w:t>
      </w:r>
      <w:hyperlink w:anchor="AUTO_1992_72" w:history="1">
        <w:r w:rsidRPr="00815992">
          <w:rPr>
            <w:rStyle w:val="TextoNormalCaracter"/>
          </w:rPr>
          <w:t>72/1992</w:t>
        </w:r>
      </w:hyperlink>
      <w:r>
        <w:t xml:space="preserve">; </w:t>
      </w:r>
      <w:hyperlink w:anchor="AUTO_1992_83" w:history="1">
        <w:r w:rsidRPr="00815992">
          <w:rPr>
            <w:rStyle w:val="TextoNormalCaracter"/>
          </w:rPr>
          <w:t>83/1992</w:t>
        </w:r>
      </w:hyperlink>
      <w:r>
        <w:t xml:space="preserve">; </w:t>
      </w:r>
      <w:hyperlink w:anchor="AUTO_1992_84" w:history="1">
        <w:r w:rsidRPr="00815992">
          <w:rPr>
            <w:rStyle w:val="TextoNormalCaracter"/>
          </w:rPr>
          <w:t>84/1992</w:t>
        </w:r>
      </w:hyperlink>
      <w:r>
        <w:t xml:space="preserve">;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 xml:space="preserve">; </w:t>
      </w:r>
      <w:hyperlink w:anchor="AUTO_1992_114" w:history="1">
        <w:r w:rsidRPr="00815992">
          <w:rPr>
            <w:rStyle w:val="TextoNormalCaracter"/>
          </w:rPr>
          <w:t>114/1992</w:t>
        </w:r>
      </w:hyperlink>
      <w:r>
        <w:t>.</w:t>
      </w:r>
    </w:p>
    <w:p w:rsidR="00815992" w:rsidRDefault="00815992" w:rsidP="00815992">
      <w:pPr>
        <w:pStyle w:val="SangriaFrancesaArticulo"/>
      </w:pPr>
      <w:r w:rsidRPr="00815992">
        <w:rPr>
          <w:rStyle w:val="TextoNormalNegritaCaracter"/>
        </w:rPr>
        <w:t>Artículo 25.</w:t>
      </w:r>
      <w:r w:rsidRPr="00815992">
        <w:rPr>
          <w:rStyle w:val="TextoNormalCaracter"/>
        </w:rPr>
        <w:t>-</w:t>
      </w:r>
      <w:r>
        <w:t xml:space="preserve"> Sentencias </w:t>
      </w:r>
      <w:hyperlink w:anchor="SENTENCIA_1992_29" w:history="1">
        <w:r w:rsidRPr="00815992">
          <w:rPr>
            <w:rStyle w:val="TextoNormalCaracter"/>
          </w:rPr>
          <w:t>29/1992</w:t>
        </w:r>
      </w:hyperlink>
      <w:r>
        <w:t xml:space="preserve">, ff. 2, 3; </w:t>
      </w:r>
      <w:hyperlink w:anchor="SENTENCIA_1992_62" w:history="1">
        <w:r w:rsidRPr="00815992">
          <w:rPr>
            <w:rStyle w:val="TextoNormalCaracter"/>
          </w:rPr>
          <w:t>62/1992</w:t>
        </w:r>
      </w:hyperlink>
      <w:r>
        <w:t>, f. 2.</w:t>
      </w:r>
    </w:p>
    <w:p w:rsidR="00815992" w:rsidRDefault="00815992" w:rsidP="00815992">
      <w:pPr>
        <w:pStyle w:val="SangriaFrancesaArticulo"/>
      </w:pPr>
      <w:r w:rsidRPr="00815992">
        <w:rPr>
          <w:rStyle w:val="TextoNormalNegritaCaracter"/>
        </w:rPr>
        <w:t>Artículo 25.1.</w:t>
      </w:r>
      <w:r w:rsidRPr="00815992">
        <w:rPr>
          <w:rStyle w:val="TextoNormalCaracter"/>
        </w:rPr>
        <w:t>-</w:t>
      </w:r>
      <w:r>
        <w:t xml:space="preserve"> Sentencias </w:t>
      </w:r>
      <w:hyperlink w:anchor="SENTENCIA_1992_7" w:history="1">
        <w:r w:rsidRPr="00815992">
          <w:rPr>
            <w:rStyle w:val="TextoNormalCaracter"/>
          </w:rPr>
          <w:t>7/1992</w:t>
        </w:r>
      </w:hyperlink>
      <w:r>
        <w:t xml:space="preserve">, f. 1; </w:t>
      </w:r>
      <w:hyperlink w:anchor="SENTENCIA_1992_62" w:history="1">
        <w:r w:rsidRPr="00815992">
          <w:rPr>
            <w:rStyle w:val="TextoNormalCaracter"/>
          </w:rPr>
          <w:t>62/1992</w:t>
        </w:r>
      </w:hyperlink>
      <w:r>
        <w:t>, ff. 1, 2, 4.</w:t>
      </w:r>
    </w:p>
    <w:p w:rsidR="00815992" w:rsidRDefault="00815992" w:rsidP="00815992">
      <w:pPr>
        <w:pStyle w:val="SangriaIzquierdaArticulo"/>
      </w:pPr>
      <w:r>
        <w:t xml:space="preserve">Autos </w:t>
      </w:r>
      <w:hyperlink w:anchor="AUTO_1992_16" w:history="1">
        <w:r w:rsidRPr="00815992">
          <w:rPr>
            <w:rStyle w:val="TextoNormalCaracter"/>
          </w:rPr>
          <w:t>16/1992</w:t>
        </w:r>
      </w:hyperlink>
      <w:r>
        <w:t xml:space="preserve">; </w:t>
      </w:r>
      <w:hyperlink w:anchor="AUTO_1992_61" w:history="1">
        <w:r w:rsidRPr="00815992">
          <w:rPr>
            <w:rStyle w:val="TextoNormalCaracter"/>
          </w:rPr>
          <w:t>61/1992</w:t>
        </w:r>
      </w:hyperlink>
      <w:r>
        <w:t>.</w:t>
      </w:r>
    </w:p>
    <w:p w:rsidR="00815992" w:rsidRDefault="00815992" w:rsidP="00815992">
      <w:pPr>
        <w:pStyle w:val="SangriaFrancesaArticulo"/>
      </w:pPr>
      <w:r w:rsidRPr="00815992">
        <w:rPr>
          <w:rStyle w:val="TextoNormalNegritaCaracter"/>
        </w:rPr>
        <w:t>Artículo 27.</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62" w:history="1">
        <w:r w:rsidRPr="00815992">
          <w:rPr>
            <w:rStyle w:val="TextoNormalCaracter"/>
          </w:rPr>
          <w:t>62/1992</w:t>
        </w:r>
      </w:hyperlink>
      <w:r>
        <w:t>, f. 2.</w:t>
      </w:r>
    </w:p>
    <w:p w:rsidR="00815992" w:rsidRDefault="00815992" w:rsidP="00815992">
      <w:pPr>
        <w:pStyle w:val="SangriaFrancesaArticulo"/>
      </w:pPr>
      <w:r w:rsidRPr="00815992">
        <w:rPr>
          <w:rStyle w:val="TextoNormalNegritaCaracter"/>
        </w:rPr>
        <w:t>Artículo 27.7.</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28.</w:t>
      </w:r>
      <w:r w:rsidRPr="00815992">
        <w:rPr>
          <w:rStyle w:val="TextoNormalCaracter"/>
        </w:rPr>
        <w:t>-</w:t>
      </w:r>
      <w:r>
        <w:t xml:space="preserve"> Sentencia </w:t>
      </w:r>
      <w:hyperlink w:anchor="SENTENCIA_1992_52" w:history="1">
        <w:r w:rsidRPr="00815992">
          <w:rPr>
            <w:rStyle w:val="TextoNormalCaracter"/>
          </w:rPr>
          <w:t>52/1992</w:t>
        </w:r>
      </w:hyperlink>
      <w:r>
        <w:t>, f. 3.</w:t>
      </w:r>
    </w:p>
    <w:p w:rsidR="00815992" w:rsidRDefault="00815992" w:rsidP="00815992">
      <w:pPr>
        <w:pStyle w:val="SangriaIzquierdaArticulo"/>
      </w:pPr>
      <w:r>
        <w:t xml:space="preserve">Auto </w:t>
      </w:r>
      <w:hyperlink w:anchor="AUTO_1992_71" w:history="1">
        <w:r w:rsidRPr="00815992">
          <w:rPr>
            <w:rStyle w:val="TextoNormalCaracter"/>
          </w:rPr>
          <w:t>71/1992</w:t>
        </w:r>
      </w:hyperlink>
      <w:r>
        <w:t>.</w:t>
      </w:r>
    </w:p>
    <w:p w:rsidR="00815992" w:rsidRDefault="00815992" w:rsidP="00815992">
      <w:pPr>
        <w:pStyle w:val="SangriaFrancesaArticulo"/>
      </w:pPr>
      <w:r w:rsidRPr="00815992">
        <w:rPr>
          <w:rStyle w:val="TextoNormalNegritaCaracter"/>
        </w:rPr>
        <w:t>Artículo 28.1.</w:t>
      </w:r>
      <w:r w:rsidRPr="00815992">
        <w:rPr>
          <w:rStyle w:val="TextoNormalCaracter"/>
        </w:rPr>
        <w:t>-</w:t>
      </w:r>
      <w:r>
        <w:t xml:space="preserve"> Sentencias </w:t>
      </w:r>
      <w:hyperlink w:anchor="SENTENCIA_1992_21" w:history="1">
        <w:r w:rsidRPr="00815992">
          <w:rPr>
            <w:rStyle w:val="TextoNormalCaracter"/>
          </w:rPr>
          <w:t>21/1992</w:t>
        </w:r>
      </w:hyperlink>
      <w:r>
        <w:t xml:space="preserve">, ff. 1, 3, 5; </w:t>
      </w:r>
      <w:hyperlink w:anchor="SENTENCIA_1992_30" w:history="1">
        <w:r w:rsidRPr="00815992">
          <w:rPr>
            <w:rStyle w:val="TextoNormalCaracter"/>
          </w:rPr>
          <w:t>30/1992</w:t>
        </w:r>
      </w:hyperlink>
      <w:r>
        <w:t xml:space="preserve">, ff. 1, 3 a 5; </w:t>
      </w:r>
      <w:hyperlink w:anchor="SENTENCIA_1992_52" w:history="1">
        <w:r w:rsidRPr="00815992">
          <w:rPr>
            <w:rStyle w:val="TextoNormalCaracter"/>
          </w:rPr>
          <w:t>52/1992</w:t>
        </w:r>
      </w:hyperlink>
      <w:r>
        <w:t>, ff. 1, 3.</w:t>
      </w:r>
    </w:p>
    <w:p w:rsidR="00815992" w:rsidRDefault="00815992" w:rsidP="00815992">
      <w:pPr>
        <w:pStyle w:val="SangriaIzquierdaArticulo"/>
      </w:pPr>
      <w:r>
        <w:t xml:space="preserve">Auto </w:t>
      </w:r>
      <w:hyperlink w:anchor="AUTO_1992_25" w:history="1">
        <w:r w:rsidRPr="00815992">
          <w:rPr>
            <w:rStyle w:val="TextoNormalCaracter"/>
          </w:rPr>
          <w:t>25/1992</w:t>
        </w:r>
      </w:hyperlink>
      <w:r>
        <w:t>.</w:t>
      </w:r>
    </w:p>
    <w:p w:rsidR="00815992" w:rsidRDefault="00815992" w:rsidP="00815992">
      <w:pPr>
        <w:pStyle w:val="SangriaFrancesaArticulo"/>
      </w:pPr>
      <w:r w:rsidRPr="00815992">
        <w:rPr>
          <w:rStyle w:val="TextoNormalNegritaCaracter"/>
        </w:rPr>
        <w:t>Artículo 28.2.</w:t>
      </w:r>
      <w:r w:rsidRPr="00815992">
        <w:rPr>
          <w:rStyle w:val="TextoNormalCaracter"/>
        </w:rPr>
        <w:t>-</w:t>
      </w:r>
      <w:r>
        <w:t xml:space="preserve"> Sentencia </w:t>
      </w:r>
      <w:hyperlink w:anchor="SENTENCIA_1992_8" w:history="1">
        <w:r w:rsidRPr="00815992">
          <w:rPr>
            <w:rStyle w:val="TextoNormalCaracter"/>
          </w:rPr>
          <w:t>8/1992</w:t>
        </w:r>
      </w:hyperlink>
      <w:r>
        <w:t>, ff. 1, 4.</w:t>
      </w:r>
    </w:p>
    <w:p w:rsidR="00815992" w:rsidRDefault="00815992" w:rsidP="00815992">
      <w:pPr>
        <w:pStyle w:val="SangriaIzquierdaArticulo"/>
      </w:pPr>
      <w:r>
        <w:t xml:space="preserve">Auto </w:t>
      </w:r>
      <w:hyperlink w:anchor="AUTO_1992_71" w:history="1">
        <w:r w:rsidRPr="00815992">
          <w:rPr>
            <w:rStyle w:val="TextoNormalCaracter"/>
          </w:rPr>
          <w:t>71/1992</w:t>
        </w:r>
      </w:hyperlink>
      <w:r>
        <w:t>.</w:t>
      </w:r>
    </w:p>
    <w:p w:rsidR="00815992" w:rsidRDefault="00815992" w:rsidP="00815992">
      <w:pPr>
        <w:pStyle w:val="SangriaFrancesaArticulo"/>
      </w:pPr>
      <w:r w:rsidRPr="00815992">
        <w:rPr>
          <w:rStyle w:val="TextoNormalNegritaCaracter"/>
        </w:rPr>
        <w:t>Artículo 31.2.</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35.</w:t>
      </w:r>
      <w:r w:rsidRPr="00815992">
        <w:rPr>
          <w:rStyle w:val="TextoNormalCaracter"/>
        </w:rPr>
        <w:t>-</w:t>
      </w:r>
      <w:r>
        <w:t xml:space="preserve"> Sentencia </w:t>
      </w:r>
      <w:hyperlink w:anchor="SENTENCIA_1992_28" w:history="1">
        <w:r w:rsidRPr="00815992">
          <w:rPr>
            <w:rStyle w:val="TextoNormalCaracter"/>
          </w:rPr>
          <w:t>28/1992</w:t>
        </w:r>
      </w:hyperlink>
      <w:r>
        <w:t>, f. 1.</w:t>
      </w:r>
    </w:p>
    <w:p w:rsidR="00815992" w:rsidRDefault="00815992" w:rsidP="00815992">
      <w:pPr>
        <w:pStyle w:val="SangriaFrancesaArticulo"/>
      </w:pPr>
      <w:r w:rsidRPr="00815992">
        <w:rPr>
          <w:rStyle w:val="TextoNormalNegritaCaracter"/>
        </w:rPr>
        <w:t>Artículo 38.</w:t>
      </w:r>
      <w:r w:rsidRPr="00815992">
        <w:rPr>
          <w:rStyle w:val="TextoNormalCaracter"/>
        </w:rPr>
        <w:t>-</w:t>
      </w:r>
      <w:r>
        <w:t xml:space="preserve"> Sentencia </w:t>
      </w:r>
      <w:hyperlink w:anchor="SENTENCIA_1992_14" w:history="1">
        <w:r w:rsidRPr="00815992">
          <w:rPr>
            <w:rStyle w:val="TextoNormalCaracter"/>
          </w:rPr>
          <w:t>14/1992</w:t>
        </w:r>
      </w:hyperlink>
      <w:r>
        <w:t>, f. 12.</w:t>
      </w:r>
    </w:p>
    <w:p w:rsidR="00815992" w:rsidRDefault="00815992" w:rsidP="00815992">
      <w:pPr>
        <w:pStyle w:val="SangriaFrancesaArticulo"/>
      </w:pPr>
      <w:r w:rsidRPr="00815992">
        <w:rPr>
          <w:rStyle w:val="TextoNormalNegritaCaracter"/>
        </w:rPr>
        <w:t>Artículo 45.</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46.</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47.</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48.</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50.</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r w:rsidRPr="00815992">
        <w:rPr>
          <w:rStyle w:val="TextoNormalNegritaCaracter"/>
        </w:rPr>
        <w:t>Artículo 51.</w:t>
      </w:r>
      <w:r w:rsidRPr="00815992">
        <w:rPr>
          <w:rStyle w:val="TextoNormalCaracter"/>
        </w:rPr>
        <w:t>-</w:t>
      </w:r>
      <w:r>
        <w:t xml:space="preserve"> Sentencias </w:t>
      </w:r>
      <w:hyperlink w:anchor="SENTENCIA_1992_14" w:history="1">
        <w:r w:rsidRPr="00815992">
          <w:rPr>
            <w:rStyle w:val="TextoNormalCaracter"/>
          </w:rPr>
          <w:t>14/1992</w:t>
        </w:r>
      </w:hyperlink>
      <w:r>
        <w:t xml:space="preserve">, f. 1; </w:t>
      </w:r>
      <w:hyperlink w:anchor="SENTENCIA_1992_47" w:history="1">
        <w:r w:rsidRPr="00815992">
          <w:rPr>
            <w:rStyle w:val="TextoNormalCaracter"/>
          </w:rPr>
          <w:t>47/1992</w:t>
        </w:r>
      </w:hyperlink>
      <w:r>
        <w:t>, f. 3.</w:t>
      </w:r>
    </w:p>
    <w:p w:rsidR="00815992" w:rsidRDefault="00815992" w:rsidP="00815992">
      <w:pPr>
        <w:pStyle w:val="SangriaIzquierdaArticulo"/>
      </w:pPr>
      <w:r>
        <w:t xml:space="preserve">Auto </w:t>
      </w:r>
      <w:hyperlink w:anchor="AUTO_1992_29" w:history="1">
        <w:r w:rsidRPr="00815992">
          <w:rPr>
            <w:rStyle w:val="TextoNormalCaracter"/>
          </w:rPr>
          <w:t>29/1992</w:t>
        </w:r>
      </w:hyperlink>
      <w:r>
        <w:t>.</w:t>
      </w:r>
    </w:p>
    <w:p w:rsidR="00815992" w:rsidRDefault="00815992" w:rsidP="00815992">
      <w:pPr>
        <w:pStyle w:val="SangriaFrancesaArticulo"/>
      </w:pPr>
      <w:r w:rsidRPr="00815992">
        <w:rPr>
          <w:rStyle w:val="TextoNormalNegritaCaracter"/>
        </w:rPr>
        <w:t>Artículo 51.1.</w:t>
      </w:r>
      <w:r w:rsidRPr="00815992">
        <w:rPr>
          <w:rStyle w:val="TextoNormalCaracter"/>
        </w:rPr>
        <w:t>-</w:t>
      </w:r>
      <w:r>
        <w:t xml:space="preserve"> Sentencia </w:t>
      </w:r>
      <w:hyperlink w:anchor="SENTENCIA_1992_14" w:history="1">
        <w:r w:rsidRPr="00815992">
          <w:rPr>
            <w:rStyle w:val="TextoNormalCaracter"/>
          </w:rPr>
          <w:t>14/1992</w:t>
        </w:r>
      </w:hyperlink>
      <w:r>
        <w:t>, ff. 11, 12.</w:t>
      </w:r>
    </w:p>
    <w:p w:rsidR="00815992" w:rsidRDefault="00815992" w:rsidP="00815992">
      <w:pPr>
        <w:pStyle w:val="SangriaFrancesaArticulo"/>
      </w:pPr>
      <w:r w:rsidRPr="00815992">
        <w:rPr>
          <w:rStyle w:val="TextoNormalNegritaCaracter"/>
        </w:rPr>
        <w:t>Artículo 52.</w:t>
      </w:r>
      <w:r w:rsidRPr="00815992">
        <w:rPr>
          <w:rStyle w:val="TextoNormalCaracter"/>
        </w:rPr>
        <w:t>-</w:t>
      </w:r>
      <w:r>
        <w:t xml:space="preserve"> Sentencia </w:t>
      </w:r>
      <w:hyperlink w:anchor="SENTENCIA_1992_14" w:history="1">
        <w:r w:rsidRPr="00815992">
          <w:rPr>
            <w:rStyle w:val="TextoNormalCaracter"/>
          </w:rPr>
          <w:t>14/1992</w:t>
        </w:r>
      </w:hyperlink>
      <w:r>
        <w:t>, f. 12.</w:t>
      </w:r>
    </w:p>
    <w:p w:rsidR="00815992" w:rsidRDefault="00815992" w:rsidP="00815992">
      <w:pPr>
        <w:pStyle w:val="SangriaFrancesaArticulo"/>
      </w:pPr>
      <w:r w:rsidRPr="00815992">
        <w:rPr>
          <w:rStyle w:val="TextoNormalNegritaCaracter"/>
        </w:rPr>
        <w:t>Artículo 53.</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53.2.</w:t>
      </w:r>
      <w:r w:rsidRPr="00815992">
        <w:rPr>
          <w:rStyle w:val="TextoNormalCaracter"/>
        </w:rPr>
        <w:t>-</w:t>
      </w:r>
      <w:r>
        <w:t xml:space="preserve"> Sentencias </w:t>
      </w:r>
      <w:hyperlink w:anchor="SENTENCIA_1992_28" w:history="1">
        <w:r w:rsidRPr="00815992">
          <w:rPr>
            <w:rStyle w:val="TextoNormalCaracter"/>
          </w:rPr>
          <w:t>28/1992</w:t>
        </w:r>
      </w:hyperlink>
      <w:r>
        <w:t xml:space="preserve">, f. 1; </w:t>
      </w:r>
      <w:hyperlink w:anchor="SENTENCIA_1992_49" w:history="1">
        <w:r w:rsidRPr="00815992">
          <w:rPr>
            <w:rStyle w:val="TextoNormalCaracter"/>
          </w:rPr>
          <w:t>49/1992</w:t>
        </w:r>
      </w:hyperlink>
      <w:r>
        <w:t xml:space="preserve">, f. 3; </w:t>
      </w:r>
      <w:hyperlink w:anchor="SENTENCIA_1992_64" w:history="1">
        <w:r w:rsidRPr="00815992">
          <w:rPr>
            <w:rStyle w:val="TextoNormalCaracter"/>
          </w:rPr>
          <w:t>64/1992</w:t>
        </w:r>
      </w:hyperlink>
      <w:r>
        <w:t>, f. 4.</w:t>
      </w:r>
    </w:p>
    <w:p w:rsidR="00815992" w:rsidRDefault="00815992" w:rsidP="00815992">
      <w:pPr>
        <w:pStyle w:val="SangriaFrancesaArticulo"/>
      </w:pPr>
      <w:r w:rsidRPr="00815992">
        <w:rPr>
          <w:rStyle w:val="TextoNormalNegritaCaracter"/>
        </w:rPr>
        <w:t>Artículo 53.3.</w:t>
      </w:r>
      <w:r w:rsidRPr="00815992">
        <w:rPr>
          <w:rStyle w:val="TextoNormalCaracter"/>
        </w:rPr>
        <w:t>-</w:t>
      </w:r>
      <w:r>
        <w:t xml:space="preserve"> Sentencia </w:t>
      </w:r>
      <w:hyperlink w:anchor="SENTENCIA_1992_14" w:history="1">
        <w:r w:rsidRPr="00815992">
          <w:rPr>
            <w:rStyle w:val="TextoNormalCaracter"/>
          </w:rPr>
          <w:t>14/1992</w:t>
        </w:r>
      </w:hyperlink>
      <w:r>
        <w:t>, ff. 11, 12.</w:t>
      </w:r>
    </w:p>
    <w:p w:rsidR="00815992" w:rsidRDefault="00815992" w:rsidP="00815992">
      <w:pPr>
        <w:pStyle w:val="SangriaFrancesaArticulo"/>
      </w:pPr>
      <w:r w:rsidRPr="00815992">
        <w:rPr>
          <w:rStyle w:val="TextoNormalNegritaCaracter"/>
        </w:rPr>
        <w:t>Artículo 66.2.</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68.</w:t>
      </w:r>
      <w:r w:rsidRPr="00815992">
        <w:rPr>
          <w:rStyle w:val="TextoNormalCaracter"/>
        </w:rPr>
        <w:t>-</w:t>
      </w:r>
      <w:r>
        <w:t xml:space="preserve"> Sentencia </w:t>
      </w:r>
      <w:hyperlink w:anchor="SENTENCIA_1992_45" w:history="1">
        <w:r w:rsidRPr="00815992">
          <w:rPr>
            <w:rStyle w:val="TextoNormalCaracter"/>
          </w:rPr>
          <w:t>45/1992</w:t>
        </w:r>
      </w:hyperlink>
      <w:r>
        <w:t>, f. 5.</w:t>
      </w:r>
    </w:p>
    <w:p w:rsidR="00815992" w:rsidRDefault="00815992" w:rsidP="00815992">
      <w:pPr>
        <w:pStyle w:val="SangriaFrancesaArticulo"/>
      </w:pPr>
      <w:r w:rsidRPr="00815992">
        <w:rPr>
          <w:rStyle w:val="TextoNormalNegritaCaracter"/>
        </w:rPr>
        <w:t>Artículo 69.</w:t>
      </w:r>
      <w:r w:rsidRPr="00815992">
        <w:rPr>
          <w:rStyle w:val="TextoNormalCaracter"/>
        </w:rPr>
        <w:t>-</w:t>
      </w:r>
      <w:r>
        <w:t xml:space="preserve"> Sentencia </w:t>
      </w:r>
      <w:hyperlink w:anchor="SENTENCIA_1992_45" w:history="1">
        <w:r w:rsidRPr="00815992">
          <w:rPr>
            <w:rStyle w:val="TextoNormalCaracter"/>
          </w:rPr>
          <w:t>45/1992</w:t>
        </w:r>
      </w:hyperlink>
      <w:r>
        <w:t>, f. 5.</w:t>
      </w:r>
    </w:p>
    <w:p w:rsidR="00815992" w:rsidRDefault="00815992" w:rsidP="00815992">
      <w:pPr>
        <w:pStyle w:val="SangriaFrancesaArticulo"/>
      </w:pPr>
      <w:r w:rsidRPr="00815992">
        <w:rPr>
          <w:rStyle w:val="TextoNormalNegritaCaracter"/>
        </w:rPr>
        <w:t>Artículo 69.5.</w:t>
      </w:r>
      <w:r w:rsidRPr="00815992">
        <w:rPr>
          <w:rStyle w:val="TextoNormalCaracter"/>
        </w:rPr>
        <w:t>-</w:t>
      </w:r>
      <w:r>
        <w:t xml:space="preserve"> Sentencia </w:t>
      </w:r>
      <w:hyperlink w:anchor="SENTENCIA_1992_4" w:history="1">
        <w:r w:rsidRPr="00815992">
          <w:rPr>
            <w:rStyle w:val="TextoNormalCaracter"/>
          </w:rPr>
          <w:t>4/1992</w:t>
        </w:r>
      </w:hyperlink>
      <w:r>
        <w:t>, ff. 1 a 3.</w:t>
      </w:r>
    </w:p>
    <w:p w:rsidR="00815992" w:rsidRDefault="00815992" w:rsidP="00815992">
      <w:pPr>
        <w:pStyle w:val="SangriaFrancesaArticulo"/>
      </w:pPr>
      <w:r w:rsidRPr="00815992">
        <w:rPr>
          <w:rStyle w:val="TextoNormalNegritaCaracter"/>
        </w:rPr>
        <w:t>Artículo 82.</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Artículo 82.3.</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Artículo 82.5.</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Artículo 103.1.</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117.</w:t>
      </w:r>
      <w:r w:rsidRPr="00815992">
        <w:rPr>
          <w:rStyle w:val="TextoNormalCaracter"/>
        </w:rPr>
        <w:t>-</w:t>
      </w:r>
      <w:r>
        <w:t xml:space="preserve"> 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117.3.</w:t>
      </w:r>
      <w:r w:rsidRPr="00815992">
        <w:rPr>
          <w:rStyle w:val="TextoNormalCaracter"/>
        </w:rPr>
        <w:t>-</w:t>
      </w:r>
      <w:r>
        <w:t xml:space="preserve"> Sentencias </w:t>
      </w:r>
      <w:hyperlink w:anchor="SENTENCIA_1992_6" w:history="1">
        <w:r w:rsidRPr="00815992">
          <w:rPr>
            <w:rStyle w:val="TextoNormalCaracter"/>
          </w:rPr>
          <w:t>6/1992</w:t>
        </w:r>
      </w:hyperlink>
      <w:r>
        <w:t xml:space="preserve">, f. 4; </w:t>
      </w:r>
      <w:hyperlink w:anchor="SENTENCIA_1992_14" w:history="1">
        <w:r w:rsidRPr="00815992">
          <w:rPr>
            <w:rStyle w:val="TextoNormalCaracter"/>
          </w:rPr>
          <w:t>14/1992</w:t>
        </w:r>
      </w:hyperlink>
      <w:r>
        <w:t xml:space="preserve">, f. 5; </w:t>
      </w:r>
      <w:hyperlink w:anchor="SENTENCIA_1992_23" w:history="1">
        <w:r w:rsidRPr="00815992">
          <w:rPr>
            <w:rStyle w:val="TextoNormalCaracter"/>
          </w:rPr>
          <w:t>23/1992</w:t>
        </w:r>
      </w:hyperlink>
      <w:r>
        <w:t xml:space="preserve">, f. 2; </w:t>
      </w:r>
      <w:hyperlink w:anchor="SENTENCIA_1992_39" w:history="1">
        <w:r w:rsidRPr="00815992">
          <w:rPr>
            <w:rStyle w:val="TextoNormalCaracter"/>
          </w:rPr>
          <w:t>39/1992</w:t>
        </w:r>
      </w:hyperlink>
      <w:r>
        <w:t xml:space="preserve">, f. 5; </w:t>
      </w:r>
      <w:hyperlink w:anchor="SENTENCIA_1992_42" w:history="1">
        <w:r w:rsidRPr="00815992">
          <w:rPr>
            <w:rStyle w:val="TextoNormalCaracter"/>
          </w:rPr>
          <w:t>42/1992</w:t>
        </w:r>
      </w:hyperlink>
      <w:r>
        <w:t xml:space="preserve">, f. 5; </w:t>
      </w:r>
      <w:hyperlink w:anchor="SENTENCIA_1992_55" w:history="1">
        <w:r w:rsidRPr="00815992">
          <w:rPr>
            <w:rStyle w:val="TextoNormalCaracter"/>
          </w:rPr>
          <w:t>55/1992</w:t>
        </w:r>
      </w:hyperlink>
      <w:r>
        <w:t>, f. 2.</w:t>
      </w:r>
    </w:p>
    <w:p w:rsidR="00815992" w:rsidRDefault="00815992" w:rsidP="00815992">
      <w:pPr>
        <w:pStyle w:val="SangriaIzquierdaArticulo"/>
      </w:pPr>
      <w:r>
        <w:t xml:space="preserve">Auto </w:t>
      </w:r>
      <w:hyperlink w:anchor="AUTO_1992_72" w:history="1">
        <w:r w:rsidRPr="00815992">
          <w:rPr>
            <w:rStyle w:val="TextoNormalCaracter"/>
          </w:rPr>
          <w:t>72/1992</w:t>
        </w:r>
      </w:hyperlink>
      <w:r>
        <w:t>.</w:t>
      </w:r>
    </w:p>
    <w:p w:rsidR="00815992" w:rsidRDefault="00815992" w:rsidP="00815992">
      <w:pPr>
        <w:pStyle w:val="SangriaFrancesaArticulo"/>
      </w:pPr>
      <w:r w:rsidRPr="00815992">
        <w:rPr>
          <w:rStyle w:val="TextoNormalNegritaCaracter"/>
        </w:rPr>
        <w:t>Artículo 118.</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IzquierdaArticulo"/>
      </w:pPr>
      <w:r>
        <w:t xml:space="preserve">Autos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r w:rsidRPr="00815992">
        <w:rPr>
          <w:rStyle w:val="TextoNormalNegritaCaracter"/>
        </w:rPr>
        <w:t>Artículo 120.3.</w:t>
      </w:r>
      <w:r w:rsidRPr="00815992">
        <w:rPr>
          <w:rStyle w:val="TextoNormalCaracter"/>
        </w:rPr>
        <w:t>-</w:t>
      </w:r>
      <w:r>
        <w:t xml:space="preserve"> Sentencia </w:t>
      </w:r>
      <w:hyperlink w:anchor="SENTENCIA_1992_34" w:history="1">
        <w:r w:rsidRPr="00815992">
          <w:rPr>
            <w:rStyle w:val="TextoNormalCaracter"/>
          </w:rPr>
          <w:t>34/1992</w:t>
        </w:r>
      </w:hyperlink>
      <w:r>
        <w:t>, f. 3.</w:t>
      </w:r>
    </w:p>
    <w:p w:rsidR="00815992" w:rsidRDefault="00815992" w:rsidP="00815992">
      <w:pPr>
        <w:pStyle w:val="SangriaFrancesaArticulo"/>
      </w:pPr>
      <w:r w:rsidRPr="00815992">
        <w:rPr>
          <w:rStyle w:val="TextoNormalNegritaCaracter"/>
        </w:rPr>
        <w:lastRenderedPageBreak/>
        <w:t>Artículo 129.3.</w:t>
      </w:r>
      <w:r w:rsidRPr="00815992">
        <w:rPr>
          <w:rStyle w:val="TextoNormalCaracter"/>
        </w:rPr>
        <w:t>-</w:t>
      </w:r>
      <w:r>
        <w:t xml:space="preserve"> Auto </w:t>
      </w:r>
      <w:hyperlink w:anchor="AUTO_1992_25" w:history="1">
        <w:r w:rsidRPr="00815992">
          <w:rPr>
            <w:rStyle w:val="TextoNormalCaracter"/>
          </w:rPr>
          <w:t>25/1992</w:t>
        </w:r>
      </w:hyperlink>
      <w:r>
        <w:t>.</w:t>
      </w:r>
    </w:p>
    <w:p w:rsidR="00815992" w:rsidRDefault="00815992" w:rsidP="00815992">
      <w:pPr>
        <w:pStyle w:val="SangriaFrancesaArticulo"/>
      </w:pPr>
      <w:r w:rsidRPr="00815992">
        <w:rPr>
          <w:rStyle w:val="TextoNormalNegritaCaracter"/>
        </w:rPr>
        <w:t>Artículo 130.</w:t>
      </w:r>
      <w:r w:rsidRPr="00815992">
        <w:rPr>
          <w:rStyle w:val="TextoNormalCaracter"/>
        </w:rPr>
        <w:t>-</w:t>
      </w:r>
      <w:r>
        <w:t xml:space="preserve"> Sentencia </w:t>
      </w:r>
      <w:hyperlink w:anchor="SENTENCIA_1992_14" w:history="1">
        <w:r w:rsidRPr="00815992">
          <w:rPr>
            <w:rStyle w:val="TextoNormalCaracter"/>
          </w:rPr>
          <w:t>14/1992</w:t>
        </w:r>
      </w:hyperlink>
      <w:r>
        <w:t>, f. 12.</w:t>
      </w:r>
    </w:p>
    <w:p w:rsidR="00815992" w:rsidRDefault="00815992" w:rsidP="00815992">
      <w:pPr>
        <w:pStyle w:val="SangriaFrancesaArticulo"/>
      </w:pPr>
      <w:r w:rsidRPr="00815992">
        <w:rPr>
          <w:rStyle w:val="TextoNormalNegritaCaracter"/>
        </w:rPr>
        <w:t>Artículo 134.</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134.1.</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137.</w:t>
      </w:r>
      <w:r w:rsidRPr="00815992">
        <w:rPr>
          <w:rStyle w:val="TextoNormalCaracter"/>
        </w:rPr>
        <w:t>-</w:t>
      </w:r>
      <w:r>
        <w:t xml:space="preserve"> Sentencias </w:t>
      </w:r>
      <w:hyperlink w:anchor="SENTENCIA_1992_13" w:history="1">
        <w:r w:rsidRPr="00815992">
          <w:rPr>
            <w:rStyle w:val="TextoNormalCaracter"/>
          </w:rPr>
          <w:t>13/1992</w:t>
        </w:r>
      </w:hyperlink>
      <w:r>
        <w:t xml:space="preserve">, f. 6; </w:t>
      </w:r>
      <w:hyperlink w:anchor="SENTENCIA_1992_46" w:history="1">
        <w:r w:rsidRPr="00815992">
          <w:rPr>
            <w:rStyle w:val="TextoNormalCaracter"/>
          </w:rPr>
          <w:t>46/1992</w:t>
        </w:r>
      </w:hyperlink>
      <w:r>
        <w:t>, f. 2.</w:t>
      </w:r>
    </w:p>
    <w:p w:rsidR="00815992" w:rsidRDefault="00815992" w:rsidP="00815992">
      <w:pPr>
        <w:pStyle w:val="SangriaFrancesaArticulo"/>
      </w:pPr>
      <w:r w:rsidRPr="00815992">
        <w:rPr>
          <w:rStyle w:val="TextoNormalNegritaCaracter"/>
        </w:rPr>
        <w:t>Artículo 140.</w:t>
      </w:r>
      <w:r w:rsidRPr="00815992">
        <w:rPr>
          <w:rStyle w:val="TextoNormalCaracter"/>
        </w:rPr>
        <w:t>-</w:t>
      </w:r>
      <w:r>
        <w:t xml:space="preserve"> Sentencia </w:t>
      </w:r>
      <w:hyperlink w:anchor="SENTENCIA_1992_46" w:history="1">
        <w:r w:rsidRPr="00815992">
          <w:rPr>
            <w:rStyle w:val="TextoNormalCaracter"/>
          </w:rPr>
          <w:t>46/1992</w:t>
        </w:r>
      </w:hyperlink>
      <w:r>
        <w:t>, ff. 1, 2.</w:t>
      </w:r>
    </w:p>
    <w:p w:rsidR="00815992" w:rsidRDefault="00815992" w:rsidP="00815992">
      <w:pPr>
        <w:pStyle w:val="SangriaFrancesaArticulo"/>
      </w:pPr>
      <w:r w:rsidRPr="00815992">
        <w:rPr>
          <w:rStyle w:val="TextoNormalNegritaCaracter"/>
        </w:rPr>
        <w:t>Artículo 148.</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148.1.9.</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148.1.20.</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r w:rsidRPr="00815992">
        <w:rPr>
          <w:rStyle w:val="TextoNormalNegritaCaracter"/>
        </w:rPr>
        <w:t>Artículo 149.</w:t>
      </w:r>
      <w:r w:rsidRPr="00815992">
        <w:rPr>
          <w:rStyle w:val="TextoNormalCaracter"/>
        </w:rPr>
        <w:t>-</w:t>
      </w:r>
      <w:r>
        <w:t xml:space="preserve"> Sentencia </w:t>
      </w:r>
      <w:hyperlink w:anchor="SENTENCIA_1992_13" w:history="1">
        <w:r w:rsidRPr="00815992">
          <w:rPr>
            <w:rStyle w:val="TextoNormalCaracter"/>
          </w:rPr>
          <w:t>13/1992</w:t>
        </w:r>
      </w:hyperlink>
      <w:r>
        <w:t>, f. 7.</w:t>
      </w:r>
    </w:p>
    <w:p w:rsidR="00815992" w:rsidRDefault="00815992" w:rsidP="00815992">
      <w:pPr>
        <w:pStyle w:val="SangriaFrancesaArticulo"/>
      </w:pPr>
      <w:r w:rsidRPr="00815992">
        <w:rPr>
          <w:rStyle w:val="TextoNormalNegritaCaracter"/>
        </w:rPr>
        <w:t>Artículo 149.1.1.</w:t>
      </w:r>
      <w:r w:rsidRPr="00815992">
        <w:rPr>
          <w:rStyle w:val="TextoNormalCaracter"/>
        </w:rPr>
        <w:t>-</w:t>
      </w:r>
      <w:r>
        <w:t xml:space="preserve"> Sentencia </w:t>
      </w:r>
      <w:hyperlink w:anchor="SENTENCIA_1992_13" w:history="1">
        <w:r w:rsidRPr="00815992">
          <w:rPr>
            <w:rStyle w:val="TextoNormalCaracter"/>
          </w:rPr>
          <w:t>13/1992</w:t>
        </w:r>
      </w:hyperlink>
      <w:r>
        <w:t>, ff. 7, 14.</w:t>
      </w:r>
    </w:p>
    <w:p w:rsidR="00815992" w:rsidRDefault="00815992" w:rsidP="00815992">
      <w:pPr>
        <w:pStyle w:val="SangriaIzquierdaArticulo"/>
      </w:pPr>
      <w:r>
        <w:t xml:space="preserve">Auto </w:t>
      </w:r>
      <w:hyperlink w:anchor="AUTO_1992_29" w:history="1">
        <w:r w:rsidRPr="00815992">
          <w:rPr>
            <w:rStyle w:val="TextoNormalCaracter"/>
          </w:rPr>
          <w:t>29/1992</w:t>
        </w:r>
      </w:hyperlink>
      <w:r>
        <w:t>.</w:t>
      </w:r>
    </w:p>
    <w:p w:rsidR="00815992" w:rsidRDefault="00815992" w:rsidP="00815992">
      <w:pPr>
        <w:pStyle w:val="SangriaFrancesaArticulo"/>
      </w:pPr>
      <w:r w:rsidRPr="00815992">
        <w:rPr>
          <w:rStyle w:val="TextoNormalNegritaCaracter"/>
        </w:rPr>
        <w:t>Artículo 149.1.2.</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149.1.3.</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149.1.4.</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149.1.6.</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35" w:history="1">
        <w:r w:rsidRPr="00815992">
          <w:rPr>
            <w:rStyle w:val="TextoNormalCaracter"/>
          </w:rPr>
          <w:t>35/1992</w:t>
        </w:r>
      </w:hyperlink>
      <w:r>
        <w:t>, f. 2.</w:t>
      </w:r>
    </w:p>
    <w:p w:rsidR="00815992" w:rsidRDefault="00815992" w:rsidP="00815992">
      <w:pPr>
        <w:pStyle w:val="SangriaFrancesaArticulo"/>
      </w:pPr>
      <w:r w:rsidRPr="00815992">
        <w:rPr>
          <w:rStyle w:val="TextoNormalNegritaCaracter"/>
        </w:rPr>
        <w:t>Artículo 149.1.7.</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68" w:history="1">
        <w:r w:rsidRPr="00815992">
          <w:rPr>
            <w:rStyle w:val="TextoNormalCaracter"/>
          </w:rPr>
          <w:t>68/1992</w:t>
        </w:r>
      </w:hyperlink>
      <w:r>
        <w:t>, VP.</w:t>
      </w:r>
    </w:p>
    <w:p w:rsidR="00815992" w:rsidRDefault="00815992" w:rsidP="00815992">
      <w:pPr>
        <w:pStyle w:val="SangriaFrancesaArticulo"/>
      </w:pPr>
      <w:r w:rsidRPr="00815992">
        <w:rPr>
          <w:rStyle w:val="TextoNormalNegritaCaracter"/>
        </w:rPr>
        <w:t>Artículo 149.1.8.</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149.1.11.</w:t>
      </w:r>
      <w:r w:rsidRPr="00815992">
        <w:rPr>
          <w:rStyle w:val="TextoNormalCaracter"/>
        </w:rPr>
        <w:t>-</w:t>
      </w:r>
      <w:r>
        <w:t xml:space="preserve"> Sentencias </w:t>
      </w:r>
      <w:hyperlink w:anchor="SENTENCIA_1992_35" w:history="1">
        <w:r w:rsidRPr="00815992">
          <w:rPr>
            <w:rStyle w:val="TextoNormalCaracter"/>
          </w:rPr>
          <w:t>35/1992</w:t>
        </w:r>
      </w:hyperlink>
      <w:r>
        <w:t xml:space="preserve">, f. 2;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Artículo 149.1.13.</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35" w:history="1">
        <w:r w:rsidRPr="00815992">
          <w:rPr>
            <w:rStyle w:val="TextoNormalCaracter"/>
          </w:rPr>
          <w:t>35/1992</w:t>
        </w:r>
      </w:hyperlink>
      <w:r>
        <w:t>, f. 2.</w:t>
      </w:r>
    </w:p>
    <w:p w:rsidR="00815992" w:rsidRDefault="00815992" w:rsidP="00815992">
      <w:pPr>
        <w:pStyle w:val="SangriaFrancesaArticulo"/>
      </w:pPr>
      <w:r w:rsidRPr="00815992">
        <w:rPr>
          <w:rStyle w:val="TextoNormalNegritaCaracter"/>
        </w:rPr>
        <w:t>Artículo 149.1.14.</w:t>
      </w:r>
      <w:r w:rsidRPr="00815992">
        <w:rPr>
          <w:rStyle w:val="TextoNormalCaracter"/>
        </w:rPr>
        <w:t>-</w:t>
      </w:r>
      <w:r>
        <w:t xml:space="preserve"> Sentencia </w:t>
      </w:r>
      <w:hyperlink w:anchor="SENTENCIA_1992_13" w:history="1">
        <w:r w:rsidRPr="00815992">
          <w:rPr>
            <w:rStyle w:val="TextoNormalCaracter"/>
          </w:rPr>
          <w:t>13/1992</w:t>
        </w:r>
      </w:hyperlink>
      <w:r>
        <w:t>, ff. 6, 16.</w:t>
      </w:r>
    </w:p>
    <w:p w:rsidR="00815992" w:rsidRDefault="00815992" w:rsidP="00815992">
      <w:pPr>
        <w:pStyle w:val="SangriaFrancesaArticulo"/>
      </w:pPr>
      <w:r w:rsidRPr="00815992">
        <w:rPr>
          <w:rStyle w:val="TextoNormalNegritaCaracter"/>
        </w:rPr>
        <w:t>Artículo 149.1.15.</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149.1.16.</w:t>
      </w:r>
      <w:r w:rsidRPr="00815992">
        <w:rPr>
          <w:rStyle w:val="TextoNormalCaracter"/>
        </w:rPr>
        <w:t>-</w:t>
      </w:r>
      <w:r>
        <w:t xml:space="preserve"> Sentencia </w:t>
      </w:r>
      <w:hyperlink w:anchor="SENTENCIA_1992_13" w:history="1">
        <w:r w:rsidRPr="00815992">
          <w:rPr>
            <w:rStyle w:val="TextoNormalCaracter"/>
          </w:rPr>
          <w:t>13/1992</w:t>
        </w:r>
      </w:hyperlink>
      <w:r>
        <w:t>, ff. 12, 13.</w:t>
      </w:r>
    </w:p>
    <w:p w:rsidR="00815992" w:rsidRDefault="00815992" w:rsidP="00815992">
      <w:pPr>
        <w:pStyle w:val="SangriaFrancesaArticulo"/>
      </w:pPr>
      <w:r w:rsidRPr="00815992">
        <w:rPr>
          <w:rStyle w:val="TextoNormalNegritaCaracter"/>
        </w:rPr>
        <w:t>Artículo 149.1.17.</w:t>
      </w:r>
      <w:r w:rsidRPr="00815992">
        <w:rPr>
          <w:rStyle w:val="TextoNormalCaracter"/>
        </w:rPr>
        <w:t>-</w:t>
      </w:r>
      <w:r>
        <w:t xml:space="preserve"> Sentencia </w:t>
      </w:r>
      <w:hyperlink w:anchor="SENTENCIA_1992_13" w:history="1">
        <w:r w:rsidRPr="00815992">
          <w:rPr>
            <w:rStyle w:val="TextoNormalCaracter"/>
          </w:rPr>
          <w:t>13/1992</w:t>
        </w:r>
      </w:hyperlink>
      <w:r>
        <w:t>, ff. 12, 13.</w:t>
      </w:r>
    </w:p>
    <w:p w:rsidR="00815992" w:rsidRDefault="00815992" w:rsidP="00815992">
      <w:pPr>
        <w:pStyle w:val="SangriaFrancesaArticulo"/>
      </w:pPr>
      <w:r w:rsidRPr="00815992">
        <w:rPr>
          <w:rStyle w:val="TextoNormalNegritaCaracter"/>
        </w:rPr>
        <w:t>Artículo 149.1.18.</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r w:rsidRPr="00815992">
        <w:rPr>
          <w:rStyle w:val="TextoNormalNegritaCaracter"/>
        </w:rPr>
        <w:t>Artículo 149.1.19.</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44" w:history="1">
        <w:r w:rsidRPr="00815992">
          <w:rPr>
            <w:rStyle w:val="TextoNormalCaracter"/>
          </w:rPr>
          <w:t>44/1992</w:t>
        </w:r>
      </w:hyperlink>
      <w:r>
        <w:t xml:space="preserve">, ff. 1 a 3; </w:t>
      </w:r>
      <w:hyperlink w:anchor="SENTENCIA_1992_57" w:history="1">
        <w:r w:rsidRPr="00815992">
          <w:rPr>
            <w:rStyle w:val="TextoNormalCaracter"/>
          </w:rPr>
          <w:t>57/1992</w:t>
        </w:r>
      </w:hyperlink>
      <w:r>
        <w:t xml:space="preserve">, ff. 1, 2; </w:t>
      </w:r>
      <w:hyperlink w:anchor="SENTENCIA_1992_68" w:history="1">
        <w:r w:rsidRPr="00815992">
          <w:rPr>
            <w:rStyle w:val="TextoNormalCaracter"/>
          </w:rPr>
          <w:t>68/1992</w:t>
        </w:r>
      </w:hyperlink>
      <w:r>
        <w:t>, VP.</w:t>
      </w:r>
    </w:p>
    <w:p w:rsidR="00815992" w:rsidRDefault="00815992" w:rsidP="00815992">
      <w:pPr>
        <w:pStyle w:val="SangriaFrancesaArticulo"/>
      </w:pPr>
      <w:r w:rsidRPr="00815992">
        <w:rPr>
          <w:rStyle w:val="TextoNormalNegritaCaracter"/>
        </w:rPr>
        <w:t>Artículo 149.1.21.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149.1.22.</w:t>
      </w:r>
      <w:r w:rsidRPr="00815992">
        <w:rPr>
          <w:rStyle w:val="TextoNormalCaracter"/>
        </w:rPr>
        <w:t>-</w:t>
      </w:r>
      <w:r>
        <w:t xml:space="preserve"> Sentencia </w:t>
      </w:r>
      <w:hyperlink w:anchor="SENTENCIA_1992_67" w:history="1">
        <w:r w:rsidRPr="00815992">
          <w:rPr>
            <w:rStyle w:val="TextoNormalCaracter"/>
          </w:rPr>
          <w:t>67/1992</w:t>
        </w:r>
      </w:hyperlink>
      <w:r>
        <w:t>, ff. 2, 4.</w:t>
      </w:r>
    </w:p>
    <w:p w:rsidR="00815992" w:rsidRDefault="00815992" w:rsidP="00815992">
      <w:pPr>
        <w:pStyle w:val="SangriaFrancesaArticulo"/>
      </w:pPr>
      <w:r w:rsidRPr="00815992">
        <w:rPr>
          <w:rStyle w:val="TextoNormalNegritaCaracter"/>
        </w:rPr>
        <w:t>Artículo 149.1.23.</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149.1.25.</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149.1.26.</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r w:rsidRPr="00815992">
        <w:rPr>
          <w:rStyle w:val="TextoNormalNegritaCaracter"/>
        </w:rPr>
        <w:t>Artículo 149.1.29.</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37" w:history="1">
        <w:r w:rsidRPr="00815992">
          <w:rPr>
            <w:rStyle w:val="TextoNormalCaracter"/>
          </w:rPr>
          <w:t>37/1992</w:t>
        </w:r>
      </w:hyperlink>
      <w:r>
        <w:t>, f. 3.</w:t>
      </w:r>
    </w:p>
    <w:p w:rsidR="00815992" w:rsidRDefault="00815992" w:rsidP="00815992">
      <w:pPr>
        <w:pStyle w:val="SangriaFrancesaArticulo"/>
      </w:pPr>
      <w:r w:rsidRPr="00815992">
        <w:rPr>
          <w:rStyle w:val="TextoNormalNegritaCaracter"/>
        </w:rPr>
        <w:t>Artículo 149.1.30.</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149.2.</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152.1.</w:t>
      </w:r>
      <w:r w:rsidRPr="00815992">
        <w:rPr>
          <w:rStyle w:val="TextoNormalCaracter"/>
        </w:rPr>
        <w:t>-</w:t>
      </w:r>
      <w:r>
        <w:t xml:space="preserve"> Sentencia </w:t>
      </w:r>
      <w:hyperlink w:anchor="SENTENCIA_1992_45" w:history="1">
        <w:r w:rsidRPr="00815992">
          <w:rPr>
            <w:rStyle w:val="TextoNormalCaracter"/>
          </w:rPr>
          <w:t>45/1992</w:t>
        </w:r>
      </w:hyperlink>
      <w:r>
        <w:t>, f. 1.</w:t>
      </w:r>
    </w:p>
    <w:p w:rsidR="00815992" w:rsidRDefault="00815992" w:rsidP="00815992">
      <w:pPr>
        <w:pStyle w:val="SangriaFrancesaArticulo"/>
      </w:pPr>
      <w:r w:rsidRPr="00815992">
        <w:rPr>
          <w:rStyle w:val="TextoNormalNegritaCaracter"/>
        </w:rPr>
        <w:t>Artículo 156.</w:t>
      </w:r>
      <w:r w:rsidRPr="00815992">
        <w:rPr>
          <w:rStyle w:val="TextoNormalCaracter"/>
        </w:rPr>
        <w:t>-</w:t>
      </w:r>
      <w:r>
        <w:t xml:space="preserve"> Sentencia </w:t>
      </w:r>
      <w:hyperlink w:anchor="SENTENCIA_1992_13" w:history="1">
        <w:r w:rsidRPr="00815992">
          <w:rPr>
            <w:rStyle w:val="TextoNormalCaracter"/>
          </w:rPr>
          <w:t>13/1992</w:t>
        </w:r>
      </w:hyperlink>
      <w:r>
        <w:t>, ff. 1, 6.</w:t>
      </w:r>
    </w:p>
    <w:p w:rsidR="00815992" w:rsidRDefault="00815992" w:rsidP="00815992">
      <w:pPr>
        <w:pStyle w:val="SangriaFrancesaArticulo"/>
      </w:pPr>
      <w:r w:rsidRPr="00815992">
        <w:rPr>
          <w:rStyle w:val="TextoNormalNegritaCaracter"/>
        </w:rPr>
        <w:t>Artículo 156.1.</w:t>
      </w:r>
      <w:r w:rsidRPr="00815992">
        <w:rPr>
          <w:rStyle w:val="TextoNormalCaracter"/>
        </w:rPr>
        <w:t>-</w:t>
      </w:r>
      <w:r>
        <w:t xml:space="preserve"> Sentencia </w:t>
      </w:r>
      <w:hyperlink w:anchor="SENTENCIA_1992_13" w:history="1">
        <w:r w:rsidRPr="00815992">
          <w:rPr>
            <w:rStyle w:val="TextoNormalCaracter"/>
          </w:rPr>
          <w:t>13/1992</w:t>
        </w:r>
      </w:hyperlink>
      <w:r>
        <w:t>, ff. 4 a 7.</w:t>
      </w:r>
    </w:p>
    <w:p w:rsidR="00815992" w:rsidRDefault="00815992" w:rsidP="00815992">
      <w:pPr>
        <w:pStyle w:val="SangriaFrancesaArticulo"/>
      </w:pPr>
      <w:r w:rsidRPr="00815992">
        <w:rPr>
          <w:rStyle w:val="TextoNormalNegritaCaracter"/>
        </w:rPr>
        <w:t>Artículo 161.1 c).</w:t>
      </w:r>
      <w:r w:rsidRPr="00815992">
        <w:rPr>
          <w:rStyle w:val="TextoNormalCaracter"/>
        </w:rPr>
        <w:t>-</w:t>
      </w:r>
      <w:r>
        <w:t xml:space="preserve"> Auto </w:t>
      </w:r>
      <w:hyperlink w:anchor="AUTO_1992_30" w:history="1">
        <w:r w:rsidRPr="00815992">
          <w:rPr>
            <w:rStyle w:val="TextoNormalCaracter"/>
          </w:rPr>
          <w:t>30/1992</w:t>
        </w:r>
      </w:hyperlink>
      <w:r>
        <w:t>.</w:t>
      </w:r>
    </w:p>
    <w:p w:rsidR="00815992" w:rsidRDefault="00815992" w:rsidP="00815992">
      <w:pPr>
        <w:pStyle w:val="SangriaFrancesaArticulo"/>
      </w:pPr>
      <w:r w:rsidRPr="00815992">
        <w:rPr>
          <w:rStyle w:val="TextoNormalNegritaCaracter"/>
        </w:rPr>
        <w:t>Artículo 161.2.</w:t>
      </w:r>
      <w:r w:rsidRPr="00815992">
        <w:rPr>
          <w:rStyle w:val="TextoNormalCaracter"/>
        </w:rPr>
        <w:t>-</w:t>
      </w:r>
      <w:r>
        <w:t xml:space="preserve"> Autos </w:t>
      </w:r>
      <w:hyperlink w:anchor="AUTO_1992_12" w:history="1">
        <w:r w:rsidRPr="00815992">
          <w:rPr>
            <w:rStyle w:val="TextoNormalCaracter"/>
          </w:rPr>
          <w:t>12/1992</w:t>
        </w:r>
      </w:hyperlink>
      <w:r>
        <w:t xml:space="preserve">; </w:t>
      </w:r>
      <w:hyperlink w:anchor="AUTO_1992_63" w:history="1">
        <w:r w:rsidRPr="00815992">
          <w:rPr>
            <w:rStyle w:val="TextoNormalCaracter"/>
          </w:rPr>
          <w:t>63/1992</w:t>
        </w:r>
      </w:hyperlink>
      <w:r>
        <w:t xml:space="preserve">;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162.</w:t>
      </w:r>
      <w:r w:rsidRPr="00815992">
        <w:rPr>
          <w:rStyle w:val="TextoNormalCaracter"/>
        </w:rPr>
        <w:t>-</w:t>
      </w:r>
      <w:r>
        <w:t xml:space="preserve"> Sentencia </w:t>
      </w:r>
      <w:hyperlink w:anchor="SENTENCIA_1992_30" w:history="1">
        <w:r w:rsidRPr="00815992">
          <w:rPr>
            <w:rStyle w:val="TextoNormalCaracter"/>
          </w:rPr>
          <w:t>30/1992</w:t>
        </w:r>
      </w:hyperlink>
      <w:r>
        <w:t>, f.4.</w:t>
      </w:r>
    </w:p>
    <w:p w:rsidR="00815992" w:rsidRDefault="00815992" w:rsidP="00815992">
      <w:pPr>
        <w:pStyle w:val="SangriaFrancesaArticulo"/>
      </w:pPr>
      <w:r w:rsidRPr="00815992">
        <w:rPr>
          <w:rStyle w:val="TextoNormalNegritaCaracter"/>
        </w:rPr>
        <w:t>Artículo 163.</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164.</w:t>
      </w:r>
      <w:r w:rsidRPr="00815992">
        <w:rPr>
          <w:rStyle w:val="TextoNormalCaracter"/>
        </w:rPr>
        <w:t>-</w:t>
      </w:r>
      <w:r>
        <w:t xml:space="preserve"> Sentencia </w:t>
      </w:r>
      <w:hyperlink w:anchor="SENTENCIA_1992_22" w:history="1">
        <w:r w:rsidRPr="00815992">
          <w:rPr>
            <w:rStyle w:val="TextoNormalCaracter"/>
          </w:rPr>
          <w:t>22/1992</w:t>
        </w:r>
      </w:hyperlink>
      <w:r>
        <w:t>, f. 3.</w:t>
      </w:r>
    </w:p>
    <w:p w:rsidR="00815992" w:rsidRDefault="00815992" w:rsidP="00815992">
      <w:pPr>
        <w:pStyle w:val="SangriaFrancesaArticulo"/>
      </w:pPr>
      <w:r w:rsidRPr="00815992">
        <w:rPr>
          <w:rStyle w:val="TextoNormalNegritaCaracter"/>
        </w:rPr>
        <w:t>Disposición derogatoria, apartado 3.</w:t>
      </w:r>
      <w:r w:rsidRPr="00815992">
        <w:rPr>
          <w:rStyle w:val="TextoNormalCaracter"/>
        </w:rPr>
        <w:t>-</w:t>
      </w:r>
      <w:r>
        <w:t xml:space="preserve"> Sentencia </w:t>
      </w:r>
      <w:hyperlink w:anchor="SENTENCIA_1992_5" w:history="1">
        <w:r w:rsidRPr="00815992">
          <w:rPr>
            <w:rStyle w:val="TextoNormalCaracter"/>
          </w:rPr>
          <w:t>5/1992</w:t>
        </w:r>
      </w:hyperlink>
      <w:r>
        <w:t>, f. 6.</w:t>
      </w:r>
    </w:p>
    <w:p w:rsidR="00815992" w:rsidRDefault="00815992" w:rsidP="00815992">
      <w:pPr>
        <w:pStyle w:val="TextoNormal"/>
      </w:pPr>
    </w:p>
    <w:p w:rsidR="00815992" w:rsidRDefault="00815992" w:rsidP="00815992">
      <w:pPr>
        <w:pStyle w:val="SangriaFrancesaArticulo"/>
      </w:pPr>
      <w:bookmarkStart w:id="191" w:name="INDICE22843"/>
    </w:p>
    <w:bookmarkEnd w:id="191"/>
    <w:p w:rsidR="00815992" w:rsidRDefault="00815992" w:rsidP="00815992">
      <w:pPr>
        <w:pStyle w:val="TextoIndiceNivel2"/>
        <w:suppressAutoHyphens/>
      </w:pPr>
      <w:r>
        <w:t>B) Tribunal Constitucional</w:t>
      </w:r>
    </w:p>
    <w:p w:rsidR="00815992" w:rsidRDefault="00815992" w:rsidP="00815992">
      <w:pPr>
        <w:pStyle w:val="TextoIndiceNivel2"/>
      </w:pPr>
    </w:p>
    <w:p w:rsidR="00815992" w:rsidRDefault="00815992" w:rsidP="00815992">
      <w:pPr>
        <w:pStyle w:val="TextoNormalNegritaCursivandice"/>
      </w:pPr>
      <w:r>
        <w:t>Ley Orgánica 2/1979, de 3 de octubre. Tribunal Constitucional</w:t>
      </w:r>
    </w:p>
    <w:p w:rsidR="00815992" w:rsidRDefault="00815992" w:rsidP="00815992">
      <w:pPr>
        <w:pStyle w:val="SangriaFrancesaArticulo"/>
      </w:pPr>
      <w:r w:rsidRPr="00815992">
        <w:rPr>
          <w:rStyle w:val="TextoNormalNegritaCaracter"/>
        </w:rPr>
        <w:t>Título IV, capítulo II, sección segunda.</w:t>
      </w:r>
      <w:r w:rsidRPr="00815992">
        <w:rPr>
          <w:rStyle w:val="TextoNormalCaracter"/>
        </w:rPr>
        <w:t>-</w:t>
      </w:r>
      <w:r>
        <w:t xml:space="preserve"> Sentencia </w:t>
      </w:r>
      <w:hyperlink w:anchor="SENTENCIA_1992_37" w:history="1">
        <w:r w:rsidRPr="00815992">
          <w:rPr>
            <w:rStyle w:val="TextoNormalCaracter"/>
          </w:rPr>
          <w:t>37/1992</w:t>
        </w:r>
      </w:hyperlink>
      <w:r>
        <w:t>, f. 2.</w:t>
      </w:r>
    </w:p>
    <w:p w:rsidR="00815992" w:rsidRDefault="00815992" w:rsidP="00815992">
      <w:pPr>
        <w:pStyle w:val="SangriaFrancesaArticulo"/>
      </w:pPr>
      <w:r w:rsidRPr="00815992">
        <w:rPr>
          <w:rStyle w:val="TextoNormalNegritaCaracter"/>
        </w:rPr>
        <w:t>Artículo 4.2.</w:t>
      </w:r>
      <w:r w:rsidRPr="00815992">
        <w:rPr>
          <w:rStyle w:val="TextoNormalCaracter"/>
        </w:rPr>
        <w:t>-</w:t>
      </w:r>
      <w:r>
        <w:t xml:space="preserve"> Sentencia </w:t>
      </w:r>
      <w:hyperlink w:anchor="SENTENCIA_1992_37" w:history="1">
        <w:r w:rsidRPr="00815992">
          <w:rPr>
            <w:rStyle w:val="TextoNormalCaracter"/>
          </w:rPr>
          <w:t>37/1992</w:t>
        </w:r>
      </w:hyperlink>
      <w:r>
        <w:t>, f. 4.</w:t>
      </w:r>
    </w:p>
    <w:p w:rsidR="00815992" w:rsidRDefault="00815992" w:rsidP="00815992">
      <w:pPr>
        <w:pStyle w:val="SangriaFrancesaArticulo"/>
      </w:pPr>
      <w:r w:rsidRPr="00815992">
        <w:rPr>
          <w:rStyle w:val="TextoNormalNegritaCaracter"/>
        </w:rPr>
        <w:t>Artículo 27.2 b).</w:t>
      </w:r>
      <w:r w:rsidRPr="00815992">
        <w:rPr>
          <w:rStyle w:val="TextoNormalCaracter"/>
        </w:rPr>
        <w:t>-</w:t>
      </w:r>
      <w:r>
        <w:t xml:space="preserve"> Sentencia </w:t>
      </w:r>
      <w:hyperlink w:anchor="SENTENCIA_1992_13" w:history="1">
        <w:r w:rsidRPr="00815992">
          <w:rPr>
            <w:rStyle w:val="TextoNormalCaracter"/>
          </w:rPr>
          <w:t>13/1992</w:t>
        </w:r>
      </w:hyperlink>
      <w:r>
        <w:t>, f. 11.</w:t>
      </w:r>
    </w:p>
    <w:p w:rsidR="00815992" w:rsidRDefault="00815992" w:rsidP="00815992">
      <w:pPr>
        <w:pStyle w:val="SangriaFrancesaArticulo"/>
      </w:pPr>
      <w:r w:rsidRPr="00815992">
        <w:rPr>
          <w:rStyle w:val="TextoNormalNegritaCaracter"/>
        </w:rPr>
        <w:t>Artículo 30.</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35.1.</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35.2.</w:t>
      </w:r>
      <w:r w:rsidRPr="00815992">
        <w:rPr>
          <w:rStyle w:val="TextoNormalCaracter"/>
        </w:rPr>
        <w:t>-</w:t>
      </w:r>
      <w:r>
        <w:t xml:space="preserve"> Sentencia </w:t>
      </w:r>
      <w:hyperlink w:anchor="SENTENCIA_1992_46" w:history="1">
        <w:r w:rsidRPr="00815992">
          <w:rPr>
            <w:rStyle w:val="TextoNormalCaracter"/>
          </w:rPr>
          <w:t>46/1992</w:t>
        </w:r>
      </w:hyperlink>
      <w:r>
        <w:t>, f. 1.</w:t>
      </w:r>
    </w:p>
    <w:p w:rsidR="00815992" w:rsidRDefault="00815992" w:rsidP="00815992">
      <w:pPr>
        <w:pStyle w:val="SangriaFrancesaArticulo"/>
      </w:pPr>
      <w:r w:rsidRPr="00815992">
        <w:rPr>
          <w:rStyle w:val="TextoNormalNegritaCaracter"/>
        </w:rPr>
        <w:t>Artículo 37.1.</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38.3.</w:t>
      </w:r>
      <w:r w:rsidRPr="00815992">
        <w:rPr>
          <w:rStyle w:val="TextoNormalCaracter"/>
        </w:rPr>
        <w:t>-</w:t>
      </w:r>
      <w:r>
        <w:t xml:space="preserve"> Sentencia </w:t>
      </w:r>
      <w:hyperlink w:anchor="SENTENCIA_1992_26" w:history="1">
        <w:r w:rsidRPr="00815992">
          <w:rPr>
            <w:rStyle w:val="TextoNormalCaracter"/>
          </w:rPr>
          <w:t>26/1992</w:t>
        </w:r>
      </w:hyperlink>
      <w:r>
        <w:t>, f. 1.</w:t>
      </w:r>
    </w:p>
    <w:p w:rsidR="00815992" w:rsidRDefault="00815992" w:rsidP="00815992">
      <w:pPr>
        <w:pStyle w:val="SangriaFrancesaArticulo"/>
      </w:pPr>
      <w:r w:rsidRPr="00815992">
        <w:rPr>
          <w:rStyle w:val="TextoNormalNegritaCaracter"/>
        </w:rPr>
        <w:t>Artículo 39.1.</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41.1.</w:t>
      </w:r>
      <w:r w:rsidRPr="00815992">
        <w:rPr>
          <w:rStyle w:val="TextoNormalCaracter"/>
        </w:rPr>
        <w:t>-</w:t>
      </w:r>
      <w:r>
        <w:t xml:space="preserve"> Sentencia </w:t>
      </w:r>
      <w:hyperlink w:anchor="SENTENCIA_1992_28" w:history="1">
        <w:r w:rsidRPr="00815992">
          <w:rPr>
            <w:rStyle w:val="TextoNormalCaracter"/>
          </w:rPr>
          <w:t>28/1992</w:t>
        </w:r>
      </w:hyperlink>
      <w:r>
        <w:t>, f. 1.</w:t>
      </w:r>
    </w:p>
    <w:p w:rsidR="00815992" w:rsidRDefault="00815992" w:rsidP="00815992">
      <w:pPr>
        <w:pStyle w:val="SangriaFrancesaArticulo"/>
      </w:pPr>
      <w:r w:rsidRPr="00815992">
        <w:rPr>
          <w:rStyle w:val="TextoNormalNegritaCaracter"/>
        </w:rPr>
        <w:t>Artículo 41.2.</w:t>
      </w:r>
      <w:r w:rsidRPr="00815992">
        <w:rPr>
          <w:rStyle w:val="TextoNormalCaracter"/>
        </w:rPr>
        <w:t>-</w:t>
      </w:r>
      <w:r>
        <w:t xml:space="preserve"> Sentencia </w:t>
      </w:r>
      <w:hyperlink w:anchor="SENTENCIA_1992_7" w:history="1">
        <w:r w:rsidRPr="00815992">
          <w:rPr>
            <w:rStyle w:val="TextoNormalCaracter"/>
          </w:rPr>
          <w:t>7/1992</w:t>
        </w:r>
      </w:hyperlink>
      <w:r>
        <w:t>, f. 1.</w:t>
      </w:r>
    </w:p>
    <w:p w:rsidR="00815992" w:rsidRDefault="00815992" w:rsidP="00815992">
      <w:pPr>
        <w:pStyle w:val="SangriaFrancesaArticulo"/>
      </w:pPr>
      <w:r w:rsidRPr="00815992">
        <w:rPr>
          <w:rStyle w:val="TextoNormalNegritaCaracter"/>
        </w:rPr>
        <w:t>Artículo 42.</w:t>
      </w:r>
      <w:r w:rsidRPr="00815992">
        <w:rPr>
          <w:rStyle w:val="TextoNormalCaracter"/>
        </w:rPr>
        <w:t>-</w:t>
      </w:r>
      <w:r>
        <w:t xml:space="preserve"> Sentencias </w:t>
      </w:r>
      <w:hyperlink w:anchor="SENTENCIA_1992_7" w:history="1">
        <w:r w:rsidRPr="00815992">
          <w:rPr>
            <w:rStyle w:val="TextoNormalCaracter"/>
          </w:rPr>
          <w:t>7/1992</w:t>
        </w:r>
      </w:hyperlink>
      <w:r>
        <w:t xml:space="preserve">, f. 1; </w:t>
      </w:r>
      <w:hyperlink w:anchor="SENTENCIA_1992_15" w:history="1">
        <w:r w:rsidRPr="00815992">
          <w:rPr>
            <w:rStyle w:val="TextoNormalCaracter"/>
          </w:rPr>
          <w:t>15/1992</w:t>
        </w:r>
      </w:hyperlink>
      <w:r>
        <w:t>, ff. 1, 3.</w:t>
      </w:r>
    </w:p>
    <w:p w:rsidR="00815992" w:rsidRDefault="00815992" w:rsidP="00815992">
      <w:pPr>
        <w:pStyle w:val="SangriaFrancesaArticulo"/>
      </w:pPr>
      <w:r w:rsidRPr="00815992">
        <w:rPr>
          <w:rStyle w:val="TextoNormalNegritaCaracter"/>
        </w:rPr>
        <w:t>Artículo 43.</w:t>
      </w:r>
      <w:r w:rsidRPr="00815992">
        <w:rPr>
          <w:rStyle w:val="TextoNormalCaracter"/>
        </w:rPr>
        <w:t>-</w:t>
      </w:r>
      <w:r>
        <w:t xml:space="preserve"> Sentencias </w:t>
      </w:r>
      <w:hyperlink w:anchor="SENTENCIA_1992_18" w:history="1">
        <w:r w:rsidRPr="00815992">
          <w:rPr>
            <w:rStyle w:val="TextoNormalCaracter"/>
          </w:rPr>
          <w:t>18/1992</w:t>
        </w:r>
      </w:hyperlink>
      <w:r>
        <w:t xml:space="preserve">, ff. 1, 2; </w:t>
      </w:r>
      <w:hyperlink w:anchor="SENTENCIA_1992_48" w:history="1">
        <w:r w:rsidRPr="00815992">
          <w:rPr>
            <w:rStyle w:val="TextoNormalCaracter"/>
          </w:rPr>
          <w:t>48/1992</w:t>
        </w:r>
      </w:hyperlink>
      <w:r>
        <w:t xml:space="preserve">, f. 1; </w:t>
      </w:r>
      <w:hyperlink w:anchor="SENTENCIA_1992_62" w:history="1">
        <w:r w:rsidRPr="00815992">
          <w:rPr>
            <w:rStyle w:val="TextoNormalCaracter"/>
          </w:rPr>
          <w:t>62/1992</w:t>
        </w:r>
      </w:hyperlink>
      <w:r>
        <w:t>, ff. 1, 4.</w:t>
      </w:r>
    </w:p>
    <w:p w:rsidR="00815992" w:rsidRDefault="00815992" w:rsidP="00815992">
      <w:pPr>
        <w:pStyle w:val="SangriaFrancesaArticulo"/>
      </w:pPr>
      <w:r w:rsidRPr="00815992">
        <w:rPr>
          <w:rStyle w:val="TextoNormalNegritaCaracter"/>
        </w:rPr>
        <w:t>Artículo 43.1.</w:t>
      </w:r>
      <w:r w:rsidRPr="00815992">
        <w:rPr>
          <w:rStyle w:val="TextoNormalCaracter"/>
        </w:rPr>
        <w:t>-</w:t>
      </w:r>
      <w:r>
        <w:t xml:space="preserve"> Sentencia </w:t>
      </w:r>
      <w:hyperlink w:anchor="SENTENCIA_1992_39" w:history="1">
        <w:r w:rsidRPr="00815992">
          <w:rPr>
            <w:rStyle w:val="TextoNormalCaracter"/>
          </w:rPr>
          <w:t>39/1992</w:t>
        </w:r>
      </w:hyperlink>
      <w:r>
        <w:t>, ff. 2, 4.</w:t>
      </w:r>
    </w:p>
    <w:p w:rsidR="00815992" w:rsidRDefault="00815992" w:rsidP="00815992">
      <w:pPr>
        <w:pStyle w:val="SangriaIzquierdaArticulo"/>
      </w:pPr>
      <w:r>
        <w:t xml:space="preserve">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43.2.</w:t>
      </w:r>
      <w:r w:rsidRPr="00815992">
        <w:rPr>
          <w:rStyle w:val="TextoNormalCaracter"/>
        </w:rPr>
        <w:t>-</w:t>
      </w:r>
      <w:r>
        <w:t xml:space="preserve"> Sentencia </w:t>
      </w:r>
      <w:hyperlink w:anchor="SENTENCIA_1992_18" w:history="1">
        <w:r w:rsidRPr="00815992">
          <w:rPr>
            <w:rStyle w:val="TextoNormalCaracter"/>
          </w:rPr>
          <w:t>18/1992</w:t>
        </w:r>
      </w:hyperlink>
      <w:r>
        <w:t>, f. 2.</w:t>
      </w:r>
    </w:p>
    <w:p w:rsidR="00815992" w:rsidRDefault="00815992" w:rsidP="00815992">
      <w:pPr>
        <w:pStyle w:val="SangriaFrancesaArticulo"/>
      </w:pPr>
      <w:r w:rsidRPr="00815992">
        <w:rPr>
          <w:rStyle w:val="TextoNormalNegritaCaracter"/>
        </w:rPr>
        <w:t>Artículo 43.3.</w:t>
      </w:r>
      <w:r w:rsidRPr="00815992">
        <w:rPr>
          <w:rStyle w:val="TextoNormalCaracter"/>
        </w:rPr>
        <w:t>-</w:t>
      </w:r>
      <w:r>
        <w:t xml:space="preserve"> Sentencia </w:t>
      </w:r>
      <w:hyperlink w:anchor="SENTENCIA_1992_62" w:history="1">
        <w:r w:rsidRPr="00815992">
          <w:rPr>
            <w:rStyle w:val="TextoNormalCaracter"/>
          </w:rPr>
          <w:t>62/1992</w:t>
        </w:r>
      </w:hyperlink>
      <w:r>
        <w:t>, f. 4.</w:t>
      </w:r>
    </w:p>
    <w:p w:rsidR="00815992" w:rsidRDefault="00815992" w:rsidP="00815992">
      <w:pPr>
        <w:pStyle w:val="SangriaFrancesaArticulo"/>
      </w:pPr>
      <w:r w:rsidRPr="00815992">
        <w:rPr>
          <w:rStyle w:val="TextoNormalNegritaCaracter"/>
        </w:rPr>
        <w:t>Artículo 44.</w:t>
      </w:r>
      <w:r w:rsidRPr="00815992">
        <w:rPr>
          <w:rStyle w:val="TextoNormalCaracter"/>
        </w:rPr>
        <w:t>-</w:t>
      </w:r>
      <w:r>
        <w:t xml:space="preserve"> Sentencias </w:t>
      </w:r>
      <w:hyperlink w:anchor="SENTENCIA_1992_48" w:history="1">
        <w:r w:rsidRPr="00815992">
          <w:rPr>
            <w:rStyle w:val="TextoNormalCaracter"/>
          </w:rPr>
          <w:t>48/1992</w:t>
        </w:r>
      </w:hyperlink>
      <w:r>
        <w:t xml:space="preserve">, f. 1; </w:t>
      </w:r>
      <w:hyperlink w:anchor="SENTENCIA_1992_62" w:history="1">
        <w:r w:rsidRPr="00815992">
          <w:rPr>
            <w:rStyle w:val="TextoNormalCaracter"/>
          </w:rPr>
          <w:t>62/1992</w:t>
        </w:r>
      </w:hyperlink>
      <w:r>
        <w:t>, f. 1.</w:t>
      </w:r>
    </w:p>
    <w:p w:rsidR="00815992" w:rsidRDefault="00815992" w:rsidP="00815992">
      <w:pPr>
        <w:pStyle w:val="SangriaFrancesaArticulo"/>
      </w:pPr>
      <w:r w:rsidRPr="00815992">
        <w:rPr>
          <w:rStyle w:val="TextoNormalNegritaCaracter"/>
        </w:rPr>
        <w:t>Artículo 44.1.</w:t>
      </w:r>
      <w:r w:rsidRPr="00815992">
        <w:rPr>
          <w:rStyle w:val="TextoNormalCaracter"/>
        </w:rPr>
        <w:t>-</w:t>
      </w:r>
      <w:r>
        <w:t xml:space="preserve"> Sentencia </w:t>
      </w:r>
      <w:hyperlink w:anchor="SENTENCIA_1992_21" w:history="1">
        <w:r w:rsidRPr="00815992">
          <w:rPr>
            <w:rStyle w:val="TextoNormalCaracter"/>
          </w:rPr>
          <w:t>21/1992</w:t>
        </w:r>
      </w:hyperlink>
      <w:r>
        <w:t>, f. 4.</w:t>
      </w:r>
    </w:p>
    <w:p w:rsidR="00815992" w:rsidRDefault="00815992" w:rsidP="00815992">
      <w:pPr>
        <w:pStyle w:val="SangriaIzquierdaArticulo"/>
      </w:pPr>
      <w:r>
        <w:t xml:space="preserve">Auto </w:t>
      </w:r>
      <w:hyperlink w:anchor="AUTO_1992_59" w:history="1">
        <w:r w:rsidRPr="00815992">
          <w:rPr>
            <w:rStyle w:val="TextoNormalCaracter"/>
          </w:rPr>
          <w:t>59/1992</w:t>
        </w:r>
      </w:hyperlink>
      <w:r>
        <w:t>.</w:t>
      </w:r>
    </w:p>
    <w:p w:rsidR="00815992" w:rsidRDefault="00815992" w:rsidP="00815992">
      <w:pPr>
        <w:pStyle w:val="SangriaFrancesaArticulo"/>
      </w:pPr>
      <w:r w:rsidRPr="00815992">
        <w:rPr>
          <w:rStyle w:val="TextoNormalNegritaCaracter"/>
        </w:rPr>
        <w:t>Artículo 44.1 a).</w:t>
      </w:r>
      <w:r w:rsidRPr="00815992">
        <w:rPr>
          <w:rStyle w:val="TextoNormalCaracter"/>
        </w:rPr>
        <w:t>-</w:t>
      </w:r>
      <w:r>
        <w:t xml:space="preserve"> Sentencias </w:t>
      </w:r>
      <w:hyperlink w:anchor="SENTENCIA_1992_9" w:history="1">
        <w:r w:rsidRPr="00815992">
          <w:rPr>
            <w:rStyle w:val="TextoNormalCaracter"/>
          </w:rPr>
          <w:t>9/1992</w:t>
        </w:r>
      </w:hyperlink>
      <w:r>
        <w:t xml:space="preserve">, ff. 1, 5; </w:t>
      </w:r>
      <w:hyperlink w:anchor="SENTENCIA_1992_27" w:history="1">
        <w:r w:rsidRPr="00815992">
          <w:rPr>
            <w:rStyle w:val="TextoNormalCaracter"/>
          </w:rPr>
          <w:t>27/1992</w:t>
        </w:r>
      </w:hyperlink>
      <w:r>
        <w:t xml:space="preserve">, f. 2; </w:t>
      </w:r>
      <w:hyperlink w:anchor="SENTENCIA_1992_34" w:history="1">
        <w:r w:rsidRPr="00815992">
          <w:rPr>
            <w:rStyle w:val="TextoNormalCaracter"/>
          </w:rPr>
          <w:t>34/1992</w:t>
        </w:r>
      </w:hyperlink>
      <w:r>
        <w:t xml:space="preserve">, f. 1; </w:t>
      </w:r>
      <w:hyperlink w:anchor="SENTENCIA_1992_41" w:history="1">
        <w:r w:rsidRPr="00815992">
          <w:rPr>
            <w:rStyle w:val="TextoNormalCaracter"/>
          </w:rPr>
          <w:t>41/1992</w:t>
        </w:r>
      </w:hyperlink>
      <w:r>
        <w:t xml:space="preserve">, f. 2; </w:t>
      </w:r>
      <w:hyperlink w:anchor="SENTENCIA_1992_42" w:history="1">
        <w:r w:rsidRPr="00815992">
          <w:rPr>
            <w:rStyle w:val="TextoNormalCaracter"/>
          </w:rPr>
          <w:t>42/1992</w:t>
        </w:r>
      </w:hyperlink>
      <w:r>
        <w:t xml:space="preserve">, f. 2; </w:t>
      </w:r>
      <w:hyperlink w:anchor="SENTENCIA_1992_50" w:history="1">
        <w:r w:rsidRPr="00815992">
          <w:rPr>
            <w:rStyle w:val="TextoNormalCaracter"/>
          </w:rPr>
          <w:t>50/1992</w:t>
        </w:r>
      </w:hyperlink>
      <w:r>
        <w:t>, f. 1.</w:t>
      </w:r>
    </w:p>
    <w:p w:rsidR="00815992" w:rsidRDefault="00815992" w:rsidP="00815992">
      <w:pPr>
        <w:pStyle w:val="SangriaIzquierdaArticulo"/>
      </w:pPr>
      <w:r>
        <w:t xml:space="preserve">Autos </w:t>
      </w:r>
      <w:hyperlink w:anchor="AUTO_1992_85" w:history="1">
        <w:r w:rsidRPr="00815992">
          <w:rPr>
            <w:rStyle w:val="TextoNormalCaracter"/>
          </w:rPr>
          <w:t>85/1992</w:t>
        </w:r>
      </w:hyperlink>
      <w:r>
        <w:t xml:space="preserve">; </w:t>
      </w:r>
      <w:hyperlink w:anchor="AUTO_1992_89" w:history="1">
        <w:r w:rsidRPr="00815992">
          <w:rPr>
            <w:rStyle w:val="TextoNormalCaracter"/>
          </w:rPr>
          <w:t>89/1992</w:t>
        </w:r>
      </w:hyperlink>
      <w:r>
        <w:t>.</w:t>
      </w:r>
    </w:p>
    <w:p w:rsidR="00815992" w:rsidRDefault="00815992" w:rsidP="00815992">
      <w:pPr>
        <w:pStyle w:val="SangriaFrancesaArticulo"/>
      </w:pPr>
      <w:r w:rsidRPr="00815992">
        <w:rPr>
          <w:rStyle w:val="TextoNormalNegritaCaracter"/>
        </w:rPr>
        <w:t>Artículo 44.1 b).</w:t>
      </w:r>
      <w:r w:rsidRPr="00815992">
        <w:rPr>
          <w:rStyle w:val="TextoNormalCaracter"/>
        </w:rPr>
        <w:t>-</w:t>
      </w:r>
      <w:r>
        <w:t xml:space="preserve"> Sentencias </w:t>
      </w:r>
      <w:hyperlink w:anchor="SENTENCIA_1992_30" w:history="1">
        <w:r w:rsidRPr="00815992">
          <w:rPr>
            <w:rStyle w:val="TextoNormalCaracter"/>
          </w:rPr>
          <w:t>30/1992</w:t>
        </w:r>
      </w:hyperlink>
      <w:r>
        <w:t xml:space="preserve">, f. 2; </w:t>
      </w:r>
      <w:hyperlink w:anchor="SENTENCIA_1992_40" w:history="1">
        <w:r w:rsidRPr="00815992">
          <w:rPr>
            <w:rStyle w:val="TextoNormalCaracter"/>
          </w:rPr>
          <w:t>40/1992</w:t>
        </w:r>
      </w:hyperlink>
      <w:r>
        <w:t xml:space="preserve">, f. 1; </w:t>
      </w:r>
      <w:hyperlink w:anchor="SENTENCIA_1992_43" w:history="1">
        <w:r w:rsidRPr="00815992">
          <w:rPr>
            <w:rStyle w:val="TextoNormalCaracter"/>
          </w:rPr>
          <w:t>43/1992</w:t>
        </w:r>
      </w:hyperlink>
      <w:r>
        <w:t>, f. 2.</w:t>
      </w:r>
    </w:p>
    <w:p w:rsidR="00815992" w:rsidRDefault="00815992" w:rsidP="00815992">
      <w:pPr>
        <w:pStyle w:val="SangriaIzquierdaArticulo"/>
      </w:pPr>
      <w:r>
        <w:t xml:space="preserve">Autos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r w:rsidRPr="00815992">
        <w:rPr>
          <w:rStyle w:val="TextoNormalNegritaCaracter"/>
        </w:rPr>
        <w:t>Artículo 44.1 c).</w:t>
      </w:r>
      <w:r w:rsidRPr="00815992">
        <w:rPr>
          <w:rStyle w:val="TextoNormalCaracter"/>
        </w:rPr>
        <w:t>-</w:t>
      </w:r>
      <w:r>
        <w:t xml:space="preserve"> Sentencias </w:t>
      </w:r>
      <w:hyperlink w:anchor="SENTENCIA_1992_3" w:history="1">
        <w:r w:rsidRPr="00815992">
          <w:rPr>
            <w:rStyle w:val="TextoNormalCaracter"/>
          </w:rPr>
          <w:t>3/1992</w:t>
        </w:r>
      </w:hyperlink>
      <w:r>
        <w:t xml:space="preserve">, f. 2; </w:t>
      </w:r>
      <w:hyperlink w:anchor="SENTENCIA_1992_27" w:history="1">
        <w:r w:rsidRPr="00815992">
          <w:rPr>
            <w:rStyle w:val="TextoNormalCaracter"/>
          </w:rPr>
          <w:t>27/1992</w:t>
        </w:r>
      </w:hyperlink>
      <w:r>
        <w:t xml:space="preserve">, f. 3; </w:t>
      </w:r>
      <w:hyperlink w:anchor="SENTENCIA_1992_39" w:history="1">
        <w:r w:rsidRPr="00815992">
          <w:rPr>
            <w:rStyle w:val="TextoNormalCaracter"/>
          </w:rPr>
          <w:t>39/1992</w:t>
        </w:r>
      </w:hyperlink>
      <w:r>
        <w:t xml:space="preserve">, f. 4; </w:t>
      </w:r>
      <w:hyperlink w:anchor="SENTENCIA_1992_50" w:history="1">
        <w:r w:rsidRPr="00815992">
          <w:rPr>
            <w:rStyle w:val="TextoNormalCaracter"/>
          </w:rPr>
          <w:t>50/1992</w:t>
        </w:r>
      </w:hyperlink>
      <w:r>
        <w:t xml:space="preserve">, f. 1; </w:t>
      </w:r>
      <w:hyperlink w:anchor="SENTENCIA_1992_61" w:history="1">
        <w:r w:rsidRPr="00815992">
          <w:rPr>
            <w:rStyle w:val="TextoNormalCaracter"/>
          </w:rPr>
          <w:t>61/1992</w:t>
        </w:r>
      </w:hyperlink>
      <w:r>
        <w:t>, f. 2.</w:t>
      </w:r>
    </w:p>
    <w:p w:rsidR="00815992" w:rsidRDefault="00815992" w:rsidP="00815992">
      <w:pPr>
        <w:pStyle w:val="SangriaIzquierdaArticulo"/>
      </w:pPr>
      <w:r>
        <w:t xml:space="preserve">Autos </w:t>
      </w:r>
      <w:hyperlink w:anchor="AUTO_1992_5" w:history="1">
        <w:r w:rsidRPr="00815992">
          <w:rPr>
            <w:rStyle w:val="TextoNormalCaracter"/>
          </w:rPr>
          <w:t>5/1992</w:t>
        </w:r>
      </w:hyperlink>
      <w:r>
        <w:t xml:space="preserve">; </w:t>
      </w:r>
      <w:hyperlink w:anchor="AUTO_1992_15" w:history="1">
        <w:r w:rsidRPr="00815992">
          <w:rPr>
            <w:rStyle w:val="TextoNormalCaracter"/>
          </w:rPr>
          <w:t>15/1992</w:t>
        </w:r>
      </w:hyperlink>
      <w:r>
        <w:t xml:space="preserve">; </w:t>
      </w:r>
      <w:hyperlink w:anchor="AUTO_1992_16" w:history="1">
        <w:r w:rsidRPr="00815992">
          <w:rPr>
            <w:rStyle w:val="TextoNormalCaracter"/>
          </w:rPr>
          <w:t>16/1992</w:t>
        </w:r>
      </w:hyperlink>
      <w:r>
        <w:t xml:space="preserve">; </w:t>
      </w:r>
      <w:hyperlink w:anchor="AUTO_1992_21" w:history="1">
        <w:r w:rsidRPr="00815992">
          <w:rPr>
            <w:rStyle w:val="TextoNormalCaracter"/>
          </w:rPr>
          <w:t>21/1992</w:t>
        </w:r>
      </w:hyperlink>
      <w:r>
        <w:t xml:space="preserve">; </w:t>
      </w:r>
      <w:hyperlink w:anchor="AUTO_1992_23" w:history="1">
        <w:r w:rsidRPr="00815992">
          <w:rPr>
            <w:rStyle w:val="TextoNormalCaracter"/>
          </w:rPr>
          <w:t>23/1992</w:t>
        </w:r>
      </w:hyperlink>
      <w:r>
        <w:t xml:space="preserve">; </w:t>
      </w:r>
      <w:hyperlink w:anchor="AUTO_1992_24" w:history="1">
        <w:r w:rsidRPr="00815992">
          <w:rPr>
            <w:rStyle w:val="TextoNormalCaracter"/>
          </w:rPr>
          <w:t>24/1992</w:t>
        </w:r>
      </w:hyperlink>
      <w:r>
        <w:t xml:space="preserve">; </w:t>
      </w:r>
      <w:hyperlink w:anchor="AUTO_1992_27" w:history="1">
        <w:r w:rsidRPr="00815992">
          <w:rPr>
            <w:rStyle w:val="TextoNormalCaracter"/>
          </w:rPr>
          <w:t>27/1992</w:t>
        </w:r>
      </w:hyperlink>
      <w:r>
        <w:t xml:space="preserve">; </w:t>
      </w:r>
      <w:hyperlink w:anchor="AUTO_1992_58" w:history="1">
        <w:r w:rsidRPr="00815992">
          <w:rPr>
            <w:rStyle w:val="TextoNormalCaracter"/>
          </w:rPr>
          <w:t>58/1992</w:t>
        </w:r>
      </w:hyperlink>
      <w:r>
        <w:t xml:space="preserve">; </w:t>
      </w:r>
      <w:hyperlink w:anchor="AUTO_1992_60" w:history="1">
        <w:r w:rsidRPr="00815992">
          <w:rPr>
            <w:rStyle w:val="TextoNormalCaracter"/>
          </w:rPr>
          <w:t>60/1992</w:t>
        </w:r>
      </w:hyperlink>
      <w:r>
        <w:t xml:space="preserve">; </w:t>
      </w:r>
      <w:hyperlink w:anchor="AUTO_1992_89" w:history="1">
        <w:r w:rsidRPr="00815992">
          <w:rPr>
            <w:rStyle w:val="TextoNormalCaracter"/>
          </w:rPr>
          <w:t>89/1992</w:t>
        </w:r>
      </w:hyperlink>
      <w:r>
        <w:t xml:space="preserve">; </w:t>
      </w:r>
      <w:hyperlink w:anchor="AUTO_1992_114" w:history="1">
        <w:r w:rsidRPr="00815992">
          <w:rPr>
            <w:rStyle w:val="TextoNormalCaracter"/>
          </w:rPr>
          <w:t>114/1992</w:t>
        </w:r>
      </w:hyperlink>
      <w:r>
        <w:t>.</w:t>
      </w:r>
    </w:p>
    <w:p w:rsidR="00815992" w:rsidRDefault="00815992" w:rsidP="00815992">
      <w:pPr>
        <w:pStyle w:val="SangriaFrancesaArticulo"/>
      </w:pPr>
      <w:r w:rsidRPr="00815992">
        <w:rPr>
          <w:rStyle w:val="TextoNormalNegritaCaracter"/>
        </w:rPr>
        <w:t>Artículo 44.2.</w:t>
      </w:r>
      <w:r w:rsidRPr="00815992">
        <w:rPr>
          <w:rStyle w:val="TextoNormalCaracter"/>
        </w:rPr>
        <w:t>-</w:t>
      </w:r>
      <w:r>
        <w:t xml:space="preserve"> Sentencias </w:t>
      </w:r>
      <w:hyperlink w:anchor="SENTENCIA_1992_27" w:history="1">
        <w:r w:rsidRPr="00815992">
          <w:rPr>
            <w:rStyle w:val="TextoNormalCaracter"/>
          </w:rPr>
          <w:t>27/1992</w:t>
        </w:r>
      </w:hyperlink>
      <w:r>
        <w:t xml:space="preserve">, f. 2; </w:t>
      </w:r>
      <w:hyperlink w:anchor="SENTENCIA_1992_29" w:history="1">
        <w:r w:rsidRPr="00815992">
          <w:rPr>
            <w:rStyle w:val="TextoNormalCaracter"/>
          </w:rPr>
          <w:t>29/1992</w:t>
        </w:r>
      </w:hyperlink>
      <w:r>
        <w:t>, f. 1.</w:t>
      </w:r>
    </w:p>
    <w:p w:rsidR="00815992" w:rsidRDefault="00815992" w:rsidP="00815992">
      <w:pPr>
        <w:pStyle w:val="SangriaIzquierdaArticulo"/>
      </w:pPr>
      <w:r>
        <w:t xml:space="preserve">Autos </w:t>
      </w:r>
      <w:hyperlink w:anchor="AUTO_1992_7" w:history="1">
        <w:r w:rsidRPr="00815992">
          <w:rPr>
            <w:rStyle w:val="TextoNormalCaracter"/>
          </w:rPr>
          <w:t>7/1992</w:t>
        </w:r>
      </w:hyperlink>
      <w:r>
        <w:t xml:space="preserve">; </w:t>
      </w:r>
      <w:hyperlink w:anchor="AUTO_1992_97" w:history="1">
        <w:r w:rsidRPr="00815992">
          <w:rPr>
            <w:rStyle w:val="TextoNormalCaracter"/>
          </w:rPr>
          <w:t>97/1992</w:t>
        </w:r>
      </w:hyperlink>
      <w:r>
        <w:t>.</w:t>
      </w:r>
    </w:p>
    <w:p w:rsidR="00815992" w:rsidRDefault="00815992" w:rsidP="00815992">
      <w:pPr>
        <w:pStyle w:val="SangriaFrancesaArticulo"/>
      </w:pPr>
      <w:r w:rsidRPr="00815992">
        <w:rPr>
          <w:rStyle w:val="TextoNormalNegritaCaracter"/>
        </w:rPr>
        <w:t>Artículo 46.1.</w:t>
      </w:r>
      <w:r w:rsidRPr="00815992">
        <w:rPr>
          <w:rStyle w:val="TextoNormalCaracter"/>
        </w:rPr>
        <w:t>-</w:t>
      </w:r>
      <w:r>
        <w:t xml:space="preserve"> Sentencia </w:t>
      </w:r>
      <w:hyperlink w:anchor="SENTENCIA_1992_30" w:history="1">
        <w:r w:rsidRPr="00815992">
          <w:rPr>
            <w:rStyle w:val="TextoNormalCaracter"/>
          </w:rPr>
          <w:t>30/1992</w:t>
        </w:r>
      </w:hyperlink>
      <w:r>
        <w:t>, f. 4.</w:t>
      </w:r>
    </w:p>
    <w:p w:rsidR="00815992" w:rsidRDefault="00815992" w:rsidP="00815992">
      <w:pPr>
        <w:pStyle w:val="SangriaFrancesaArticulo"/>
      </w:pPr>
      <w:r w:rsidRPr="00815992">
        <w:rPr>
          <w:rStyle w:val="TextoNormalNegritaCaracter"/>
        </w:rPr>
        <w:t>Artículo 46.1 a).</w:t>
      </w:r>
      <w:r w:rsidRPr="00815992">
        <w:rPr>
          <w:rStyle w:val="TextoNormalCaracter"/>
        </w:rPr>
        <w:t>-</w:t>
      </w:r>
      <w:r>
        <w:t xml:space="preserve"> Sentencia </w:t>
      </w:r>
      <w:hyperlink w:anchor="SENTENCIA_1992_15" w:history="1">
        <w:r w:rsidRPr="00815992">
          <w:rPr>
            <w:rStyle w:val="TextoNormalCaracter"/>
          </w:rPr>
          <w:t>15/1992</w:t>
        </w:r>
      </w:hyperlink>
      <w:r>
        <w:t>, f. 1.</w:t>
      </w:r>
    </w:p>
    <w:p w:rsidR="00815992" w:rsidRDefault="00815992" w:rsidP="00815992">
      <w:pPr>
        <w:pStyle w:val="SangriaIzquierdaArticulo"/>
      </w:pPr>
      <w:r>
        <w:t xml:space="preserve">Auto </w:t>
      </w:r>
      <w:hyperlink w:anchor="AUTO_1992_40" w:history="1">
        <w:r w:rsidRPr="00815992">
          <w:rPr>
            <w:rStyle w:val="TextoNormalCaracter"/>
          </w:rPr>
          <w:t>40/1992</w:t>
        </w:r>
      </w:hyperlink>
      <w:r>
        <w:t>.</w:t>
      </w:r>
    </w:p>
    <w:p w:rsidR="00815992" w:rsidRDefault="00815992" w:rsidP="00815992">
      <w:pPr>
        <w:pStyle w:val="SangriaFrancesaArticulo"/>
      </w:pPr>
      <w:r w:rsidRPr="00815992">
        <w:rPr>
          <w:rStyle w:val="TextoNormalNegritaCaracter"/>
        </w:rPr>
        <w:t>Artículo 46.1 b).</w:t>
      </w:r>
      <w:r w:rsidRPr="00815992">
        <w:rPr>
          <w:rStyle w:val="TextoNormalCaracter"/>
        </w:rPr>
        <w:t>-</w:t>
      </w:r>
      <w:r>
        <w:t xml:space="preserve"> Auto </w:t>
      </w:r>
      <w:hyperlink w:anchor="AUTO_1992_72" w:history="1">
        <w:r w:rsidRPr="00815992">
          <w:rPr>
            <w:rStyle w:val="TextoNormalCaracter"/>
          </w:rPr>
          <w:t>72/1992</w:t>
        </w:r>
      </w:hyperlink>
      <w:r>
        <w:t>.</w:t>
      </w:r>
    </w:p>
    <w:p w:rsidR="00815992" w:rsidRDefault="00815992" w:rsidP="00815992">
      <w:pPr>
        <w:pStyle w:val="SangriaFrancesaArticulo"/>
      </w:pPr>
      <w:r w:rsidRPr="00815992">
        <w:rPr>
          <w:rStyle w:val="TextoNormalNegritaCaracter"/>
        </w:rPr>
        <w:t>Artículo 50.1.</w:t>
      </w:r>
      <w:r w:rsidRPr="00815992">
        <w:rPr>
          <w:rStyle w:val="TextoNormalCaracter"/>
        </w:rPr>
        <w:t>-</w:t>
      </w:r>
      <w:r>
        <w:t xml:space="preserve"> Sentencia </w:t>
      </w:r>
      <w:hyperlink w:anchor="SENTENCIA_1992_18" w:history="1">
        <w:r w:rsidRPr="00815992">
          <w:rPr>
            <w:rStyle w:val="TextoNormalCaracter"/>
          </w:rPr>
          <w:t>18/1992</w:t>
        </w:r>
      </w:hyperlink>
      <w:r>
        <w:t>, f. 2.</w:t>
      </w:r>
    </w:p>
    <w:p w:rsidR="00815992" w:rsidRDefault="00815992" w:rsidP="00815992">
      <w:pPr>
        <w:pStyle w:val="SangriaFrancesaArticulo"/>
      </w:pPr>
      <w:r w:rsidRPr="00815992">
        <w:rPr>
          <w:rStyle w:val="TextoNormalNegritaCaracter"/>
        </w:rPr>
        <w:t>Artículo 50.1 a).</w:t>
      </w:r>
      <w:r w:rsidRPr="00815992">
        <w:rPr>
          <w:rStyle w:val="TextoNormalCaracter"/>
        </w:rPr>
        <w:t>-</w:t>
      </w:r>
      <w:r>
        <w:t xml:space="preserve"> Sentencias </w:t>
      </w:r>
      <w:hyperlink w:anchor="SENTENCIA_1992_18" w:history="1">
        <w:r w:rsidRPr="00815992">
          <w:rPr>
            <w:rStyle w:val="TextoNormalCaracter"/>
          </w:rPr>
          <w:t>18/1992</w:t>
        </w:r>
      </w:hyperlink>
      <w:r>
        <w:t xml:space="preserve">, f. 2; </w:t>
      </w:r>
      <w:hyperlink w:anchor="SENTENCIA_1992_39" w:history="1">
        <w:r w:rsidRPr="00815992">
          <w:rPr>
            <w:rStyle w:val="TextoNormalCaracter"/>
          </w:rPr>
          <w:t>39/1992</w:t>
        </w:r>
      </w:hyperlink>
      <w:r>
        <w:t>, f. 4.</w:t>
      </w:r>
    </w:p>
    <w:p w:rsidR="00815992" w:rsidRDefault="00815992" w:rsidP="00815992">
      <w:pPr>
        <w:pStyle w:val="SangriaIzquierdaArticulo"/>
      </w:pPr>
      <w:r>
        <w:t xml:space="preserve">Autos </w:t>
      </w:r>
      <w:hyperlink w:anchor="AUTO_1992_15" w:history="1">
        <w:r w:rsidRPr="00815992">
          <w:rPr>
            <w:rStyle w:val="TextoNormalCaracter"/>
          </w:rPr>
          <w:t>15/1992</w:t>
        </w:r>
      </w:hyperlink>
      <w:r>
        <w:t xml:space="preserve">; </w:t>
      </w:r>
      <w:hyperlink w:anchor="AUTO_1992_60" w:history="1">
        <w:r w:rsidRPr="00815992">
          <w:rPr>
            <w:rStyle w:val="TextoNormalCaracter"/>
          </w:rPr>
          <w:t>60/1992</w:t>
        </w:r>
      </w:hyperlink>
      <w:r>
        <w:t xml:space="preserve">; </w:t>
      </w:r>
      <w:hyperlink w:anchor="AUTO_1992_89" w:history="1">
        <w:r w:rsidRPr="00815992">
          <w:rPr>
            <w:rStyle w:val="TextoNormalCaracter"/>
          </w:rPr>
          <w:t>89/1992</w:t>
        </w:r>
      </w:hyperlink>
      <w:r>
        <w:t>.</w:t>
      </w:r>
    </w:p>
    <w:p w:rsidR="00815992" w:rsidRDefault="00815992" w:rsidP="00815992">
      <w:pPr>
        <w:pStyle w:val="SangriaFrancesaArticulo"/>
      </w:pPr>
      <w:r w:rsidRPr="00815992">
        <w:rPr>
          <w:rStyle w:val="TextoNormalNegritaCaracter"/>
        </w:rPr>
        <w:t>Artículo 50.1 b).</w:t>
      </w:r>
      <w:r w:rsidRPr="00815992">
        <w:rPr>
          <w:rStyle w:val="TextoNormalCaracter"/>
        </w:rPr>
        <w:t>-</w:t>
      </w:r>
      <w:r>
        <w:t xml:space="preserve"> Autos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r w:rsidRPr="00815992">
        <w:rPr>
          <w:rStyle w:val="TextoNormalNegritaCaracter"/>
        </w:rPr>
        <w:t>Artículo 50.1 c).</w:t>
      </w:r>
      <w:r w:rsidRPr="00815992">
        <w:rPr>
          <w:rStyle w:val="TextoNormalCaracter"/>
        </w:rPr>
        <w:t>-</w:t>
      </w:r>
      <w:r>
        <w:t xml:space="preserve"> Sentencias </w:t>
      </w:r>
      <w:hyperlink w:anchor="SENTENCIA_1992_39" w:history="1">
        <w:r w:rsidRPr="00815992">
          <w:rPr>
            <w:rStyle w:val="TextoNormalCaracter"/>
          </w:rPr>
          <w:t>39/1992</w:t>
        </w:r>
      </w:hyperlink>
      <w:r>
        <w:t xml:space="preserve">, f. 4; </w:t>
      </w:r>
      <w:hyperlink w:anchor="SENTENCIA_1992_53" w:history="1">
        <w:r w:rsidRPr="00815992">
          <w:rPr>
            <w:rStyle w:val="TextoNormalCaracter"/>
          </w:rPr>
          <w:t>53/1992</w:t>
        </w:r>
      </w:hyperlink>
      <w:r>
        <w:t>, f. 1.</w:t>
      </w:r>
    </w:p>
    <w:p w:rsidR="00815992" w:rsidRDefault="00815992" w:rsidP="00815992">
      <w:pPr>
        <w:pStyle w:val="SangriaIzquierdaArticulo"/>
      </w:pPr>
      <w:r>
        <w:t xml:space="preserve">Autos </w:t>
      </w:r>
      <w:hyperlink w:anchor="AUTO_1992_3" w:history="1">
        <w:r w:rsidRPr="00815992">
          <w:rPr>
            <w:rStyle w:val="TextoNormalCaracter"/>
          </w:rPr>
          <w:t>3/1992</w:t>
        </w:r>
      </w:hyperlink>
      <w:r>
        <w:t xml:space="preserve">; </w:t>
      </w:r>
      <w:hyperlink w:anchor="AUTO_1992_4" w:history="1">
        <w:r w:rsidRPr="00815992">
          <w:rPr>
            <w:rStyle w:val="TextoNormalCaracter"/>
          </w:rPr>
          <w:t>4/1992</w:t>
        </w:r>
      </w:hyperlink>
      <w:r>
        <w:t xml:space="preserve">; </w:t>
      </w:r>
      <w:hyperlink w:anchor="AUTO_1992_6" w:history="1">
        <w:r w:rsidRPr="00815992">
          <w:rPr>
            <w:rStyle w:val="TextoNormalCaracter"/>
          </w:rPr>
          <w:t>6/1992</w:t>
        </w:r>
      </w:hyperlink>
      <w:r>
        <w:t xml:space="preserve">; </w:t>
      </w:r>
      <w:hyperlink w:anchor="AUTO_1992_7" w:history="1">
        <w:r w:rsidRPr="00815992">
          <w:rPr>
            <w:rStyle w:val="TextoNormalCaracter"/>
          </w:rPr>
          <w:t>7/1992</w:t>
        </w:r>
      </w:hyperlink>
      <w:r>
        <w:t xml:space="preserve">; </w:t>
      </w:r>
      <w:hyperlink w:anchor="AUTO_1992_16" w:history="1">
        <w:r w:rsidRPr="00815992">
          <w:rPr>
            <w:rStyle w:val="TextoNormalCaracter"/>
          </w:rPr>
          <w:t>16/1992</w:t>
        </w:r>
      </w:hyperlink>
      <w:r>
        <w:t xml:space="preserve">; </w:t>
      </w:r>
      <w:hyperlink w:anchor="AUTO_1992_19" w:history="1">
        <w:r w:rsidRPr="00815992">
          <w:rPr>
            <w:rStyle w:val="TextoNormalCaracter"/>
          </w:rPr>
          <w:t>19/1992</w:t>
        </w:r>
      </w:hyperlink>
      <w:r>
        <w:t xml:space="preserve">; </w:t>
      </w:r>
      <w:hyperlink w:anchor="AUTO_1992_21" w:history="1">
        <w:r w:rsidRPr="00815992">
          <w:rPr>
            <w:rStyle w:val="TextoNormalCaracter"/>
          </w:rPr>
          <w:t>21/1992</w:t>
        </w:r>
      </w:hyperlink>
      <w:r>
        <w:t xml:space="preserve">; </w:t>
      </w:r>
      <w:hyperlink w:anchor="AUTO_1992_22" w:history="1">
        <w:r w:rsidRPr="00815992">
          <w:rPr>
            <w:rStyle w:val="TextoNormalCaracter"/>
          </w:rPr>
          <w:t>22/1992</w:t>
        </w:r>
      </w:hyperlink>
      <w:r>
        <w:t xml:space="preserve">; </w:t>
      </w:r>
      <w:hyperlink w:anchor="AUTO_1992_25" w:history="1">
        <w:r w:rsidRPr="00815992">
          <w:rPr>
            <w:rStyle w:val="TextoNormalCaracter"/>
          </w:rPr>
          <w:t>25/1992</w:t>
        </w:r>
      </w:hyperlink>
      <w:r>
        <w:t xml:space="preserve">; </w:t>
      </w:r>
      <w:hyperlink w:anchor="AUTO_1992_26" w:history="1">
        <w:r w:rsidRPr="00815992">
          <w:rPr>
            <w:rStyle w:val="TextoNormalCaracter"/>
          </w:rPr>
          <w:t>26/1992</w:t>
        </w:r>
      </w:hyperlink>
      <w:r>
        <w:t xml:space="preserve">; </w:t>
      </w:r>
      <w:hyperlink w:anchor="AUTO_1992_27" w:history="1">
        <w:r w:rsidRPr="00815992">
          <w:rPr>
            <w:rStyle w:val="TextoNormalCaracter"/>
          </w:rPr>
          <w:t>27/1992</w:t>
        </w:r>
      </w:hyperlink>
      <w:r>
        <w:t xml:space="preserve">; </w:t>
      </w:r>
      <w:hyperlink w:anchor="AUTO_1992_37" w:history="1">
        <w:r w:rsidRPr="00815992">
          <w:rPr>
            <w:rStyle w:val="TextoNormalCaracter"/>
          </w:rPr>
          <w:t>37/1992</w:t>
        </w:r>
      </w:hyperlink>
      <w:r>
        <w:t xml:space="preserve">; </w:t>
      </w:r>
      <w:hyperlink w:anchor="AUTO_1992_42" w:history="1">
        <w:r w:rsidRPr="00815992">
          <w:rPr>
            <w:rStyle w:val="TextoNormalCaracter"/>
          </w:rPr>
          <w:t>42/1992</w:t>
        </w:r>
      </w:hyperlink>
      <w:r>
        <w:t xml:space="preserve">; </w:t>
      </w:r>
      <w:hyperlink w:anchor="AUTO_1992_50" w:history="1">
        <w:r w:rsidRPr="00815992">
          <w:rPr>
            <w:rStyle w:val="TextoNormalCaracter"/>
          </w:rPr>
          <w:t>50/1992</w:t>
        </w:r>
      </w:hyperlink>
      <w:r>
        <w:t xml:space="preserve">; </w:t>
      </w:r>
      <w:hyperlink w:anchor="AUTO_1992_54" w:history="1">
        <w:r w:rsidRPr="00815992">
          <w:rPr>
            <w:rStyle w:val="TextoNormalCaracter"/>
          </w:rPr>
          <w:t>54/1992</w:t>
        </w:r>
      </w:hyperlink>
      <w:r>
        <w:t xml:space="preserve">; </w:t>
      </w:r>
      <w:hyperlink w:anchor="AUTO_1992_59" w:history="1">
        <w:r w:rsidRPr="00815992">
          <w:rPr>
            <w:rStyle w:val="TextoNormalCaracter"/>
          </w:rPr>
          <w:t>59/1992</w:t>
        </w:r>
      </w:hyperlink>
      <w:r>
        <w:t xml:space="preserve">; </w:t>
      </w:r>
      <w:hyperlink w:anchor="AUTO_1992_61" w:history="1">
        <w:r w:rsidRPr="00815992">
          <w:rPr>
            <w:rStyle w:val="TextoNormalCaracter"/>
          </w:rPr>
          <w:t>61/1992</w:t>
        </w:r>
      </w:hyperlink>
      <w:r>
        <w:t xml:space="preserve">; </w:t>
      </w:r>
      <w:hyperlink w:anchor="AUTO_1992_62" w:history="1">
        <w:r w:rsidRPr="00815992">
          <w:rPr>
            <w:rStyle w:val="TextoNormalCaracter"/>
          </w:rPr>
          <w:t>62/1992</w:t>
        </w:r>
      </w:hyperlink>
      <w:r>
        <w:t xml:space="preserve">; </w:t>
      </w:r>
      <w:hyperlink w:anchor="AUTO_1992_70" w:history="1">
        <w:r w:rsidRPr="00815992">
          <w:rPr>
            <w:rStyle w:val="TextoNormalCaracter"/>
          </w:rPr>
          <w:t>70/1992</w:t>
        </w:r>
      </w:hyperlink>
      <w:r>
        <w:t xml:space="preserve">; </w:t>
      </w:r>
      <w:hyperlink w:anchor="AUTO_1992_71" w:history="1">
        <w:r w:rsidRPr="00815992">
          <w:rPr>
            <w:rStyle w:val="TextoNormalCaracter"/>
          </w:rPr>
          <w:t>71/1992</w:t>
        </w:r>
      </w:hyperlink>
      <w:r>
        <w:t xml:space="preserve">; </w:t>
      </w:r>
      <w:hyperlink w:anchor="AUTO_1992_72" w:history="1">
        <w:r w:rsidRPr="00815992">
          <w:rPr>
            <w:rStyle w:val="TextoNormalCaracter"/>
          </w:rPr>
          <w:t>72/1992</w:t>
        </w:r>
      </w:hyperlink>
      <w:r>
        <w:t xml:space="preserve">; </w:t>
      </w:r>
      <w:hyperlink w:anchor="AUTO_1992_73" w:history="1">
        <w:r w:rsidRPr="00815992">
          <w:rPr>
            <w:rStyle w:val="TextoNormalCaracter"/>
          </w:rPr>
          <w:t>73/1992</w:t>
        </w:r>
      </w:hyperlink>
      <w:r>
        <w:t xml:space="preserve">; </w:t>
      </w:r>
      <w:hyperlink w:anchor="AUTO_1992_74" w:history="1">
        <w:r w:rsidRPr="00815992">
          <w:rPr>
            <w:rStyle w:val="TextoNormalCaracter"/>
          </w:rPr>
          <w:t>74/1992</w:t>
        </w:r>
      </w:hyperlink>
      <w:r>
        <w:t xml:space="preserve">; </w:t>
      </w:r>
      <w:hyperlink w:anchor="AUTO_1992_84" w:history="1">
        <w:r w:rsidRPr="00815992">
          <w:rPr>
            <w:rStyle w:val="TextoNormalCaracter"/>
          </w:rPr>
          <w:t>84/1992</w:t>
        </w:r>
      </w:hyperlink>
      <w:r>
        <w:t xml:space="preserve">; </w:t>
      </w:r>
      <w:hyperlink w:anchor="AUTO_1992_85" w:history="1">
        <w:r w:rsidRPr="00815992">
          <w:rPr>
            <w:rStyle w:val="TextoNormalCaracter"/>
          </w:rPr>
          <w:t>85/1992</w:t>
        </w:r>
      </w:hyperlink>
      <w:r>
        <w:t xml:space="preserve">;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 xml:space="preserve">; </w:t>
      </w:r>
      <w:hyperlink w:anchor="AUTO_1992_100" w:history="1">
        <w:r w:rsidRPr="00815992">
          <w:rPr>
            <w:rStyle w:val="TextoNormalCaracter"/>
          </w:rPr>
          <w:t>100/1992</w:t>
        </w:r>
      </w:hyperlink>
      <w:r>
        <w:t xml:space="preserve">; </w:t>
      </w:r>
      <w:hyperlink w:anchor="AUTO_1992_104" w:history="1">
        <w:r w:rsidRPr="00815992">
          <w:rPr>
            <w:rStyle w:val="TextoNormalCaracter"/>
          </w:rPr>
          <w:t>104/1992</w:t>
        </w:r>
      </w:hyperlink>
      <w:r>
        <w:t xml:space="preserve">; </w:t>
      </w:r>
      <w:hyperlink w:anchor="AUTO_1992_105" w:history="1">
        <w:r w:rsidRPr="00815992">
          <w:rPr>
            <w:rStyle w:val="TextoNormalCaracter"/>
          </w:rPr>
          <w:t>105/1992</w:t>
        </w:r>
      </w:hyperlink>
      <w:r>
        <w:t xml:space="preserve">; </w:t>
      </w:r>
      <w:hyperlink w:anchor="AUTO_1992_114" w:history="1">
        <w:r w:rsidRPr="00815992">
          <w:rPr>
            <w:rStyle w:val="TextoNormalCaracter"/>
          </w:rPr>
          <w:t>114/1992</w:t>
        </w:r>
      </w:hyperlink>
      <w:r>
        <w:t>.</w:t>
      </w:r>
    </w:p>
    <w:p w:rsidR="00815992" w:rsidRDefault="00815992" w:rsidP="00815992">
      <w:pPr>
        <w:pStyle w:val="SangriaFrancesaArticulo"/>
      </w:pPr>
      <w:r w:rsidRPr="00815992">
        <w:rPr>
          <w:rStyle w:val="TextoNormalNegritaCaracter"/>
        </w:rPr>
        <w:t>Artículo 50.1 d).</w:t>
      </w:r>
      <w:r w:rsidRPr="00815992">
        <w:rPr>
          <w:rStyle w:val="TextoNormalCaracter"/>
        </w:rPr>
        <w:t>-</w:t>
      </w:r>
      <w:r>
        <w:t xml:space="preserve"> Sentencia </w:t>
      </w:r>
      <w:hyperlink w:anchor="SENTENCIA_1992_18" w:history="1">
        <w:r w:rsidRPr="00815992">
          <w:rPr>
            <w:rStyle w:val="TextoNormalCaracter"/>
          </w:rPr>
          <w:t>18/1992</w:t>
        </w:r>
      </w:hyperlink>
      <w:r>
        <w:t>, f. 2.</w:t>
      </w:r>
    </w:p>
    <w:p w:rsidR="00815992" w:rsidRDefault="00815992" w:rsidP="00815992">
      <w:pPr>
        <w:pStyle w:val="SangriaIzquierdaArticulo"/>
      </w:pPr>
      <w:r>
        <w:t xml:space="preserve">Autos </w:t>
      </w:r>
      <w:hyperlink w:anchor="AUTO_1992_70" w:history="1">
        <w:r w:rsidRPr="00815992">
          <w:rPr>
            <w:rStyle w:val="TextoNormalCaracter"/>
          </w:rPr>
          <w:t>70/1992</w:t>
        </w:r>
      </w:hyperlink>
      <w:r>
        <w:t xml:space="preserve">; </w:t>
      </w:r>
      <w:hyperlink w:anchor="AUTO_1992_83" w:history="1">
        <w:r w:rsidRPr="00815992">
          <w:rPr>
            <w:rStyle w:val="TextoNormalCaracter"/>
          </w:rPr>
          <w:t>83/1992</w:t>
        </w:r>
      </w:hyperlink>
      <w:r>
        <w:t>.</w:t>
      </w:r>
    </w:p>
    <w:p w:rsidR="00815992" w:rsidRDefault="00815992" w:rsidP="00815992">
      <w:pPr>
        <w:pStyle w:val="SangriaFrancesaArticulo"/>
      </w:pPr>
      <w:r w:rsidRPr="00815992">
        <w:rPr>
          <w:rStyle w:val="TextoNormalNegritaCaracter"/>
        </w:rPr>
        <w:lastRenderedPageBreak/>
        <w:t>Artículo 50.2.</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50.3.</w:t>
      </w:r>
      <w:r w:rsidRPr="00815992">
        <w:rPr>
          <w:rStyle w:val="TextoNormalCaracter"/>
        </w:rPr>
        <w:t>-</w:t>
      </w:r>
      <w:r>
        <w:t xml:space="preserve"> Sentencia </w:t>
      </w:r>
      <w:hyperlink w:anchor="SENTENCIA_1992_39" w:history="1">
        <w:r w:rsidRPr="00815992">
          <w:rPr>
            <w:rStyle w:val="TextoNormalCaracter"/>
          </w:rPr>
          <w:t>39/1992</w:t>
        </w:r>
      </w:hyperlink>
      <w:r>
        <w:t>, f. 4.</w:t>
      </w:r>
    </w:p>
    <w:p w:rsidR="00815992" w:rsidRDefault="00815992" w:rsidP="00815992">
      <w:pPr>
        <w:pStyle w:val="SangriaIzquierdaArticulo"/>
      </w:pPr>
      <w:r>
        <w:t xml:space="preserve">Autos </w:t>
      </w:r>
      <w:hyperlink w:anchor="AUTO_1992_7" w:history="1">
        <w:r w:rsidRPr="00815992">
          <w:rPr>
            <w:rStyle w:val="TextoNormalCaracter"/>
          </w:rPr>
          <w:t>7/1992</w:t>
        </w:r>
      </w:hyperlink>
      <w:r>
        <w:t xml:space="preserve">; </w:t>
      </w:r>
      <w:hyperlink w:anchor="AUTO_1992_16" w:history="1">
        <w:r w:rsidRPr="00815992">
          <w:rPr>
            <w:rStyle w:val="TextoNormalCaracter"/>
          </w:rPr>
          <w:t>16/1992</w:t>
        </w:r>
      </w:hyperlink>
      <w:r>
        <w:t xml:space="preserve">; </w:t>
      </w:r>
      <w:hyperlink w:anchor="AUTO_1992_17" w:history="1">
        <w:r w:rsidRPr="00815992">
          <w:rPr>
            <w:rStyle w:val="TextoNormalCaracter"/>
          </w:rPr>
          <w:t>17/1992</w:t>
        </w:r>
      </w:hyperlink>
      <w:r>
        <w:t xml:space="preserve">; </w:t>
      </w:r>
      <w:hyperlink w:anchor="AUTO_1992_22" w:history="1">
        <w:r w:rsidRPr="00815992">
          <w:rPr>
            <w:rStyle w:val="TextoNormalCaracter"/>
          </w:rPr>
          <w:t>22/1992</w:t>
        </w:r>
      </w:hyperlink>
      <w:r>
        <w:t xml:space="preserve">; </w:t>
      </w:r>
      <w:hyperlink w:anchor="AUTO_1992_55" w:history="1">
        <w:r w:rsidRPr="00815992">
          <w:rPr>
            <w:rStyle w:val="TextoNormalCaracter"/>
          </w:rPr>
          <w:t>55/1992</w:t>
        </w:r>
      </w:hyperlink>
      <w:r>
        <w:t xml:space="preserve">; </w:t>
      </w:r>
      <w:hyperlink w:anchor="AUTO_1992_58" w:history="1">
        <w:r w:rsidRPr="00815992">
          <w:rPr>
            <w:rStyle w:val="TextoNormalCaracter"/>
          </w:rPr>
          <w:t>58/1992</w:t>
        </w:r>
      </w:hyperlink>
      <w:r>
        <w:t xml:space="preserve">; </w:t>
      </w:r>
      <w:hyperlink w:anchor="AUTO_1992_72" w:history="1">
        <w:r w:rsidRPr="00815992">
          <w:rPr>
            <w:rStyle w:val="TextoNormalCaracter"/>
          </w:rPr>
          <w:t>72/1992</w:t>
        </w:r>
      </w:hyperlink>
      <w:r>
        <w:t xml:space="preserve">; </w:t>
      </w:r>
      <w:hyperlink w:anchor="AUTO_1992_83" w:history="1">
        <w:r w:rsidRPr="00815992">
          <w:rPr>
            <w:rStyle w:val="TextoNormalCaracter"/>
          </w:rPr>
          <w:t>83/1992</w:t>
        </w:r>
      </w:hyperlink>
      <w:r>
        <w:t xml:space="preserve">;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Artículo 51.2.</w:t>
      </w:r>
      <w:r w:rsidRPr="00815992">
        <w:rPr>
          <w:rStyle w:val="TextoNormalCaracter"/>
        </w:rPr>
        <w:t>-</w:t>
      </w:r>
      <w:r>
        <w:t xml:space="preserve"> Sentencia </w:t>
      </w:r>
      <w:hyperlink w:anchor="SENTENCIA_1992_11" w:history="1">
        <w:r w:rsidRPr="00815992">
          <w:rPr>
            <w:rStyle w:val="TextoNormalCaracter"/>
          </w:rPr>
          <w:t>11/1992</w:t>
        </w:r>
      </w:hyperlink>
      <w:r>
        <w:t>, f. 2.</w:t>
      </w:r>
    </w:p>
    <w:p w:rsidR="00815992" w:rsidRDefault="00815992" w:rsidP="00815992">
      <w:pPr>
        <w:pStyle w:val="SangriaFrancesaArticulo"/>
      </w:pPr>
      <w:r w:rsidRPr="00815992">
        <w:rPr>
          <w:rStyle w:val="TextoNormalNegritaCaracter"/>
        </w:rPr>
        <w:t>Artículo 52.</w:t>
      </w:r>
      <w:r w:rsidRPr="00815992">
        <w:rPr>
          <w:rStyle w:val="TextoNormalCaracter"/>
        </w:rPr>
        <w:t>-</w:t>
      </w:r>
      <w:r>
        <w:t xml:space="preserve"> Sentencia </w:t>
      </w:r>
      <w:hyperlink w:anchor="SENTENCIA_1992_48" w:history="1">
        <w:r w:rsidRPr="00815992">
          <w:rPr>
            <w:rStyle w:val="TextoNormalCaracter"/>
          </w:rPr>
          <w:t>48/1992</w:t>
        </w:r>
      </w:hyperlink>
      <w:r>
        <w:t>, f. 2.</w:t>
      </w:r>
    </w:p>
    <w:p w:rsidR="00815992" w:rsidRDefault="00815992" w:rsidP="00815992">
      <w:pPr>
        <w:pStyle w:val="SangriaFrancesaArticulo"/>
      </w:pPr>
      <w:r w:rsidRPr="00815992">
        <w:rPr>
          <w:rStyle w:val="TextoNormalNegritaCaracter"/>
        </w:rPr>
        <w:t>Artículo 52.1.</w:t>
      </w:r>
      <w:r w:rsidRPr="00815992">
        <w:rPr>
          <w:rStyle w:val="TextoNormalCaracter"/>
        </w:rPr>
        <w:t>-</w:t>
      </w:r>
      <w:r>
        <w:t xml:space="preserve"> Sentencia </w:t>
      </w:r>
      <w:hyperlink w:anchor="SENTENCIA_1992_1" w:history="1">
        <w:r w:rsidRPr="00815992">
          <w:rPr>
            <w:rStyle w:val="TextoNormalCaracter"/>
          </w:rPr>
          <w:t>1/1992</w:t>
        </w:r>
      </w:hyperlink>
      <w:r>
        <w:t>, f. 2.</w:t>
      </w:r>
    </w:p>
    <w:p w:rsidR="00815992" w:rsidRDefault="00815992" w:rsidP="00815992">
      <w:pPr>
        <w:pStyle w:val="SangriaFrancesaArticulo"/>
      </w:pPr>
      <w:r w:rsidRPr="00815992">
        <w:rPr>
          <w:rStyle w:val="TextoNormalNegritaCaracter"/>
        </w:rPr>
        <w:t>Artículo 55.1 a).</w:t>
      </w:r>
      <w:r w:rsidRPr="00815992">
        <w:rPr>
          <w:rStyle w:val="TextoNormalCaracter"/>
        </w:rPr>
        <w:t>-</w:t>
      </w:r>
      <w:r>
        <w:t xml:space="preserve"> Sentencias </w:t>
      </w:r>
      <w:hyperlink w:anchor="SENTENCIA_1992_1" w:history="1">
        <w:r w:rsidRPr="00815992">
          <w:rPr>
            <w:rStyle w:val="TextoNormalCaracter"/>
          </w:rPr>
          <w:t>1/1992</w:t>
        </w:r>
      </w:hyperlink>
      <w:r>
        <w:t xml:space="preserve">, f. 7; </w:t>
      </w:r>
      <w:hyperlink w:anchor="SENTENCIA_1992_6" w:history="1">
        <w:r w:rsidRPr="00815992">
          <w:rPr>
            <w:rStyle w:val="TextoNormalCaracter"/>
          </w:rPr>
          <w:t>6/1992</w:t>
        </w:r>
      </w:hyperlink>
      <w:r>
        <w:t>, f. 7.</w:t>
      </w:r>
    </w:p>
    <w:p w:rsidR="00815992" w:rsidRDefault="00815992" w:rsidP="00815992">
      <w:pPr>
        <w:pStyle w:val="SangriaFrancesaArticulo"/>
      </w:pPr>
      <w:r w:rsidRPr="00815992">
        <w:rPr>
          <w:rStyle w:val="TextoNormalNegritaCaracter"/>
        </w:rPr>
        <w:t>Artículo 55.2.</w:t>
      </w:r>
      <w:r w:rsidRPr="00815992">
        <w:rPr>
          <w:rStyle w:val="TextoNormalCaracter"/>
        </w:rPr>
        <w:t>-</w:t>
      </w:r>
      <w:r>
        <w:t xml:space="preserve"> Sentencia </w:t>
      </w:r>
      <w:hyperlink w:anchor="SENTENCIA_1992_2" w:history="1">
        <w:r w:rsidRPr="00815992">
          <w:rPr>
            <w:rStyle w:val="TextoNormalCaracter"/>
          </w:rPr>
          <w:t>2/1992</w:t>
        </w:r>
      </w:hyperlink>
      <w:r>
        <w:t>, f. 5.</w:t>
      </w:r>
    </w:p>
    <w:p w:rsidR="00815992" w:rsidRDefault="00815992" w:rsidP="00815992">
      <w:pPr>
        <w:pStyle w:val="SangriaFrancesaArticulo"/>
      </w:pPr>
      <w:r w:rsidRPr="00815992">
        <w:rPr>
          <w:rStyle w:val="TextoNormalNegritaCaracter"/>
        </w:rPr>
        <w:t>Artículo 56.1.</w:t>
      </w:r>
      <w:r w:rsidRPr="00815992">
        <w:rPr>
          <w:rStyle w:val="TextoNormalCaracter"/>
        </w:rPr>
        <w:t>-</w:t>
      </w:r>
      <w:r>
        <w:t xml:space="preserve"> Auto </w:t>
      </w:r>
      <w:hyperlink w:anchor="AUTO_1992_20" w:history="1">
        <w:r w:rsidRPr="00815992">
          <w:rPr>
            <w:rStyle w:val="TextoNormalCaracter"/>
          </w:rPr>
          <w:t>20/1992</w:t>
        </w:r>
      </w:hyperlink>
      <w:r>
        <w:t>.</w:t>
      </w:r>
    </w:p>
    <w:p w:rsidR="00815992" w:rsidRDefault="00815992" w:rsidP="00815992">
      <w:pPr>
        <w:pStyle w:val="SangriaFrancesaArticulo"/>
      </w:pPr>
      <w:r w:rsidRPr="00815992">
        <w:rPr>
          <w:rStyle w:val="TextoNormalNegritaCaracter"/>
        </w:rPr>
        <w:t>Artículo 57.</w:t>
      </w:r>
      <w:r w:rsidRPr="00815992">
        <w:rPr>
          <w:rStyle w:val="TextoNormalCaracter"/>
        </w:rPr>
        <w:t>-</w:t>
      </w:r>
      <w:r>
        <w:t xml:space="preserve"> Auto </w:t>
      </w:r>
      <w:hyperlink w:anchor="AUTO_1992_87" w:history="1">
        <w:r w:rsidRPr="00815992">
          <w:rPr>
            <w:rStyle w:val="TextoNormalCaracter"/>
          </w:rPr>
          <w:t>87/1992</w:t>
        </w:r>
      </w:hyperlink>
      <w:r>
        <w:t>.</w:t>
      </w:r>
    </w:p>
    <w:p w:rsidR="00815992" w:rsidRDefault="00815992" w:rsidP="00815992">
      <w:pPr>
        <w:pStyle w:val="SangriaFrancesaArticulo"/>
      </w:pPr>
      <w:r w:rsidRPr="00815992">
        <w:rPr>
          <w:rStyle w:val="TextoNormalNegritaCaracter"/>
        </w:rPr>
        <w:t>Artículo 59.1.</w:t>
      </w:r>
      <w:r w:rsidRPr="00815992">
        <w:rPr>
          <w:rStyle w:val="TextoNormalCaracter"/>
        </w:rPr>
        <w:t>-</w:t>
      </w:r>
      <w:r>
        <w:t xml:space="preserve"> Sentencia </w:t>
      </w:r>
      <w:hyperlink w:anchor="SENTENCIA_1992_37" w:history="1">
        <w:r w:rsidRPr="00815992">
          <w:rPr>
            <w:rStyle w:val="TextoNormalCaracter"/>
          </w:rPr>
          <w:t>37/1992</w:t>
        </w:r>
      </w:hyperlink>
      <w:r>
        <w:t>, f. 2.</w:t>
      </w:r>
    </w:p>
    <w:p w:rsidR="00815992" w:rsidRDefault="00815992" w:rsidP="00815992">
      <w:pPr>
        <w:pStyle w:val="SangriaFrancesaArticulo"/>
      </w:pPr>
      <w:r w:rsidRPr="00815992">
        <w:rPr>
          <w:rStyle w:val="TextoNormalNegritaCaracter"/>
        </w:rPr>
        <w:t>Artículo 66.</w:t>
      </w:r>
      <w:r w:rsidRPr="00815992">
        <w:rPr>
          <w:rStyle w:val="TextoNormalCaracter"/>
        </w:rPr>
        <w:t>-</w:t>
      </w:r>
      <w:r>
        <w:t xml:space="preserve"> Auto </w:t>
      </w:r>
      <w:hyperlink w:anchor="AUTO_1992_30" w:history="1">
        <w:r w:rsidRPr="00815992">
          <w:rPr>
            <w:rStyle w:val="TextoNormalCaracter"/>
          </w:rPr>
          <w:t>30/1992</w:t>
        </w:r>
      </w:hyperlink>
      <w:r>
        <w:t>.</w:t>
      </w:r>
    </w:p>
    <w:p w:rsidR="00815992" w:rsidRDefault="00815992" w:rsidP="00815992">
      <w:pPr>
        <w:pStyle w:val="SangriaFrancesaArticulo"/>
      </w:pPr>
      <w:r w:rsidRPr="00815992">
        <w:rPr>
          <w:rStyle w:val="TextoNormalNegritaCaracter"/>
        </w:rPr>
        <w:t>Artículo 67.</w:t>
      </w:r>
      <w:r w:rsidRPr="00815992">
        <w:rPr>
          <w:rStyle w:val="TextoNormalCaracter"/>
        </w:rPr>
        <w:t>-</w:t>
      </w:r>
      <w:r>
        <w:t xml:space="preserve"> Auto </w:t>
      </w:r>
      <w:hyperlink w:anchor="AUTO_1992_63" w:history="1">
        <w:r w:rsidRPr="00815992">
          <w:rPr>
            <w:rStyle w:val="TextoNormalCaracter"/>
          </w:rPr>
          <w:t>63/1992</w:t>
        </w:r>
      </w:hyperlink>
      <w:r>
        <w:t>.</w:t>
      </w:r>
    </w:p>
    <w:p w:rsidR="00815992" w:rsidRDefault="00815992" w:rsidP="00815992">
      <w:pPr>
        <w:pStyle w:val="SangriaFrancesaArticulo"/>
      </w:pPr>
      <w:r w:rsidRPr="00815992">
        <w:rPr>
          <w:rStyle w:val="TextoNormalNegritaCaracter"/>
        </w:rPr>
        <w:t>Artículo 68.</w:t>
      </w:r>
      <w:r w:rsidRPr="00815992">
        <w:rPr>
          <w:rStyle w:val="TextoNormalCaracter"/>
        </w:rPr>
        <w:t>-</w:t>
      </w:r>
      <w:r>
        <w:t xml:space="preserve"> Sentencia </w:t>
      </w:r>
      <w:hyperlink w:anchor="SENTENCIA_1992_37" w:history="1">
        <w:r w:rsidRPr="00815992">
          <w:rPr>
            <w:rStyle w:val="TextoNormalCaracter"/>
          </w:rPr>
          <w:t>37/1992</w:t>
        </w:r>
      </w:hyperlink>
      <w:r>
        <w:t>, f. 2.</w:t>
      </w:r>
    </w:p>
    <w:p w:rsidR="00815992" w:rsidRDefault="00815992" w:rsidP="00815992">
      <w:pPr>
        <w:pStyle w:val="SangriaFrancesaArticulo"/>
      </w:pPr>
      <w:r w:rsidRPr="00815992">
        <w:rPr>
          <w:rStyle w:val="TextoNormalNegritaCaracter"/>
        </w:rPr>
        <w:t>Artículo 69.2.</w:t>
      </w:r>
      <w:r w:rsidRPr="00815992">
        <w:rPr>
          <w:rStyle w:val="TextoNormalCaracter"/>
        </w:rPr>
        <w:t>-</w:t>
      </w:r>
      <w:r>
        <w:t xml:space="preserve"> Sentencia </w:t>
      </w:r>
      <w:hyperlink w:anchor="SENTENCIA_1992_37" w:history="1">
        <w:r w:rsidRPr="00815992">
          <w:rPr>
            <w:rStyle w:val="TextoNormalCaracter"/>
          </w:rPr>
          <w:t>37/1992</w:t>
        </w:r>
      </w:hyperlink>
      <w:r>
        <w:t>, f. 2.</w:t>
      </w:r>
    </w:p>
    <w:p w:rsidR="00815992" w:rsidRDefault="00815992" w:rsidP="00815992">
      <w:pPr>
        <w:pStyle w:val="SangriaFrancesaArticulo"/>
      </w:pPr>
      <w:r w:rsidRPr="00815992">
        <w:rPr>
          <w:rStyle w:val="TextoNormalNegritaCaracter"/>
        </w:rPr>
        <w:t>Artículo 84.</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r w:rsidRPr="00815992">
        <w:rPr>
          <w:rStyle w:val="TextoNormalNegritaCaracter"/>
        </w:rPr>
        <w:t>Artículo 85.1.</w:t>
      </w:r>
      <w:r w:rsidRPr="00815992">
        <w:rPr>
          <w:rStyle w:val="TextoNormalCaracter"/>
        </w:rPr>
        <w:t>-</w:t>
      </w:r>
      <w:r>
        <w:t xml:space="preserve"> Sentencia </w:t>
      </w:r>
      <w:hyperlink w:anchor="SENTENCIA_1992_39" w:history="1">
        <w:r w:rsidRPr="00815992">
          <w:rPr>
            <w:rStyle w:val="TextoNormalCaracter"/>
          </w:rPr>
          <w:t>39/1992</w:t>
        </w:r>
      </w:hyperlink>
      <w:r>
        <w:t>, f. 4.</w:t>
      </w:r>
    </w:p>
    <w:p w:rsidR="00815992" w:rsidRDefault="00815992" w:rsidP="00815992">
      <w:pPr>
        <w:pStyle w:val="SangriaFrancesaArticulo"/>
      </w:pPr>
      <w:r w:rsidRPr="00815992">
        <w:rPr>
          <w:rStyle w:val="TextoNormalNegritaCaracter"/>
        </w:rPr>
        <w:t>Artículo 86.</w:t>
      </w:r>
      <w:r w:rsidRPr="00815992">
        <w:rPr>
          <w:rStyle w:val="TextoNormalCaracter"/>
        </w:rPr>
        <w:t>-</w:t>
      </w:r>
      <w:r>
        <w:t xml:space="preserve"> Auto </w:t>
      </w:r>
      <w:hyperlink w:anchor="AUTO_1992_32" w:history="1">
        <w:r w:rsidRPr="00815992">
          <w:rPr>
            <w:rStyle w:val="TextoNormalCaracter"/>
          </w:rPr>
          <w:t>32/1992</w:t>
        </w:r>
      </w:hyperlink>
      <w:r>
        <w:t>.</w:t>
      </w:r>
    </w:p>
    <w:p w:rsidR="00815992" w:rsidRDefault="00815992" w:rsidP="00815992">
      <w:pPr>
        <w:pStyle w:val="SangriaFrancesaArticulo"/>
      </w:pPr>
      <w:r w:rsidRPr="00815992">
        <w:rPr>
          <w:rStyle w:val="TextoNormalNegritaCaracter"/>
        </w:rPr>
        <w:t>Artículo 86.1.</w:t>
      </w:r>
      <w:r w:rsidRPr="00815992">
        <w:rPr>
          <w:rStyle w:val="TextoNormalCaracter"/>
        </w:rPr>
        <w:t>-</w:t>
      </w:r>
      <w:r>
        <w:t xml:space="preserve"> Autos </w:t>
      </w:r>
      <w:hyperlink w:anchor="AUTO_1992_79" w:history="1">
        <w:r w:rsidRPr="00815992">
          <w:rPr>
            <w:rStyle w:val="TextoNormalCaracter"/>
          </w:rPr>
          <w:t>79/1992</w:t>
        </w:r>
      </w:hyperlink>
      <w:r>
        <w:t xml:space="preserve">; </w:t>
      </w:r>
      <w:hyperlink w:anchor="AUTO_1992_80" w:history="1">
        <w:r w:rsidRPr="00815992">
          <w:rPr>
            <w:rStyle w:val="TextoNormalCaracter"/>
          </w:rPr>
          <w:t>80/1992</w:t>
        </w:r>
      </w:hyperlink>
      <w:r>
        <w:t xml:space="preserve">;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93.1.</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TextoNormal"/>
      </w:pPr>
    </w:p>
    <w:p w:rsidR="00815992" w:rsidRDefault="00815992" w:rsidP="00815992">
      <w:pPr>
        <w:pStyle w:val="SangriaFrancesaArticulo"/>
      </w:pPr>
      <w:bookmarkStart w:id="192" w:name="INDICE22844"/>
    </w:p>
    <w:bookmarkEnd w:id="192"/>
    <w:p w:rsidR="00815992" w:rsidRDefault="00815992" w:rsidP="00815992">
      <w:pPr>
        <w:pStyle w:val="TextoIndiceNivel2"/>
        <w:suppressAutoHyphens/>
      </w:pPr>
      <w:r>
        <w:t>C) Cortes Generales</w:t>
      </w:r>
    </w:p>
    <w:p w:rsidR="00815992" w:rsidRDefault="00815992" w:rsidP="00815992">
      <w:pPr>
        <w:pStyle w:val="TextoIndiceNivel2"/>
      </w:pPr>
    </w:p>
    <w:p w:rsidR="00815992" w:rsidRDefault="00815992" w:rsidP="00815992">
      <w:pPr>
        <w:pStyle w:val="TextoNormalNegritaCursivandice"/>
      </w:pPr>
      <w:r>
        <w:t>Reglamento del Congreso de los Diputados, de 10 de febrero de 1982</w:t>
      </w:r>
    </w:p>
    <w:p w:rsidR="00815992" w:rsidRDefault="00815992" w:rsidP="00815992">
      <w:pPr>
        <w:pStyle w:val="SangriaFrancesaArticulo"/>
      </w:pPr>
      <w:r w:rsidRPr="00815992">
        <w:rPr>
          <w:rStyle w:val="TextoNormalNegritaCaracter"/>
        </w:rPr>
        <w:t>Artículo 21.2.</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p>
    <w:p w:rsidR="00815992" w:rsidRDefault="00815992" w:rsidP="00815992">
      <w:pPr>
        <w:pStyle w:val="TextoNormalNegritaCursivandice"/>
      </w:pPr>
      <w:r>
        <w:t>Reglamento del Senado, de 26 de mayo de 1982</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101.</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102.</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TextoNormal"/>
      </w:pPr>
    </w:p>
    <w:p w:rsidR="00815992" w:rsidRDefault="00815992" w:rsidP="00815992">
      <w:pPr>
        <w:pStyle w:val="SangriaFrancesaArticulo"/>
      </w:pPr>
      <w:bookmarkStart w:id="193" w:name="INDICE22845"/>
    </w:p>
    <w:bookmarkEnd w:id="193"/>
    <w:p w:rsidR="00815992" w:rsidRDefault="00815992" w:rsidP="00815992">
      <w:pPr>
        <w:pStyle w:val="TextoIndiceNivel2"/>
        <w:suppressAutoHyphens/>
      </w:pPr>
      <w:r>
        <w:t>D) Leyes Orgánicas</w:t>
      </w:r>
    </w:p>
    <w:p w:rsidR="00815992" w:rsidRDefault="00815992" w:rsidP="00815992">
      <w:pPr>
        <w:pStyle w:val="TextoIndiceNivel2"/>
      </w:pPr>
    </w:p>
    <w:p w:rsidR="00815992" w:rsidRDefault="00815992" w:rsidP="00815992">
      <w:pPr>
        <w:pStyle w:val="TextoNormalNegritaCursivandice"/>
      </w:pPr>
      <w:r>
        <w:t>Ley Orgánica 1/1979, de 26 de septiembre. General penitenciaria</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 </w:t>
      </w:r>
      <w:hyperlink w:anchor="SENTENCIA_1992_54" w:history="1">
        <w:r w:rsidRPr="00815992">
          <w:rPr>
            <w:rStyle w:val="TextoNormalCaracter"/>
          </w:rPr>
          <w:t>54/1992</w:t>
        </w:r>
      </w:hyperlink>
      <w:r>
        <w:t>, ff. 1 a 3.</w:t>
      </w:r>
    </w:p>
    <w:p w:rsidR="00815992" w:rsidRDefault="00815992" w:rsidP="00815992">
      <w:pPr>
        <w:pStyle w:val="SangriaFrancesaArticulo"/>
      </w:pPr>
      <w:r w:rsidRPr="00815992">
        <w:rPr>
          <w:rStyle w:val="TextoNormalNegritaCaracter"/>
        </w:rPr>
        <w:t>Artículo 10.1.</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42.2.</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63.</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74.</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76.2 j).</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p>
    <w:p w:rsidR="00815992" w:rsidRDefault="00815992" w:rsidP="00815992">
      <w:pPr>
        <w:pStyle w:val="TextoNormalNegritaCursivandice"/>
      </w:pPr>
      <w:r>
        <w:t>Ley Orgánica 5/1980, de 19 de junio. Estatuto de centros escolares</w:t>
      </w:r>
    </w:p>
    <w:p w:rsidR="00815992" w:rsidRDefault="00815992" w:rsidP="00815992">
      <w:pPr>
        <w:pStyle w:val="SangriaFrancesaArticulo"/>
      </w:pPr>
      <w:r w:rsidRPr="00815992">
        <w:rPr>
          <w:rStyle w:val="TextoNormalNegritaCaracter"/>
        </w:rPr>
        <w:lastRenderedPageBreak/>
        <w:t>Artículo 21.</w:t>
      </w:r>
      <w:r w:rsidRPr="00815992">
        <w:rPr>
          <w:rStyle w:val="TextoNormalCaracter"/>
        </w:rPr>
        <w:t>-</w:t>
      </w:r>
      <w:r>
        <w:t xml:space="preserve"> Sentencia </w:t>
      </w:r>
      <w:hyperlink w:anchor="SENTENCIA_1992_38" w:history="1">
        <w:r w:rsidRPr="00815992">
          <w:rPr>
            <w:rStyle w:val="TextoNormalCaracter"/>
          </w:rPr>
          <w:t>38/1992</w:t>
        </w:r>
      </w:hyperlink>
      <w:r>
        <w:t>, f. 4.</w:t>
      </w:r>
    </w:p>
    <w:p w:rsidR="00815992" w:rsidRDefault="00815992" w:rsidP="00815992">
      <w:pPr>
        <w:pStyle w:val="SangriaFrancesaArticulo"/>
      </w:pPr>
    </w:p>
    <w:p w:rsidR="00815992" w:rsidRDefault="00815992" w:rsidP="00815992">
      <w:pPr>
        <w:pStyle w:val="TextoNormalNegritaCursivandice"/>
      </w:pPr>
      <w:r>
        <w:t>Ley Orgánica 7/1980, de 5 de julio. Libertad religiosa</w:t>
      </w:r>
    </w:p>
    <w:p w:rsidR="00815992" w:rsidRDefault="00815992" w:rsidP="00815992">
      <w:pPr>
        <w:pStyle w:val="SangriaFrancesaArticulo"/>
      </w:pPr>
      <w:r w:rsidRPr="00815992">
        <w:rPr>
          <w:rStyle w:val="TextoNormalNegritaCaracter"/>
        </w:rPr>
        <w:t>Artículo 2.1 b).</w:t>
      </w:r>
      <w:r w:rsidRPr="00815992">
        <w:rPr>
          <w:rStyle w:val="TextoNormalCaracter"/>
        </w:rPr>
        <w:t>-</w:t>
      </w:r>
      <w:r>
        <w:t xml:space="preserve"> Sentencia </w:t>
      </w:r>
      <w:hyperlink w:anchor="SENTENCIA_1992_59" w:history="1">
        <w:r w:rsidRPr="00815992">
          <w:rPr>
            <w:rStyle w:val="TextoNormalCaracter"/>
          </w:rPr>
          <w:t>59/1992</w:t>
        </w:r>
      </w:hyperlink>
      <w:r>
        <w:t>, f. 3.</w:t>
      </w:r>
    </w:p>
    <w:p w:rsidR="00815992" w:rsidRDefault="00815992" w:rsidP="00815992">
      <w:pPr>
        <w:pStyle w:val="SangriaFrancesaArticulo"/>
      </w:pPr>
    </w:p>
    <w:p w:rsidR="00815992" w:rsidRDefault="00815992" w:rsidP="00815992">
      <w:pPr>
        <w:pStyle w:val="TextoNormalNegritaCursivandice"/>
      </w:pPr>
      <w:r>
        <w:t>Ley Orgánica 8/1980, de 22 de septiembre. Financiación de las Comunidades Autónomas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ff. 6, 7.</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Sentencias </w:t>
      </w:r>
      <w:hyperlink w:anchor="SENTENCIA_1992_13" w:history="1">
        <w:r w:rsidRPr="00815992">
          <w:rPr>
            <w:rStyle w:val="TextoNormalCaracter"/>
          </w:rPr>
          <w:t>13/1992</w:t>
        </w:r>
      </w:hyperlink>
      <w:r>
        <w:t xml:space="preserve">, ff. 6, 7; </w:t>
      </w:r>
      <w:hyperlink w:anchor="SENTENCIA_1992_16" w:history="1">
        <w:r w:rsidRPr="00815992">
          <w:rPr>
            <w:rStyle w:val="TextoNormalCaracter"/>
          </w:rPr>
          <w:t>16/1992</w:t>
        </w:r>
      </w:hyperlink>
      <w:r>
        <w:t>, f. 2.</w:t>
      </w:r>
    </w:p>
    <w:p w:rsidR="00815992" w:rsidRDefault="00815992" w:rsidP="00815992">
      <w:pPr>
        <w:pStyle w:val="SangriaFrancesaArticulo"/>
      </w:pPr>
    </w:p>
    <w:p w:rsidR="00815992" w:rsidRDefault="00815992" w:rsidP="00815992">
      <w:pPr>
        <w:pStyle w:val="TextoNormalNegritaCursivandice"/>
      </w:pPr>
      <w:r>
        <w:t>Ley Orgánica 1/1982, de 5 de mayo. Derecho al honor, a la intimidad personal y familiar y a la propia imagen</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20" w:history="1">
        <w:r w:rsidRPr="00815992">
          <w:rPr>
            <w:rStyle w:val="TextoNormalCaracter"/>
          </w:rPr>
          <w:t>20/1992</w:t>
        </w:r>
      </w:hyperlink>
      <w:r>
        <w:t xml:space="preserve">, ff. 1, 4; </w:t>
      </w:r>
      <w:hyperlink w:anchor="SENTENCIA_1992_40" w:history="1">
        <w:r w:rsidRPr="00815992">
          <w:rPr>
            <w:rStyle w:val="TextoNormalCaracter"/>
          </w:rPr>
          <w:t>40/1992</w:t>
        </w:r>
      </w:hyperlink>
      <w:r>
        <w:t>, ff. 1, 3.</w:t>
      </w:r>
    </w:p>
    <w:p w:rsidR="00815992" w:rsidRDefault="00815992" w:rsidP="00815992">
      <w:pPr>
        <w:pStyle w:val="SangriaFrancesaArticulo"/>
      </w:pPr>
      <w:r w:rsidRPr="00815992">
        <w:rPr>
          <w:rStyle w:val="TextoNormalNegritaCaracter"/>
        </w:rPr>
        <w:t>Artículo 7.3.</w:t>
      </w:r>
      <w:r w:rsidRPr="00815992">
        <w:rPr>
          <w:rStyle w:val="TextoNormalCaracter"/>
        </w:rPr>
        <w:t>-</w:t>
      </w:r>
      <w:r>
        <w:t xml:space="preserve"> Sentencia </w:t>
      </w:r>
      <w:hyperlink w:anchor="SENTENCIA_1992_20" w:history="1">
        <w:r w:rsidRPr="00815992">
          <w:rPr>
            <w:rStyle w:val="TextoNormalCaracter"/>
          </w:rPr>
          <w:t>20/1992</w:t>
        </w:r>
      </w:hyperlink>
      <w:r>
        <w:t>, ff. 2, 3.</w:t>
      </w:r>
    </w:p>
    <w:p w:rsidR="00815992" w:rsidRDefault="00815992" w:rsidP="00815992">
      <w:pPr>
        <w:pStyle w:val="SangriaFrancesaArticulo"/>
      </w:pPr>
    </w:p>
    <w:p w:rsidR="00815992" w:rsidRDefault="00815992" w:rsidP="00815992">
      <w:pPr>
        <w:pStyle w:val="TextoNormalNegritaCursivandice"/>
      </w:pPr>
      <w:r>
        <w:t>Ley Orgánica 11/1983, de 25 de agosto. Reforma universitaria</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42" w:history="1">
        <w:r w:rsidRPr="00815992">
          <w:rPr>
            <w:rStyle w:val="TextoNormalCaracter"/>
          </w:rPr>
          <w:t>42/1992</w:t>
        </w:r>
      </w:hyperlink>
      <w:r>
        <w:t>.</w:t>
      </w:r>
    </w:p>
    <w:p w:rsidR="00815992" w:rsidRDefault="00815992" w:rsidP="00815992">
      <w:pPr>
        <w:pStyle w:val="SangriaFrancesaArticulo"/>
      </w:pPr>
      <w:r w:rsidRPr="00815992">
        <w:rPr>
          <w:rStyle w:val="TextoNormalNegritaCaracter"/>
        </w:rPr>
        <w:t>Artículo 27.</w:t>
      </w:r>
      <w:r w:rsidRPr="00815992">
        <w:rPr>
          <w:rStyle w:val="TextoNormalCaracter"/>
        </w:rPr>
        <w:t>-</w:t>
      </w:r>
      <w:r>
        <w:t xml:space="preserve"> Sentencia </w:t>
      </w:r>
      <w:hyperlink w:anchor="SENTENCIA_1992_62" w:history="1">
        <w:r w:rsidRPr="00815992">
          <w:rPr>
            <w:rStyle w:val="TextoNormalCaracter"/>
          </w:rPr>
          <w:t>62/1992</w:t>
        </w:r>
      </w:hyperlink>
      <w:r>
        <w:t>, f. 3.</w:t>
      </w:r>
    </w:p>
    <w:p w:rsidR="00815992" w:rsidRDefault="00815992" w:rsidP="00815992">
      <w:pPr>
        <w:pStyle w:val="SangriaFrancesaArticulo"/>
      </w:pPr>
      <w:r w:rsidRPr="00815992">
        <w:rPr>
          <w:rStyle w:val="TextoNormalNegritaCaracter"/>
        </w:rPr>
        <w:t>Artículo 33.</w:t>
      </w:r>
      <w:r w:rsidRPr="00815992">
        <w:rPr>
          <w:rStyle w:val="TextoNormalCaracter"/>
        </w:rPr>
        <w:t>-</w:t>
      </w:r>
      <w:r>
        <w:t xml:space="preserve"> Sentencia </w:t>
      </w:r>
      <w:hyperlink w:anchor="SENTENCIA_1992_48" w:history="1">
        <w:r w:rsidRPr="00815992">
          <w:rPr>
            <w:rStyle w:val="TextoNormalCaracter"/>
          </w:rPr>
          <w:t>48/1992</w:t>
        </w:r>
      </w:hyperlink>
      <w:r>
        <w:t>, f. 3.</w:t>
      </w:r>
    </w:p>
    <w:p w:rsidR="00815992" w:rsidRDefault="00815992" w:rsidP="00815992">
      <w:pPr>
        <w:pStyle w:val="SangriaFrancesaArticulo"/>
      </w:pPr>
      <w:r w:rsidRPr="00815992">
        <w:rPr>
          <w:rStyle w:val="TextoNormalNegritaCaracter"/>
        </w:rPr>
        <w:t>Artículo 33.2.</w:t>
      </w:r>
      <w:r w:rsidRPr="00815992">
        <w:rPr>
          <w:rStyle w:val="TextoNormalCaracter"/>
        </w:rPr>
        <w:t>-</w:t>
      </w:r>
      <w:r>
        <w:t xml:space="preserve"> Auto </w:t>
      </w:r>
      <w:hyperlink w:anchor="AUTO_1992_42" w:history="1">
        <w:r w:rsidRPr="00815992">
          <w:rPr>
            <w:rStyle w:val="TextoNormalCaracter"/>
          </w:rPr>
          <w:t>42/1992</w:t>
        </w:r>
      </w:hyperlink>
      <w:r>
        <w:t>.</w:t>
      </w:r>
    </w:p>
    <w:p w:rsidR="00815992" w:rsidRDefault="00815992" w:rsidP="00815992">
      <w:pPr>
        <w:pStyle w:val="SangriaFrancesaArticulo"/>
      </w:pPr>
      <w:r w:rsidRPr="00815992">
        <w:rPr>
          <w:rStyle w:val="TextoNormalNegritaCaracter"/>
        </w:rPr>
        <w:t>Artículo 46.1.</w:t>
      </w:r>
      <w:r w:rsidRPr="00815992">
        <w:rPr>
          <w:rStyle w:val="TextoNormalCaracter"/>
        </w:rPr>
        <w:t>-</w:t>
      </w:r>
      <w:r>
        <w:t xml:space="preserve"> Sentencia </w:t>
      </w:r>
      <w:hyperlink w:anchor="SENTENCIA_1992_48" w:history="1">
        <w:r w:rsidRPr="00815992">
          <w:rPr>
            <w:rStyle w:val="TextoNormalCaracter"/>
          </w:rPr>
          <w:t>48/1992</w:t>
        </w:r>
      </w:hyperlink>
      <w:r>
        <w:t>, f. 3.</w:t>
      </w:r>
    </w:p>
    <w:p w:rsidR="00815992" w:rsidRDefault="00815992" w:rsidP="00815992">
      <w:pPr>
        <w:pStyle w:val="SangriaFrancesaArticulo"/>
      </w:pPr>
    </w:p>
    <w:p w:rsidR="00815992" w:rsidRDefault="00815992" w:rsidP="00815992">
      <w:pPr>
        <w:pStyle w:val="TextoNormalNegritaCursivandice"/>
      </w:pPr>
      <w:r>
        <w:t>Ley Orgánica 2/1984, de 26 de marzo. Regulación del ejercicio del derecho de rectificación</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70" w:history="1">
        <w:r w:rsidRPr="00815992">
          <w:rPr>
            <w:rStyle w:val="TextoNormalCaracter"/>
          </w:rPr>
          <w:t>70/1992</w:t>
        </w:r>
      </w:hyperlink>
      <w:r>
        <w:t>.</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Auto </w:t>
      </w:r>
      <w:hyperlink w:anchor="AUTO_1992_70" w:history="1">
        <w:r w:rsidRPr="00815992">
          <w:rPr>
            <w:rStyle w:val="TextoNormalCaracter"/>
          </w:rPr>
          <w:t>70/1992</w:t>
        </w:r>
      </w:hyperlink>
      <w:r>
        <w:t>.</w:t>
      </w:r>
    </w:p>
    <w:p w:rsidR="00815992" w:rsidRDefault="00815992" w:rsidP="00815992">
      <w:pPr>
        <w:pStyle w:val="SangriaFrancesaArticulo"/>
      </w:pPr>
    </w:p>
    <w:p w:rsidR="00815992" w:rsidRDefault="00815992" w:rsidP="00815992">
      <w:pPr>
        <w:pStyle w:val="TextoNormalNegritaCursivandice"/>
      </w:pPr>
      <w:r>
        <w:t>Ley Orgánica 5/1985, de 19 de junio. Régimen electoral general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3.1 a).</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6.2.</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6.4.</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SangriaFrancesaArticulo"/>
      </w:pPr>
      <w:r w:rsidRPr="00815992">
        <w:rPr>
          <w:rStyle w:val="TextoNormalNegritaCaracter"/>
        </w:rPr>
        <w:t>Artículo 160.</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163.</w:t>
      </w:r>
      <w:r w:rsidRPr="00815992">
        <w:rPr>
          <w:rStyle w:val="TextoNormalCaracter"/>
        </w:rPr>
        <w:t>-</w:t>
      </w:r>
      <w:r>
        <w:t xml:space="preserve"> Sentencia </w:t>
      </w:r>
      <w:hyperlink w:anchor="SENTENCIA_1992_4" w:history="1">
        <w:r w:rsidRPr="00815992">
          <w:rPr>
            <w:rStyle w:val="TextoNormalCaracter"/>
          </w:rPr>
          <w:t>4/1992</w:t>
        </w:r>
      </w:hyperlink>
      <w:r>
        <w:t>, f. 3.</w:t>
      </w:r>
    </w:p>
    <w:p w:rsidR="00815992" w:rsidRDefault="00815992" w:rsidP="00815992">
      <w:pPr>
        <w:pStyle w:val="SangriaFrancesaArticulo"/>
      </w:pPr>
      <w:r w:rsidRPr="00815992">
        <w:rPr>
          <w:rStyle w:val="TextoNormalNegritaCaracter"/>
        </w:rPr>
        <w:t>Artículo 163.1.</w:t>
      </w:r>
      <w:r w:rsidRPr="00815992">
        <w:rPr>
          <w:rStyle w:val="TextoNormalCaracter"/>
        </w:rPr>
        <w:t>-</w:t>
      </w:r>
      <w:r>
        <w:t xml:space="preserve"> Sentencia </w:t>
      </w:r>
      <w:hyperlink w:anchor="SENTENCIA_1992_4" w:history="1">
        <w:r w:rsidRPr="00815992">
          <w:rPr>
            <w:rStyle w:val="TextoNormalCaracter"/>
          </w:rPr>
          <w:t>4/1992</w:t>
        </w:r>
      </w:hyperlink>
      <w:r>
        <w:t>, f. 1.</w:t>
      </w:r>
    </w:p>
    <w:p w:rsidR="00815992" w:rsidRDefault="00815992" w:rsidP="00815992">
      <w:pPr>
        <w:pStyle w:val="SangriaFrancesaArticulo"/>
      </w:pPr>
    </w:p>
    <w:p w:rsidR="00815992" w:rsidRDefault="00815992" w:rsidP="00815992">
      <w:pPr>
        <w:pStyle w:val="TextoNormalNegritaCursivandice"/>
      </w:pPr>
      <w:r>
        <w:t>Ley Orgánica 6/1985, de 1 de julio. Poder judicial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8" w:history="1">
        <w:r w:rsidRPr="00815992">
          <w:rPr>
            <w:rStyle w:val="TextoNormalCaracter"/>
          </w:rPr>
          <w:t>58/1992</w:t>
        </w:r>
      </w:hyperlink>
      <w:r>
        <w:t>, f. 3.</w:t>
      </w:r>
    </w:p>
    <w:p w:rsidR="00815992" w:rsidRDefault="00815992" w:rsidP="00815992">
      <w:pPr>
        <w:pStyle w:val="SangriaIzquierdaArticulo"/>
      </w:pPr>
      <w:r>
        <w:t xml:space="preserve">Auto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Sentencia </w:t>
      </w:r>
      <w:hyperlink w:anchor="SENTENCIA_1992_16" w:history="1">
        <w:r w:rsidRPr="00815992">
          <w:rPr>
            <w:rStyle w:val="TextoNormalCaracter"/>
          </w:rPr>
          <w:t>16/1992</w:t>
        </w:r>
      </w:hyperlink>
      <w:r>
        <w:t>, f. 3.</w:t>
      </w:r>
    </w:p>
    <w:p w:rsidR="00815992" w:rsidRDefault="00815992" w:rsidP="00815992">
      <w:pPr>
        <w:pStyle w:val="SangriaFrancesaArticulo"/>
      </w:pPr>
      <w:r w:rsidRPr="00815992">
        <w:rPr>
          <w:rStyle w:val="TextoNormalNegritaCaracter"/>
        </w:rPr>
        <w:t>Artículo 5.3.</w:t>
      </w:r>
      <w:r w:rsidRPr="00815992">
        <w:rPr>
          <w:rStyle w:val="TextoNormalCaracter"/>
        </w:rPr>
        <w:t>-</w:t>
      </w:r>
      <w:r>
        <w:t xml:space="preserve"> Sentencia </w:t>
      </w:r>
      <w:hyperlink w:anchor="SENTENCIA_1992_5" w:history="1">
        <w:r w:rsidRPr="00815992">
          <w:rPr>
            <w:rStyle w:val="TextoNormalCaracter"/>
          </w:rPr>
          <w:t>5/1992</w:t>
        </w:r>
      </w:hyperlink>
      <w:r>
        <w:t>, f. 2.</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Sentencia </w:t>
      </w:r>
      <w:hyperlink w:anchor="SENTENCIA_1992_16" w:history="1">
        <w:r w:rsidRPr="00815992">
          <w:rPr>
            <w:rStyle w:val="TextoNormalCaracter"/>
          </w:rPr>
          <w:t>16/1992</w:t>
        </w:r>
      </w:hyperlink>
      <w:r>
        <w:t>, f. 3.</w:t>
      </w:r>
    </w:p>
    <w:p w:rsidR="00815992" w:rsidRDefault="00815992" w:rsidP="00815992">
      <w:pPr>
        <w:pStyle w:val="SangriaFrancesaArticulo"/>
      </w:pPr>
      <w:r w:rsidRPr="00815992">
        <w:rPr>
          <w:rStyle w:val="TextoNormalNegritaCaracter"/>
        </w:rPr>
        <w:t>Artículo 11.3.</w:t>
      </w:r>
      <w:r w:rsidRPr="00815992">
        <w:rPr>
          <w:rStyle w:val="TextoNormalCaracter"/>
        </w:rPr>
        <w:t>-</w:t>
      </w:r>
      <w:r>
        <w:t xml:space="preserve"> Sentencia </w:t>
      </w:r>
      <w:hyperlink w:anchor="SENTENCIA_1992_16" w:history="1">
        <w:r w:rsidRPr="00815992">
          <w:rPr>
            <w:rStyle w:val="TextoNormalCaracter"/>
          </w:rPr>
          <w:t>16/1992</w:t>
        </w:r>
      </w:hyperlink>
      <w:r>
        <w:t>, f. 3.</w:t>
      </w:r>
    </w:p>
    <w:p w:rsidR="00815992" w:rsidRDefault="00815992" w:rsidP="00815992">
      <w:pPr>
        <w:pStyle w:val="SangriaFrancesaArticulo"/>
      </w:pPr>
      <w:r w:rsidRPr="00815992">
        <w:rPr>
          <w:rStyle w:val="TextoNormalNegritaCaracter"/>
        </w:rPr>
        <w:t>Artículo 75.</w:t>
      </w:r>
      <w:r w:rsidRPr="00815992">
        <w:rPr>
          <w:rStyle w:val="TextoNormalCaracter"/>
        </w:rPr>
        <w:t>-</w:t>
      </w:r>
      <w:r>
        <w:t xml:space="preserve"> Sentencia </w:t>
      </w:r>
      <w:hyperlink w:anchor="SENTENCIA_1992_58" w:history="1">
        <w:r w:rsidRPr="00815992">
          <w:rPr>
            <w:rStyle w:val="TextoNormalCaracter"/>
          </w:rPr>
          <w:t>58/1992</w:t>
        </w:r>
      </w:hyperlink>
      <w:r>
        <w:t>, f. 4.</w:t>
      </w:r>
    </w:p>
    <w:p w:rsidR="00815992" w:rsidRDefault="00815992" w:rsidP="00815992">
      <w:pPr>
        <w:pStyle w:val="SangriaFrancesaArticulo"/>
      </w:pPr>
      <w:r w:rsidRPr="00815992">
        <w:rPr>
          <w:rStyle w:val="TextoNormalNegritaCaracter"/>
        </w:rPr>
        <w:t>Artículo 87.2.</w:t>
      </w:r>
      <w:r w:rsidRPr="00815992">
        <w:rPr>
          <w:rStyle w:val="TextoNormalCaracter"/>
        </w:rPr>
        <w:t>-</w:t>
      </w:r>
      <w:r>
        <w:t xml:space="preserve"> Auto </w:t>
      </w:r>
      <w:hyperlink w:anchor="AUTO_1992_58" w:history="1">
        <w:r w:rsidRPr="00815992">
          <w:rPr>
            <w:rStyle w:val="TextoNormalCaracter"/>
          </w:rPr>
          <w:t>58/1992</w:t>
        </w:r>
      </w:hyperlink>
      <w:r>
        <w:t>.</w:t>
      </w:r>
    </w:p>
    <w:p w:rsidR="00815992" w:rsidRDefault="00815992" w:rsidP="00815992">
      <w:pPr>
        <w:pStyle w:val="SangriaFrancesaArticulo"/>
      </w:pPr>
      <w:r w:rsidRPr="00815992">
        <w:rPr>
          <w:rStyle w:val="TextoNormalNegritaCaracter"/>
        </w:rPr>
        <w:t>Artículo 182.</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232.</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lastRenderedPageBreak/>
        <w:t>Artículo 238.</w:t>
      </w:r>
      <w:r w:rsidRPr="00815992">
        <w:rPr>
          <w:rStyle w:val="TextoNormalCaracter"/>
        </w:rPr>
        <w:t>-</w:t>
      </w:r>
      <w:r>
        <w:t xml:space="preserve"> Sentencia </w:t>
      </w:r>
      <w:hyperlink w:anchor="SENTENCIA_1992_16" w:history="1">
        <w:r w:rsidRPr="00815992">
          <w:rPr>
            <w:rStyle w:val="TextoNormalCaracter"/>
          </w:rPr>
          <w:t>16/1992</w:t>
        </w:r>
      </w:hyperlink>
      <w:r>
        <w:t>, f. 3.</w:t>
      </w:r>
    </w:p>
    <w:p w:rsidR="00815992" w:rsidRDefault="00815992" w:rsidP="00815992">
      <w:pPr>
        <w:pStyle w:val="SangriaFrancesaArticulo"/>
      </w:pPr>
      <w:r w:rsidRPr="00815992">
        <w:rPr>
          <w:rStyle w:val="TextoNormalNegritaCaracter"/>
        </w:rPr>
        <w:t>Artículo 240.2.</w:t>
      </w:r>
      <w:r w:rsidRPr="00815992">
        <w:rPr>
          <w:rStyle w:val="TextoNormalCaracter"/>
        </w:rPr>
        <w:t>-</w:t>
      </w:r>
      <w:r>
        <w:t xml:space="preserve"> Auto </w:t>
      </w:r>
      <w:hyperlink w:anchor="AUTO_1992_7" w:history="1">
        <w:r w:rsidRPr="00815992">
          <w:rPr>
            <w:rStyle w:val="TextoNormalCaracter"/>
          </w:rPr>
          <w:t>7/1992</w:t>
        </w:r>
      </w:hyperlink>
      <w:r>
        <w:t>.</w:t>
      </w:r>
    </w:p>
    <w:p w:rsidR="00815992" w:rsidRDefault="00815992" w:rsidP="00815992">
      <w:pPr>
        <w:pStyle w:val="SangriaFrancesaArticulo"/>
      </w:pPr>
      <w:r w:rsidRPr="00815992">
        <w:rPr>
          <w:rStyle w:val="TextoNormalNegritaCaracter"/>
        </w:rPr>
        <w:t>Artículo 267.</w:t>
      </w:r>
      <w:r w:rsidRPr="00815992">
        <w:rPr>
          <w:rStyle w:val="TextoNormalCaracter"/>
        </w:rPr>
        <w:t>-</w:t>
      </w:r>
      <w:r>
        <w:t xml:space="preserve"> Sentencias </w:t>
      </w:r>
      <w:hyperlink w:anchor="SENTENCIA_1992_27" w:history="1">
        <w:r w:rsidRPr="00815992">
          <w:rPr>
            <w:rStyle w:val="TextoNormalCaracter"/>
          </w:rPr>
          <w:t>27/1992</w:t>
        </w:r>
      </w:hyperlink>
      <w:r>
        <w:t xml:space="preserve">, f. 2; </w:t>
      </w:r>
      <w:hyperlink w:anchor="SENTENCIA_1992_50" w:history="1">
        <w:r w:rsidRPr="00815992">
          <w:rPr>
            <w:rStyle w:val="TextoNormalCaracter"/>
          </w:rPr>
          <w:t>50/1992</w:t>
        </w:r>
      </w:hyperlink>
      <w:r>
        <w:t>, f. 1.</w:t>
      </w:r>
    </w:p>
    <w:p w:rsidR="00815992" w:rsidRDefault="00815992" w:rsidP="00815992">
      <w:pPr>
        <w:pStyle w:val="SangriaIzquierdaArticulo"/>
      </w:pPr>
      <w:r>
        <w:t xml:space="preserve">Auto </w:t>
      </w:r>
      <w:hyperlink w:anchor="AUTO_1992_7" w:history="1">
        <w:r w:rsidRPr="00815992">
          <w:rPr>
            <w:rStyle w:val="TextoNormalCaracter"/>
          </w:rPr>
          <w:t>7/1992</w:t>
        </w:r>
      </w:hyperlink>
      <w:r>
        <w:t>.</w:t>
      </w:r>
    </w:p>
    <w:p w:rsidR="00815992" w:rsidRDefault="00815992" w:rsidP="00815992">
      <w:pPr>
        <w:pStyle w:val="SangriaFrancesaArticulo"/>
      </w:pPr>
      <w:r w:rsidRPr="00815992">
        <w:rPr>
          <w:rStyle w:val="TextoNormalNegritaCaracter"/>
        </w:rPr>
        <w:t>Artículo 267.1.</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270.</w:t>
      </w:r>
      <w:r w:rsidRPr="00815992">
        <w:rPr>
          <w:rStyle w:val="TextoNormalCaracter"/>
        </w:rPr>
        <w:t>-</w:t>
      </w:r>
      <w:r>
        <w:t xml:space="preserve"> Sentencia </w:t>
      </w:r>
      <w:hyperlink w:anchor="SENTENCIA_1992_6" w:history="1">
        <w:r w:rsidRPr="00815992">
          <w:rPr>
            <w:rStyle w:val="TextoNormalCaracter"/>
          </w:rPr>
          <w:t>6/1992</w:t>
        </w:r>
      </w:hyperlink>
      <w:r>
        <w:t>, f. 3.</w:t>
      </w:r>
    </w:p>
    <w:p w:rsidR="00815992" w:rsidRDefault="00815992" w:rsidP="00815992">
      <w:pPr>
        <w:pStyle w:val="SangriaFrancesaArticulo"/>
      </w:pPr>
      <w:r w:rsidRPr="00815992">
        <w:rPr>
          <w:rStyle w:val="TextoNormalNegritaCaracter"/>
        </w:rPr>
        <w:t>Artículo 271.</w:t>
      </w:r>
      <w:r w:rsidRPr="00815992">
        <w:rPr>
          <w:rStyle w:val="TextoNormalCaracter"/>
        </w:rPr>
        <w:t>-</w:t>
      </w:r>
      <w:r>
        <w:t xml:space="preserve"> Sentencia </w:t>
      </w:r>
      <w:hyperlink w:anchor="SENTENCIA_1992_17" w:history="1">
        <w:r w:rsidRPr="00815992">
          <w:rPr>
            <w:rStyle w:val="TextoNormalCaracter"/>
          </w:rPr>
          <w:t>17/1992</w:t>
        </w:r>
      </w:hyperlink>
      <w:r>
        <w:t>, ff. 2, 4.</w:t>
      </w:r>
    </w:p>
    <w:p w:rsidR="00815992" w:rsidRDefault="00815992" w:rsidP="00815992">
      <w:pPr>
        <w:pStyle w:val="SangriaIzquierdaArticulo"/>
      </w:pPr>
      <w:r>
        <w:t xml:space="preserve">Auto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Artículo 436.</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Disposición adicional quinta.</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r w:rsidRPr="00815992">
        <w:rPr>
          <w:rStyle w:val="TextoNormalNegritaCaracter"/>
        </w:rPr>
        <w:t>Disposición adicional quinta, apartado 1.</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r w:rsidRPr="00815992">
        <w:rPr>
          <w:rStyle w:val="TextoNormalNegritaCaracter"/>
        </w:rPr>
        <w:t>Disposición adicional quinta, apartado 2.</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r w:rsidRPr="00815992">
        <w:rPr>
          <w:rStyle w:val="TextoNormalNegritaCaracter"/>
        </w:rPr>
        <w:t>Disposición adicional quinta, apartado 3.</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r w:rsidRPr="00815992">
        <w:rPr>
          <w:rStyle w:val="TextoNormalNegritaCaracter"/>
        </w:rPr>
        <w:t>Disposición adicional quinta, apartado 4.</w:t>
      </w:r>
      <w:r w:rsidRPr="00815992">
        <w:rPr>
          <w:rStyle w:val="TextoNormalCaracter"/>
        </w:rPr>
        <w:t>-</w:t>
      </w:r>
      <w:r>
        <w:t xml:space="preserve"> Sentencia </w:t>
      </w:r>
      <w:hyperlink w:anchor="SENTENCIA_1992_54" w:history="1">
        <w:r w:rsidRPr="00815992">
          <w:rPr>
            <w:rStyle w:val="TextoNormalCaracter"/>
          </w:rPr>
          <w:t>54/1992</w:t>
        </w:r>
      </w:hyperlink>
      <w:r>
        <w:t>, f. 3.</w:t>
      </w:r>
    </w:p>
    <w:p w:rsidR="00815992" w:rsidRDefault="00815992" w:rsidP="00815992">
      <w:pPr>
        <w:pStyle w:val="SangriaFrancesaArticulo"/>
      </w:pPr>
      <w:r w:rsidRPr="00815992">
        <w:rPr>
          <w:rStyle w:val="TextoNormalNegritaCaracter"/>
        </w:rPr>
        <w:t>Disposición adicional quinta, apartado 5.</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p>
    <w:p w:rsidR="00815992" w:rsidRDefault="00815992" w:rsidP="00815992">
      <w:pPr>
        <w:pStyle w:val="TextoNormalNegritaCursivandice"/>
      </w:pPr>
      <w:r>
        <w:t>Ley Orgánica 7/1985, de 1 de julio. Derechos y libertades de los extranjeros en España</w:t>
      </w:r>
    </w:p>
    <w:p w:rsidR="00815992" w:rsidRDefault="00815992" w:rsidP="00815992">
      <w:pPr>
        <w:pStyle w:val="SangriaFrancesaArticulo"/>
      </w:pPr>
      <w:r w:rsidRPr="00815992">
        <w:rPr>
          <w:rStyle w:val="TextoNormalNegritaCaracter"/>
        </w:rPr>
        <w:t>Artículo 18.3.</w:t>
      </w:r>
      <w:r w:rsidRPr="00815992">
        <w:rPr>
          <w:rStyle w:val="TextoNormalCaracter"/>
        </w:rPr>
        <w:t>-</w:t>
      </w:r>
      <w:r>
        <w:t xml:space="preserve"> Auto </w:t>
      </w:r>
      <w:hyperlink w:anchor="AUTO_1992_23" w:history="1">
        <w:r w:rsidRPr="00815992">
          <w:rPr>
            <w:rStyle w:val="TextoNormalCaracter"/>
          </w:rPr>
          <w:t>23/1992</w:t>
        </w:r>
      </w:hyperlink>
      <w:r>
        <w:t>.</w:t>
      </w:r>
    </w:p>
    <w:p w:rsidR="00815992" w:rsidRDefault="00815992" w:rsidP="00815992">
      <w:pPr>
        <w:pStyle w:val="SangriaFrancesaArticulo"/>
      </w:pPr>
      <w:r w:rsidRPr="00815992">
        <w:rPr>
          <w:rStyle w:val="TextoNormalNegritaCaracter"/>
        </w:rPr>
        <w:t>Artículo 19.3.</w:t>
      </w:r>
      <w:r w:rsidRPr="00815992">
        <w:rPr>
          <w:rStyle w:val="TextoNormalCaracter"/>
        </w:rPr>
        <w:t>-</w:t>
      </w:r>
      <w:r>
        <w:t xml:space="preserve"> Auto </w:t>
      </w:r>
      <w:hyperlink w:anchor="AUTO_1992_23" w:history="1">
        <w:r w:rsidRPr="00815992">
          <w:rPr>
            <w:rStyle w:val="TextoNormalCaracter"/>
          </w:rPr>
          <w:t>23/1992</w:t>
        </w:r>
      </w:hyperlink>
      <w:r>
        <w:t>.</w:t>
      </w:r>
    </w:p>
    <w:p w:rsidR="00815992" w:rsidRDefault="00815992" w:rsidP="00815992">
      <w:pPr>
        <w:pStyle w:val="SangriaFrancesaArticulo"/>
      </w:pPr>
      <w:r w:rsidRPr="00815992">
        <w:rPr>
          <w:rStyle w:val="TextoNormalNegritaCaracter"/>
        </w:rPr>
        <w:t>Artículo 26.1 d).</w:t>
      </w:r>
      <w:r w:rsidRPr="00815992">
        <w:rPr>
          <w:rStyle w:val="TextoNormalCaracter"/>
        </w:rPr>
        <w:t>-</w:t>
      </w:r>
      <w:r>
        <w:t xml:space="preserve"> Auto </w:t>
      </w:r>
      <w:hyperlink w:anchor="AUTO_1992_2" w:history="1">
        <w:r w:rsidRPr="00815992">
          <w:rPr>
            <w:rStyle w:val="TextoNormalCaracter"/>
          </w:rPr>
          <w:t>2/1992</w:t>
        </w:r>
      </w:hyperlink>
      <w:r>
        <w:t>.</w:t>
      </w:r>
    </w:p>
    <w:p w:rsidR="00815992" w:rsidRDefault="00815992" w:rsidP="00815992">
      <w:pPr>
        <w:pStyle w:val="SangriaFrancesaArticulo"/>
      </w:pPr>
    </w:p>
    <w:p w:rsidR="00815992" w:rsidRDefault="00815992" w:rsidP="00815992">
      <w:pPr>
        <w:pStyle w:val="TextoNormalNegritaCursivandice"/>
      </w:pPr>
      <w:r>
        <w:t>Ley Orgánica 8/1985, de 3 de julio. Reguladora del derecho a la educación</w:t>
      </w:r>
    </w:p>
    <w:p w:rsidR="00815992" w:rsidRDefault="00815992" w:rsidP="00815992">
      <w:pPr>
        <w:pStyle w:val="SangriaFrancesaArticulo"/>
      </w:pPr>
      <w:r w:rsidRPr="00815992">
        <w:rPr>
          <w:rStyle w:val="TextoNormalNegritaCaracter"/>
        </w:rPr>
        <w:t>Disposición adicional primera.</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Ley Orgánica 11/1985, de 2 de agosto. Libertad sindical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2" w:history="1">
        <w:r w:rsidRPr="00815992">
          <w:rPr>
            <w:rStyle w:val="TextoNormalCaracter"/>
          </w:rPr>
          <w:t>52/1992</w:t>
        </w:r>
      </w:hyperlink>
      <w:r>
        <w:t>, f. 4.</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30" w:history="1">
        <w:r w:rsidRPr="00815992">
          <w:rPr>
            <w:rStyle w:val="TextoNormalCaracter"/>
          </w:rPr>
          <w:t>30/1992</w:t>
        </w:r>
      </w:hyperlink>
      <w:r>
        <w:t>, f. 6.</w:t>
      </w:r>
    </w:p>
    <w:p w:rsidR="00815992" w:rsidRDefault="00815992" w:rsidP="00815992">
      <w:pPr>
        <w:pStyle w:val="SangriaFrancesaArticulo"/>
      </w:pPr>
      <w:r w:rsidRPr="00815992">
        <w:rPr>
          <w:rStyle w:val="TextoNormalNegritaCaracter"/>
        </w:rPr>
        <w:t>Artículo 10.3.</w:t>
      </w:r>
      <w:r w:rsidRPr="00815992">
        <w:rPr>
          <w:rStyle w:val="TextoNormalCaracter"/>
        </w:rPr>
        <w:t>-</w:t>
      </w:r>
      <w:r>
        <w:t xml:space="preserve"> Sentencia </w:t>
      </w:r>
      <w:hyperlink w:anchor="SENTENCIA_1992_30" w:history="1">
        <w:r w:rsidRPr="00815992">
          <w:rPr>
            <w:rStyle w:val="TextoNormalCaracter"/>
          </w:rPr>
          <w:t>30/1992</w:t>
        </w:r>
      </w:hyperlink>
      <w:r>
        <w:t>, f. 4.</w:t>
      </w:r>
    </w:p>
    <w:p w:rsidR="00815992" w:rsidRDefault="00815992" w:rsidP="00815992">
      <w:pPr>
        <w:pStyle w:val="SangriaFrancesaArticulo"/>
      </w:pPr>
      <w:r w:rsidRPr="00815992">
        <w:rPr>
          <w:rStyle w:val="TextoNormalNegritaCaracter"/>
        </w:rPr>
        <w:t>Artículo 10.3.3.</w:t>
      </w:r>
      <w:r w:rsidRPr="00815992">
        <w:rPr>
          <w:rStyle w:val="TextoNormalCaracter"/>
        </w:rPr>
        <w:t>-</w:t>
      </w:r>
      <w:r>
        <w:t xml:space="preserve"> Sentencia </w:t>
      </w:r>
      <w:hyperlink w:anchor="SENTENCIA_1992_30" w:history="1">
        <w:r w:rsidRPr="00815992">
          <w:rPr>
            <w:rStyle w:val="TextoNormalCaracter"/>
          </w:rPr>
          <w:t>30/1992</w:t>
        </w:r>
      </w:hyperlink>
      <w:r>
        <w:t>, ff. 1, 2, 4, 6.</w:t>
      </w:r>
    </w:p>
    <w:p w:rsidR="00815992" w:rsidRDefault="00815992" w:rsidP="00815992">
      <w:pPr>
        <w:pStyle w:val="SangriaFrancesaArticulo"/>
      </w:pPr>
      <w:r w:rsidRPr="00815992">
        <w:rPr>
          <w:rStyle w:val="TextoNormalNegritaCaracter"/>
        </w:rPr>
        <w:t>Artículo 13.</w:t>
      </w:r>
      <w:r w:rsidRPr="00815992">
        <w:rPr>
          <w:rStyle w:val="TextoNormalCaracter"/>
        </w:rPr>
        <w:t>-</w:t>
      </w:r>
      <w:r>
        <w:t xml:space="preserve"> Sentencias </w:t>
      </w:r>
      <w:hyperlink w:anchor="SENTENCIA_1992_18" w:history="1">
        <w:r w:rsidRPr="00815992">
          <w:rPr>
            <w:rStyle w:val="TextoNormalCaracter"/>
          </w:rPr>
          <w:t>18/1992</w:t>
        </w:r>
      </w:hyperlink>
      <w:r>
        <w:t xml:space="preserve">, f. 2; </w:t>
      </w:r>
      <w:hyperlink w:anchor="SENTENCIA_1992_30" w:history="1">
        <w:r w:rsidRPr="00815992">
          <w:rPr>
            <w:rStyle w:val="TextoNormalCaracter"/>
          </w:rPr>
          <w:t>30/1992</w:t>
        </w:r>
      </w:hyperlink>
      <w:r>
        <w:t>, f. 6.</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 </w:t>
      </w:r>
      <w:hyperlink w:anchor="SENTENCIA_1992_30" w:history="1">
        <w:r w:rsidRPr="00815992">
          <w:rPr>
            <w:rStyle w:val="TextoNormalCaracter"/>
          </w:rPr>
          <w:t>30/1992</w:t>
        </w:r>
      </w:hyperlink>
      <w:r>
        <w:t>, f. 6.</w:t>
      </w:r>
    </w:p>
    <w:p w:rsidR="00815992" w:rsidRDefault="00815992" w:rsidP="00815992">
      <w:pPr>
        <w:pStyle w:val="SangriaFrancesaArticulo"/>
      </w:pPr>
      <w:r w:rsidRPr="00815992">
        <w:rPr>
          <w:rStyle w:val="TextoNormalNegritaCaracter"/>
        </w:rPr>
        <w:t>Disposición adicional primera.</w:t>
      </w:r>
      <w:r w:rsidRPr="00815992">
        <w:rPr>
          <w:rStyle w:val="TextoNormalCaracter"/>
        </w:rPr>
        <w:t>-</w:t>
      </w:r>
      <w:r>
        <w:t xml:space="preserve"> Sentencia </w:t>
      </w:r>
      <w:hyperlink w:anchor="SENTENCIA_1992_52" w:history="1">
        <w:r w:rsidRPr="00815992">
          <w:rPr>
            <w:rStyle w:val="TextoNormalCaracter"/>
          </w:rPr>
          <w:t>52/1992</w:t>
        </w:r>
      </w:hyperlink>
      <w:r>
        <w:t>, f. 4.</w:t>
      </w:r>
    </w:p>
    <w:p w:rsidR="00815992" w:rsidRDefault="00815992" w:rsidP="00815992">
      <w:pPr>
        <w:pStyle w:val="SangriaFrancesaArticulo"/>
      </w:pPr>
    </w:p>
    <w:p w:rsidR="00815992" w:rsidRDefault="00815992" w:rsidP="00815992">
      <w:pPr>
        <w:pStyle w:val="TextoNormalNegritaCursivandice"/>
      </w:pPr>
      <w:r>
        <w:t>Ley Orgánica 7/1988, de 28 de diciembre. Creación de los Juzgados de lo penal y modificación de diversos preceptos de las Leyes Orgánica del Poder judicial y de enjuiciamiento criminal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Autos </w:t>
      </w:r>
      <w:hyperlink w:anchor="AUTO_1992_50" w:history="1">
        <w:r w:rsidRPr="00815992">
          <w:rPr>
            <w:rStyle w:val="TextoNormalCaracter"/>
          </w:rPr>
          <w:t>50/1992</w:t>
        </w:r>
      </w:hyperlink>
      <w:r>
        <w:t xml:space="preserve">; </w:t>
      </w:r>
      <w:hyperlink w:anchor="AUTO_1992_72" w:history="1">
        <w:r w:rsidRPr="00815992">
          <w:rPr>
            <w:rStyle w:val="TextoNormalCaracter"/>
          </w:rPr>
          <w:t>72/1992</w:t>
        </w:r>
      </w:hyperlink>
      <w:r>
        <w:t>.</w:t>
      </w:r>
    </w:p>
    <w:p w:rsidR="00815992" w:rsidRDefault="00815992" w:rsidP="00815992">
      <w:pPr>
        <w:pStyle w:val="TextoNormal"/>
      </w:pPr>
    </w:p>
    <w:p w:rsidR="00815992" w:rsidRDefault="00815992" w:rsidP="00815992">
      <w:pPr>
        <w:pStyle w:val="SangriaFrancesaArticulo"/>
      </w:pPr>
      <w:bookmarkStart w:id="194" w:name="INDICE22846"/>
    </w:p>
    <w:bookmarkEnd w:id="194"/>
    <w:p w:rsidR="00815992" w:rsidRDefault="00815992" w:rsidP="00815992">
      <w:pPr>
        <w:pStyle w:val="TextoIndiceNivel2"/>
        <w:suppressAutoHyphens/>
      </w:pPr>
      <w:r>
        <w:t>E) Leyes de las Cortes Generales</w:t>
      </w:r>
    </w:p>
    <w:p w:rsidR="00815992" w:rsidRDefault="00815992" w:rsidP="00815992">
      <w:pPr>
        <w:pStyle w:val="TextoIndiceNivel2"/>
      </w:pPr>
    </w:p>
    <w:p w:rsidR="00815992" w:rsidRDefault="00815992" w:rsidP="00815992">
      <w:pPr>
        <w:pStyle w:val="TextoNormalNegritaCursivandice"/>
      </w:pPr>
      <w:r>
        <w:t>Ley 8/1980, de 10 de marzo. Estatuto de los trabajadores</w:t>
      </w:r>
    </w:p>
    <w:p w:rsidR="00815992" w:rsidRDefault="00815992" w:rsidP="00815992">
      <w:pPr>
        <w:pStyle w:val="SangriaFrancesaArticulo"/>
      </w:pPr>
      <w:r w:rsidRPr="00815992">
        <w:rPr>
          <w:rStyle w:val="TextoNormalNegritaCaracter"/>
        </w:rPr>
        <w:t>Artículo 1.3 c).</w:t>
      </w:r>
      <w:r w:rsidRPr="00815992">
        <w:rPr>
          <w:rStyle w:val="TextoNormalCaracter"/>
        </w:rPr>
        <w:t>-</w:t>
      </w:r>
      <w:r>
        <w:t xml:space="preserve"> Sentencias </w:t>
      </w:r>
      <w:hyperlink w:anchor="SENTENCIA_1992_2" w:history="1">
        <w:r w:rsidRPr="00815992">
          <w:rPr>
            <w:rStyle w:val="TextoNormalCaracter"/>
          </w:rPr>
          <w:t>2/1992</w:t>
        </w:r>
      </w:hyperlink>
      <w:r>
        <w:t xml:space="preserve">, ff. 1 a 4; </w:t>
      </w:r>
      <w:hyperlink w:anchor="SENTENCIA_1992_59" w:history="1">
        <w:r w:rsidRPr="00815992">
          <w:rPr>
            <w:rStyle w:val="TextoNormalCaracter"/>
          </w:rPr>
          <w:t>59/1992</w:t>
        </w:r>
      </w:hyperlink>
      <w:r>
        <w:t>, f. 4.</w:t>
      </w:r>
    </w:p>
    <w:p w:rsidR="00815992" w:rsidRDefault="00815992" w:rsidP="00815992">
      <w:pPr>
        <w:pStyle w:val="SangriaFrancesaArticulo"/>
      </w:pPr>
      <w:r w:rsidRPr="00815992">
        <w:rPr>
          <w:rStyle w:val="TextoNormalNegritaCaracter"/>
        </w:rPr>
        <w:t>Artículo 17.1.</w:t>
      </w:r>
      <w:r w:rsidRPr="00815992">
        <w:rPr>
          <w:rStyle w:val="TextoNormalCaracter"/>
        </w:rPr>
        <w:t>-</w:t>
      </w:r>
      <w:r>
        <w:t xml:space="preserve"> Sentencia </w:t>
      </w:r>
      <w:hyperlink w:anchor="SENTENCIA_1992_28" w:history="1">
        <w:r w:rsidRPr="00815992">
          <w:rPr>
            <w:rStyle w:val="TextoNormalCaracter"/>
          </w:rPr>
          <w:t>28/1992</w:t>
        </w:r>
      </w:hyperlink>
      <w:r>
        <w:t>, f. 3.</w:t>
      </w:r>
    </w:p>
    <w:p w:rsidR="00815992" w:rsidRDefault="00815992" w:rsidP="00815992">
      <w:pPr>
        <w:pStyle w:val="SangriaFrancesaArticulo"/>
      </w:pPr>
      <w:r w:rsidRPr="00815992">
        <w:rPr>
          <w:rStyle w:val="TextoNormalNegritaCaracter"/>
        </w:rPr>
        <w:t>Artículo 23.1.</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r w:rsidRPr="00815992">
        <w:rPr>
          <w:rStyle w:val="TextoNormalNegritaCaracter"/>
        </w:rPr>
        <w:lastRenderedPageBreak/>
        <w:t>Artículo 33.</w:t>
      </w:r>
      <w:r w:rsidRPr="00815992">
        <w:rPr>
          <w:rStyle w:val="TextoNormalCaracter"/>
        </w:rPr>
        <w:t>-</w:t>
      </w:r>
      <w:r>
        <w:t xml:space="preserve"> Sentencia </w:t>
      </w:r>
      <w:hyperlink w:anchor="SENTENCIA_1992_60" w:history="1">
        <w:r w:rsidRPr="00815992">
          <w:rPr>
            <w:rStyle w:val="TextoNormalCaracter"/>
          </w:rPr>
          <w:t>60/1992</w:t>
        </w:r>
      </w:hyperlink>
      <w:r>
        <w:t>, ff. 1, 2.</w:t>
      </w:r>
    </w:p>
    <w:p w:rsidR="00815992" w:rsidRDefault="00815992" w:rsidP="00815992">
      <w:pPr>
        <w:pStyle w:val="SangriaFrancesaArticulo"/>
      </w:pPr>
      <w:r w:rsidRPr="00815992">
        <w:rPr>
          <w:rStyle w:val="TextoNormalNegritaCaracter"/>
        </w:rPr>
        <w:t>Artículo 33.3.</w:t>
      </w:r>
      <w:r w:rsidRPr="00815992">
        <w:rPr>
          <w:rStyle w:val="TextoNormalCaracter"/>
        </w:rPr>
        <w:t>-</w:t>
      </w:r>
      <w:r>
        <w:t xml:space="preserve"> Auto </w:t>
      </w:r>
      <w:hyperlink w:anchor="AUTO_1992_86" w:history="1">
        <w:r w:rsidRPr="00815992">
          <w:rPr>
            <w:rStyle w:val="TextoNormalCaracter"/>
          </w:rPr>
          <w:t>86/1992</w:t>
        </w:r>
      </w:hyperlink>
      <w:r>
        <w:t>.</w:t>
      </w:r>
    </w:p>
    <w:p w:rsidR="00815992" w:rsidRDefault="00815992" w:rsidP="00815992">
      <w:pPr>
        <w:pStyle w:val="SangriaFrancesaArticulo"/>
      </w:pPr>
      <w:r w:rsidRPr="00815992">
        <w:rPr>
          <w:rStyle w:val="TextoNormalNegritaCaracter"/>
        </w:rPr>
        <w:t>Artículo 51.3.</w:t>
      </w:r>
      <w:r w:rsidRPr="00815992">
        <w:rPr>
          <w:rStyle w:val="TextoNormalCaracter"/>
        </w:rPr>
        <w:t>-</w:t>
      </w:r>
      <w:r>
        <w:t xml:space="preserve"> Auto </w:t>
      </w:r>
      <w:hyperlink w:anchor="AUTO_1992_25" w:history="1">
        <w:r w:rsidRPr="00815992">
          <w:rPr>
            <w:rStyle w:val="TextoNormalCaracter"/>
          </w:rPr>
          <w:t>25/1992</w:t>
        </w:r>
      </w:hyperlink>
      <w:r>
        <w:t>.</w:t>
      </w:r>
    </w:p>
    <w:p w:rsidR="00815992" w:rsidRDefault="00815992" w:rsidP="00815992">
      <w:pPr>
        <w:pStyle w:val="SangriaFrancesaArticulo"/>
      </w:pPr>
      <w:r w:rsidRPr="00815992">
        <w:rPr>
          <w:rStyle w:val="TextoNormalNegritaCaracter"/>
        </w:rPr>
        <w:t>Disposición adicional sexta.</w:t>
      </w:r>
      <w:r w:rsidRPr="00815992">
        <w:rPr>
          <w:rStyle w:val="TextoNormalCaracter"/>
        </w:rPr>
        <w:t>-</w:t>
      </w:r>
      <w:r>
        <w:t xml:space="preserve"> Sentencia </w:t>
      </w:r>
      <w:hyperlink w:anchor="SENTENCIA_1992_52" w:history="1">
        <w:r w:rsidRPr="00815992">
          <w:rPr>
            <w:rStyle w:val="TextoNormalCaracter"/>
          </w:rPr>
          <w:t>52/1992</w:t>
        </w:r>
      </w:hyperlink>
      <w:r>
        <w:t>, f. 4.</w:t>
      </w:r>
    </w:p>
    <w:p w:rsidR="00815992" w:rsidRDefault="00815992" w:rsidP="00815992">
      <w:pPr>
        <w:pStyle w:val="SangriaFrancesaArticulo"/>
      </w:pPr>
    </w:p>
    <w:p w:rsidR="00815992" w:rsidRDefault="00815992" w:rsidP="00815992">
      <w:pPr>
        <w:pStyle w:val="TextoNormalNegritaCursivandice"/>
      </w:pPr>
      <w:r>
        <w:t>Ley 13/1980, de 31 de marzo. General de la cultura física y deporte</w:t>
      </w:r>
    </w:p>
    <w:p w:rsidR="00815992" w:rsidRDefault="00815992" w:rsidP="00815992">
      <w:pPr>
        <w:pStyle w:val="SangriaFrancesaArticulo"/>
      </w:pPr>
      <w:r w:rsidRPr="00815992">
        <w:rPr>
          <w:rStyle w:val="TextoNormalNegritaCaracter"/>
        </w:rPr>
        <w:t>Artículo 14.3.</w:t>
      </w:r>
      <w:r w:rsidRPr="00815992">
        <w:rPr>
          <w:rStyle w:val="TextoNormalCaracter"/>
        </w:rPr>
        <w:t>-</w:t>
      </w:r>
      <w:r>
        <w:t xml:space="preserve"> Sentencia </w:t>
      </w:r>
      <w:hyperlink w:anchor="SENTENCIA_1992_18" w:history="1">
        <w:r w:rsidRPr="00815992">
          <w:rPr>
            <w:rStyle w:val="TextoNormalCaracter"/>
          </w:rPr>
          <w:t>18/1992</w:t>
        </w:r>
      </w:hyperlink>
      <w:r>
        <w:t>, f. 1.</w:t>
      </w:r>
    </w:p>
    <w:p w:rsidR="00815992" w:rsidRDefault="00815992" w:rsidP="00815992">
      <w:pPr>
        <w:pStyle w:val="SangriaFrancesaArticulo"/>
      </w:pPr>
    </w:p>
    <w:p w:rsidR="00815992" w:rsidRDefault="00815992" w:rsidP="00815992">
      <w:pPr>
        <w:pStyle w:val="TextoNormalNegritaCursivandice"/>
      </w:pPr>
      <w:r>
        <w:t>Ley 82/1980, de 30 de diciembre. Conservación de la energía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Ley 11/1981, de 13 de mayo. Modificación del Código civil en materia de filiación, patria potestad y régimen económico del matrimonio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Autos </w:t>
      </w:r>
      <w:hyperlink w:anchor="AUTO_1992_22" w:history="1">
        <w:r w:rsidRPr="00815992">
          <w:rPr>
            <w:rStyle w:val="TextoNormalCaracter"/>
          </w:rPr>
          <w:t>22/1992</w:t>
        </w:r>
      </w:hyperlink>
      <w:r>
        <w:t xml:space="preserve">; </w:t>
      </w:r>
      <w:hyperlink w:anchor="AUTO_1992_27" w:history="1">
        <w:r w:rsidRPr="00815992">
          <w:rPr>
            <w:rStyle w:val="TextoNormalCaracter"/>
          </w:rPr>
          <w:t>27/1992</w:t>
        </w:r>
      </w:hyperlink>
      <w:r>
        <w:t>.</w:t>
      </w:r>
    </w:p>
    <w:p w:rsidR="00815992" w:rsidRDefault="00815992" w:rsidP="00815992">
      <w:pPr>
        <w:pStyle w:val="SangriaFrancesaArticulo"/>
      </w:pPr>
    </w:p>
    <w:p w:rsidR="00815992" w:rsidRDefault="00815992" w:rsidP="00815992">
      <w:pPr>
        <w:pStyle w:val="TextoNormalNegritaCursivandice"/>
      </w:pPr>
      <w:r>
        <w:t>Ley 30/1981, de 7 de julio. Modificación de la regulación del matrimonio en el Código civil y determinación del procedimiento a seguir en las causas de nulidad, separación y divorcio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29" w:history="1">
        <w:r w:rsidRPr="00815992">
          <w:rPr>
            <w:rStyle w:val="TextoNormalCaracter"/>
          </w:rPr>
          <w:t>29/1992</w:t>
        </w:r>
      </w:hyperlink>
      <w:r>
        <w:t>, f. 5.</w:t>
      </w:r>
    </w:p>
    <w:p w:rsidR="00815992" w:rsidRDefault="00815992" w:rsidP="00815992">
      <w:pPr>
        <w:pStyle w:val="SangriaFrancesaArticulo"/>
      </w:pPr>
      <w:r w:rsidRPr="00815992">
        <w:rPr>
          <w:rStyle w:val="TextoNormalNegritaCaracter"/>
        </w:rPr>
        <w:t>Disposición adicional décima.</w:t>
      </w:r>
      <w:r w:rsidRPr="00815992">
        <w:rPr>
          <w:rStyle w:val="TextoNormalCaracter"/>
        </w:rPr>
        <w:t>-</w:t>
      </w:r>
      <w:r>
        <w:t xml:space="preserve"> Sentencia </w:t>
      </w:r>
      <w:hyperlink w:anchor="SENTENCIA_1992_29" w:history="1">
        <w:r w:rsidRPr="00815992">
          <w:rPr>
            <w:rStyle w:val="TextoNormalCaracter"/>
          </w:rPr>
          <w:t>29/1992</w:t>
        </w:r>
      </w:hyperlink>
      <w:r>
        <w:t>, ff. 4, 5.</w:t>
      </w:r>
    </w:p>
    <w:p w:rsidR="00815992" w:rsidRDefault="00815992" w:rsidP="00815992">
      <w:pPr>
        <w:pStyle w:val="SangriaFrancesaArticulo"/>
      </w:pPr>
      <w:r w:rsidRPr="00815992">
        <w:rPr>
          <w:rStyle w:val="TextoNormalNegritaCaracter"/>
        </w:rPr>
        <w:t>Disposición adicional décima, apartado 2.</w:t>
      </w:r>
      <w:r w:rsidRPr="00815992">
        <w:rPr>
          <w:rStyle w:val="TextoNormalCaracter"/>
        </w:rPr>
        <w:t>-</w:t>
      </w:r>
      <w:r>
        <w:t xml:space="preserve"> Sentencia </w:t>
      </w:r>
      <w:hyperlink w:anchor="SENTENCIA_1992_29" w:history="1">
        <w:r w:rsidRPr="00815992">
          <w:rPr>
            <w:rStyle w:val="TextoNormalCaracter"/>
          </w:rPr>
          <w:t>29/1992</w:t>
        </w:r>
      </w:hyperlink>
      <w:r>
        <w:t>, f. 2.</w:t>
      </w:r>
    </w:p>
    <w:p w:rsidR="00815992" w:rsidRDefault="00815992" w:rsidP="00815992">
      <w:pPr>
        <w:pStyle w:val="SangriaFrancesaArticulo"/>
      </w:pPr>
    </w:p>
    <w:p w:rsidR="00815992" w:rsidRDefault="00815992" w:rsidP="00815992">
      <w:pPr>
        <w:pStyle w:val="TextoNormalNegritaCursivandice"/>
      </w:pPr>
      <w:r>
        <w:t>Ley 44/1983, de 28 de diciembre. Presupuestos generales del Estado para 1984</w:t>
      </w:r>
    </w:p>
    <w:p w:rsidR="00815992" w:rsidRDefault="00815992" w:rsidP="00815992">
      <w:pPr>
        <w:pStyle w:val="SangriaFrancesaArticulo"/>
      </w:pPr>
      <w:r w:rsidRPr="00815992">
        <w:rPr>
          <w:rStyle w:val="TextoNormalNegritaCaracter"/>
        </w:rPr>
        <w:t>Disposición adicional decimosexta.</w:t>
      </w:r>
      <w:r w:rsidRPr="00815992">
        <w:rPr>
          <w:rStyle w:val="TextoNormalCaracter"/>
        </w:rPr>
        <w:t>-</w:t>
      </w:r>
      <w:r>
        <w:t xml:space="preserve"> Sentencia </w:t>
      </w:r>
      <w:hyperlink w:anchor="SENTENCIA_1992_13" w:history="1">
        <w:r w:rsidRPr="00815992">
          <w:rPr>
            <w:rStyle w:val="TextoNormalCaracter"/>
          </w:rPr>
          <w:t>13/1992</w:t>
        </w:r>
      </w:hyperlink>
      <w:r>
        <w:t>, f. 5.</w:t>
      </w:r>
    </w:p>
    <w:p w:rsidR="00815992" w:rsidRDefault="00815992" w:rsidP="00815992">
      <w:pPr>
        <w:pStyle w:val="SangriaFrancesaArticulo"/>
      </w:pPr>
    </w:p>
    <w:p w:rsidR="00815992" w:rsidRDefault="00815992" w:rsidP="00815992">
      <w:pPr>
        <w:pStyle w:val="TextoNormalNegritaCursivandice"/>
      </w:pPr>
      <w:r>
        <w:t>Ley 19/1984, de 8 de junio. Servicio Militar</w:t>
      </w:r>
    </w:p>
    <w:p w:rsidR="00815992" w:rsidRDefault="00815992" w:rsidP="00815992">
      <w:pPr>
        <w:pStyle w:val="SangriaFrancesaArticulo"/>
      </w:pPr>
      <w:r w:rsidRPr="00815992">
        <w:rPr>
          <w:rStyle w:val="TextoNormalNegritaCaracter"/>
        </w:rPr>
        <w:t>Artículo 28.4.</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p>
    <w:p w:rsidR="00815992" w:rsidRDefault="00815992" w:rsidP="00815992">
      <w:pPr>
        <w:pStyle w:val="TextoNormalNegritaCursivandice"/>
      </w:pPr>
      <w:r>
        <w:t>Ley 26/1984, de 19 de julio. General para la defensa de los consumidores y usuarios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4" w:history="1">
        <w:r w:rsidRPr="00815992">
          <w:rPr>
            <w:rStyle w:val="TextoNormalCaracter"/>
          </w:rPr>
          <w:t>14/1992</w:t>
        </w:r>
      </w:hyperlink>
      <w:r>
        <w:t>, ff. 11, 12.</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 </w:t>
      </w:r>
      <w:hyperlink w:anchor="SENTENCIA_1992_14" w:history="1">
        <w:r w:rsidRPr="00815992">
          <w:rPr>
            <w:rStyle w:val="TextoNormalCaracter"/>
          </w:rPr>
          <w:t>14/1992</w:t>
        </w:r>
      </w:hyperlink>
      <w:r>
        <w:t>, f. 12.</w:t>
      </w:r>
    </w:p>
    <w:p w:rsidR="00815992" w:rsidRDefault="00815992" w:rsidP="00815992">
      <w:pPr>
        <w:pStyle w:val="SangriaFrancesaArticulo"/>
      </w:pPr>
      <w:r w:rsidRPr="00815992">
        <w:rPr>
          <w:rStyle w:val="TextoNormalNegritaCaracter"/>
        </w:rPr>
        <w:t>Artículo 2.1 b).</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2.1 d).</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2.1 f).</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 3.</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 4.</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 5.</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 7.</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10.1 c) 8.</w:t>
      </w:r>
      <w:r w:rsidRPr="00815992">
        <w:rPr>
          <w:rStyle w:val="TextoNormalCaracter"/>
        </w:rPr>
        <w:t>-</w:t>
      </w:r>
      <w:r>
        <w:t xml:space="preserve"> Sentencia </w:t>
      </w:r>
      <w:hyperlink w:anchor="SENTENCIA_1992_14" w:history="1">
        <w:r w:rsidRPr="00815992">
          <w:rPr>
            <w:rStyle w:val="TextoNormalCaracter"/>
          </w:rPr>
          <w:t>14/1992</w:t>
        </w:r>
      </w:hyperlink>
      <w:r>
        <w:t>, ff. 11, 12.</w:t>
      </w:r>
    </w:p>
    <w:p w:rsidR="00815992" w:rsidRDefault="00815992" w:rsidP="00815992">
      <w:pPr>
        <w:pStyle w:val="SangriaFrancesaArticulo"/>
      </w:pPr>
      <w:r w:rsidRPr="00815992">
        <w:rPr>
          <w:rStyle w:val="TextoNormalNegritaCaracter"/>
        </w:rPr>
        <w:t>Artículo 10.4.</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r w:rsidRPr="00815992">
        <w:rPr>
          <w:rStyle w:val="TextoNormalNegritaCaracter"/>
        </w:rPr>
        <w:t>Artículo 13.</w:t>
      </w:r>
      <w:r w:rsidRPr="00815992">
        <w:rPr>
          <w:rStyle w:val="TextoNormalCaracter"/>
        </w:rPr>
        <w:t>-</w:t>
      </w:r>
      <w:r>
        <w:t xml:space="preserve"> Sentencia </w:t>
      </w:r>
      <w:hyperlink w:anchor="SENTENCIA_1992_14" w:history="1">
        <w:r w:rsidRPr="00815992">
          <w:rPr>
            <w:rStyle w:val="TextoNormalCaracter"/>
          </w:rPr>
          <w:t>14/1992</w:t>
        </w:r>
      </w:hyperlink>
      <w:r>
        <w:t>, f. 11.</w:t>
      </w:r>
    </w:p>
    <w:p w:rsidR="00815992" w:rsidRDefault="00815992" w:rsidP="00815992">
      <w:pPr>
        <w:pStyle w:val="SangriaFrancesaArticulo"/>
      </w:pPr>
    </w:p>
    <w:p w:rsidR="00815992" w:rsidRDefault="00815992" w:rsidP="00815992">
      <w:pPr>
        <w:pStyle w:val="TextoNormalNegritaCursivandice"/>
      </w:pPr>
      <w:r>
        <w:t>Ley 30/1984, de 2 de agosto. Medidas para la reforma de la función pública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 w:history="1">
        <w:r w:rsidRPr="00815992">
          <w:rPr>
            <w:rStyle w:val="TextoNormalCaracter"/>
          </w:rPr>
          <w:t>5/1992</w:t>
        </w:r>
      </w:hyperlink>
      <w:r>
        <w:t>, ff. 3 a 7.</w:t>
      </w:r>
    </w:p>
    <w:p w:rsidR="00815992" w:rsidRDefault="00815992" w:rsidP="00815992">
      <w:pPr>
        <w:pStyle w:val="SangriaFrancesaArticulo"/>
      </w:pPr>
      <w:r w:rsidRPr="00815992">
        <w:rPr>
          <w:rStyle w:val="TextoNormalNegritaCaracter"/>
        </w:rPr>
        <w:lastRenderedPageBreak/>
        <w:t>Artículo 1.2.</w:t>
      </w:r>
      <w:r w:rsidRPr="00815992">
        <w:rPr>
          <w:rStyle w:val="TextoNormalCaracter"/>
        </w:rPr>
        <w:t>-</w:t>
      </w:r>
      <w:r>
        <w:t xml:space="preserve"> Sentencia </w:t>
      </w:r>
      <w:hyperlink w:anchor="SENTENCIA_1992_48" w:history="1">
        <w:r w:rsidRPr="00815992">
          <w:rPr>
            <w:rStyle w:val="TextoNormalCaracter"/>
          </w:rPr>
          <w:t>48/1992</w:t>
        </w:r>
      </w:hyperlink>
      <w:r>
        <w:t>, f. 3.</w:t>
      </w:r>
    </w:p>
    <w:p w:rsidR="00815992" w:rsidRDefault="00815992" w:rsidP="00815992">
      <w:pPr>
        <w:pStyle w:val="SangriaFrancesaArticulo"/>
      </w:pPr>
      <w:r w:rsidRPr="00815992">
        <w:rPr>
          <w:rStyle w:val="TextoNormalNegritaCaracter"/>
        </w:rPr>
        <w:t>Artículo 24.</w:t>
      </w:r>
      <w:r w:rsidRPr="00815992">
        <w:rPr>
          <w:rStyle w:val="TextoNormalCaracter"/>
        </w:rPr>
        <w:t>-</w:t>
      </w:r>
      <w:r>
        <w:t xml:space="preserve"> Sentencia </w:t>
      </w:r>
      <w:hyperlink w:anchor="SENTENCIA_1992_48" w:history="1">
        <w:r w:rsidRPr="00815992">
          <w:rPr>
            <w:rStyle w:val="TextoNormalCaracter"/>
          </w:rPr>
          <w:t>48/1992</w:t>
        </w:r>
      </w:hyperlink>
      <w:r>
        <w:t>, f. 1.</w:t>
      </w:r>
    </w:p>
    <w:p w:rsidR="00815992" w:rsidRDefault="00815992" w:rsidP="00815992">
      <w:pPr>
        <w:pStyle w:val="SangriaFrancesaArticulo"/>
      </w:pPr>
      <w:r w:rsidRPr="00815992">
        <w:rPr>
          <w:rStyle w:val="TextoNormalNegritaCaracter"/>
        </w:rPr>
        <w:t>Artículo 32.</w:t>
      </w:r>
      <w:r w:rsidRPr="00815992">
        <w:rPr>
          <w:rStyle w:val="TextoNormalCaracter"/>
        </w:rPr>
        <w:t>-</w:t>
      </w:r>
      <w:r>
        <w:t xml:space="preserve"> Sentencia </w:t>
      </w:r>
      <w:hyperlink w:anchor="SENTENCIA_1992_5" w:history="1">
        <w:r w:rsidRPr="00815992">
          <w:rPr>
            <w:rStyle w:val="TextoNormalCaracter"/>
          </w:rPr>
          <w:t>5/1992</w:t>
        </w:r>
      </w:hyperlink>
      <w:r>
        <w:t>, ff. 3, 6.</w:t>
      </w:r>
    </w:p>
    <w:p w:rsidR="00815992" w:rsidRDefault="00815992" w:rsidP="00815992">
      <w:pPr>
        <w:pStyle w:val="SangriaFrancesaArticulo"/>
      </w:pPr>
      <w:r w:rsidRPr="00815992">
        <w:rPr>
          <w:rStyle w:val="TextoNormalNegritaCaracter"/>
        </w:rPr>
        <w:t>Artículo 32.1.</w:t>
      </w:r>
      <w:r w:rsidRPr="00815992">
        <w:rPr>
          <w:rStyle w:val="TextoNormalCaracter"/>
        </w:rPr>
        <w:t>-</w:t>
      </w:r>
      <w:r>
        <w:t xml:space="preserve"> Sentencia </w:t>
      </w:r>
      <w:hyperlink w:anchor="SENTENCIA_1992_5" w:history="1">
        <w:r w:rsidRPr="00815992">
          <w:rPr>
            <w:rStyle w:val="TextoNormalCaracter"/>
          </w:rPr>
          <w:t>5/1992</w:t>
        </w:r>
      </w:hyperlink>
      <w:r>
        <w:t>, ff. 1, 6.</w:t>
      </w:r>
    </w:p>
    <w:p w:rsidR="00815992" w:rsidRDefault="00815992" w:rsidP="00815992">
      <w:pPr>
        <w:pStyle w:val="SangriaFrancesaArticulo"/>
      </w:pPr>
      <w:r w:rsidRPr="00815992">
        <w:rPr>
          <w:rStyle w:val="TextoNormalNegritaCaracter"/>
        </w:rPr>
        <w:t>Disposición adicional cuarta.</w:t>
      </w:r>
      <w:r w:rsidRPr="00815992">
        <w:rPr>
          <w:rStyle w:val="TextoNormalCaracter"/>
        </w:rPr>
        <w:t>-</w:t>
      </w:r>
      <w:r>
        <w:t xml:space="preserve"> Sentencia </w:t>
      </w:r>
      <w:hyperlink w:anchor="SENTENCIA_1992_48" w:history="1">
        <w:r w:rsidRPr="00815992">
          <w:rPr>
            <w:rStyle w:val="TextoNormalCaracter"/>
          </w:rPr>
          <w:t>48/1992</w:t>
        </w:r>
      </w:hyperlink>
      <w:r>
        <w:t>, f. 3.</w:t>
      </w:r>
    </w:p>
    <w:p w:rsidR="00815992" w:rsidRDefault="00815992" w:rsidP="00815992">
      <w:pPr>
        <w:pStyle w:val="SangriaFrancesaArticulo"/>
      </w:pPr>
    </w:p>
    <w:p w:rsidR="00815992" w:rsidRDefault="00815992" w:rsidP="00815992">
      <w:pPr>
        <w:pStyle w:val="TextoNormalNegritaCursivandice"/>
      </w:pPr>
      <w:r>
        <w:t>Ley 33/1984, de 2 de agosto. Ordenación de los seguros privados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35" w:history="1">
        <w:r w:rsidRPr="00815992">
          <w:rPr>
            <w:rStyle w:val="TextoNormalCaracter"/>
          </w:rPr>
          <w:t>35/1992</w:t>
        </w:r>
      </w:hyperlink>
      <w:r>
        <w:t xml:space="preserve">, ff. 1, 3; </w:t>
      </w:r>
      <w:hyperlink w:anchor="SENTENCIA_1992_36" w:history="1">
        <w:r w:rsidRPr="00815992">
          <w:rPr>
            <w:rStyle w:val="TextoNormalCaracter"/>
          </w:rPr>
          <w:t>36/1992</w:t>
        </w:r>
      </w:hyperlink>
      <w:r>
        <w:t>, f. 2.</w:t>
      </w:r>
    </w:p>
    <w:p w:rsidR="00815992" w:rsidRDefault="00815992" w:rsidP="00815992">
      <w:pPr>
        <w:pStyle w:val="SangriaFrancesaArticulo"/>
      </w:pPr>
      <w:r w:rsidRPr="00815992">
        <w:rPr>
          <w:rStyle w:val="TextoNormalNegritaCaracter"/>
        </w:rPr>
        <w:t>Capítulo III.</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Capítulo V.</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2 d).</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6.1.</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6.2.</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6.4.</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13.</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13.5.</w:t>
      </w:r>
      <w:r w:rsidRPr="00815992">
        <w:rPr>
          <w:rStyle w:val="TextoNormalCaracter"/>
        </w:rPr>
        <w:t>-</w:t>
      </w:r>
      <w:r>
        <w:t xml:space="preserve"> Sentencia </w:t>
      </w:r>
      <w:hyperlink w:anchor="SENTENCIA_1992_35" w:history="1">
        <w:r w:rsidRPr="00815992">
          <w:rPr>
            <w:rStyle w:val="TextoNormalCaracter"/>
          </w:rPr>
          <w:t>35/1992</w:t>
        </w:r>
      </w:hyperlink>
      <w:r>
        <w:t>, VP.</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14.2.</w:t>
      </w:r>
      <w:r w:rsidRPr="00815992">
        <w:rPr>
          <w:rStyle w:val="TextoNormalCaracter"/>
        </w:rPr>
        <w:t>-</w:t>
      </w:r>
      <w:r>
        <w:t xml:space="preserve"> Sentencia </w:t>
      </w:r>
      <w:hyperlink w:anchor="SENTENCIA_1992_35" w:history="1">
        <w:r w:rsidRPr="00815992">
          <w:rPr>
            <w:rStyle w:val="TextoNormalCaracter"/>
          </w:rPr>
          <w:t>35/1992</w:t>
        </w:r>
      </w:hyperlink>
      <w:r>
        <w:t>, VP.</w:t>
      </w:r>
    </w:p>
    <w:p w:rsidR="00815992" w:rsidRDefault="00815992" w:rsidP="00815992">
      <w:pPr>
        <w:pStyle w:val="SangriaFrancesaArticulo"/>
      </w:pPr>
      <w:r w:rsidRPr="00815992">
        <w:rPr>
          <w:rStyle w:val="TextoNormalNegritaCaracter"/>
        </w:rPr>
        <w:t>Artículo 14.2 a).</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15.</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22.1.</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23.</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23.1.</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23.2.</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23.3.</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24.</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24.1.</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24.2.</w:t>
      </w:r>
      <w:r w:rsidRPr="00815992">
        <w:rPr>
          <w:rStyle w:val="TextoNormalCaracter"/>
        </w:rPr>
        <w:t>-</w:t>
      </w:r>
      <w:r>
        <w:t xml:space="preserve"> Sentencias </w:t>
      </w:r>
      <w:hyperlink w:anchor="SENTENCIA_1992_35" w:history="1">
        <w:r w:rsidRPr="00815992">
          <w:rPr>
            <w:rStyle w:val="TextoNormalCaracter"/>
          </w:rPr>
          <w:t>35/1992</w:t>
        </w:r>
      </w:hyperlink>
      <w:r>
        <w:t xml:space="preserve">, f. 7;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Artículo 24.3.</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25.</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25.1.</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26.</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28.5.</w:t>
      </w:r>
      <w:r w:rsidRPr="00815992">
        <w:rPr>
          <w:rStyle w:val="TextoNormalCaracter"/>
        </w:rPr>
        <w:t>-</w:t>
      </w:r>
      <w:r>
        <w:t xml:space="preserve"> Sentencia </w:t>
      </w:r>
      <w:hyperlink w:anchor="SENTENCIA_1992_35" w:history="1">
        <w:r w:rsidRPr="00815992">
          <w:rPr>
            <w:rStyle w:val="TextoNormalCaracter"/>
          </w:rPr>
          <w:t>35/1992</w:t>
        </w:r>
      </w:hyperlink>
      <w:r>
        <w:t>, f. 9.</w:t>
      </w:r>
    </w:p>
    <w:p w:rsidR="00815992" w:rsidRDefault="00815992" w:rsidP="00815992">
      <w:pPr>
        <w:pStyle w:val="SangriaFrancesaArticulo"/>
      </w:pPr>
      <w:r w:rsidRPr="00815992">
        <w:rPr>
          <w:rStyle w:val="TextoNormalNegritaCaracter"/>
        </w:rPr>
        <w:t>Artículo 31.1.</w:t>
      </w:r>
      <w:r w:rsidRPr="00815992">
        <w:rPr>
          <w:rStyle w:val="TextoNormalCaracter"/>
        </w:rPr>
        <w:t>-</w:t>
      </w:r>
      <w:r>
        <w:t xml:space="preserve"> Sentencia </w:t>
      </w:r>
      <w:hyperlink w:anchor="SENTENCIA_1992_27" w:history="1">
        <w:r w:rsidRPr="00815992">
          <w:rPr>
            <w:rStyle w:val="TextoNormalCaracter"/>
          </w:rPr>
          <w:t>27/1992</w:t>
        </w:r>
      </w:hyperlink>
      <w:r>
        <w:t>, f. 4.</w:t>
      </w:r>
    </w:p>
    <w:p w:rsidR="00815992" w:rsidRDefault="00815992" w:rsidP="00815992">
      <w:pPr>
        <w:pStyle w:val="SangriaFrancesaArticulo"/>
      </w:pPr>
      <w:r w:rsidRPr="00815992">
        <w:rPr>
          <w:rStyle w:val="TextoNormalNegritaCaracter"/>
        </w:rPr>
        <w:t>Artículo 31.6 c).</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31.7.</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31.7 c).</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31.7 d).</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31.8.</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37.2.</w:t>
      </w:r>
      <w:r w:rsidRPr="00815992">
        <w:rPr>
          <w:rStyle w:val="TextoNormalCaracter"/>
        </w:rPr>
        <w:t>-</w:t>
      </w:r>
      <w:r>
        <w:t xml:space="preserve"> Sentencia </w:t>
      </w:r>
      <w:hyperlink w:anchor="SENTENCIA_1992_35" w:history="1">
        <w:r w:rsidRPr="00815992">
          <w:rPr>
            <w:rStyle w:val="TextoNormalCaracter"/>
          </w:rPr>
          <w:t>35/1992</w:t>
        </w:r>
      </w:hyperlink>
      <w:r>
        <w:t>, f. 11.</w:t>
      </w:r>
    </w:p>
    <w:p w:rsidR="00815992" w:rsidRDefault="00815992" w:rsidP="00815992">
      <w:pPr>
        <w:pStyle w:val="SangriaFrancesaArticulo"/>
      </w:pPr>
      <w:r w:rsidRPr="00815992">
        <w:rPr>
          <w:rStyle w:val="TextoNormalNegritaCaracter"/>
        </w:rPr>
        <w:t>Artículo 39.1.</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39.2.</w:t>
      </w:r>
      <w:r w:rsidRPr="00815992">
        <w:rPr>
          <w:rStyle w:val="TextoNormalCaracter"/>
        </w:rPr>
        <w:t>-</w:t>
      </w:r>
      <w:r>
        <w:t xml:space="preserve"> Sentencias </w:t>
      </w:r>
      <w:hyperlink w:anchor="SENTENCIA_1992_35" w:history="1">
        <w:r w:rsidRPr="00815992">
          <w:rPr>
            <w:rStyle w:val="TextoNormalCaracter"/>
          </w:rPr>
          <w:t>35/1992</w:t>
        </w:r>
      </w:hyperlink>
      <w:r>
        <w:t xml:space="preserve">, f. 12; </w:t>
      </w:r>
      <w:hyperlink w:anchor="SENTENCIA_1992_36" w:history="1">
        <w:r w:rsidRPr="00815992">
          <w:rPr>
            <w:rStyle w:val="TextoNormalCaracter"/>
          </w:rPr>
          <w:t>36/1992</w:t>
        </w:r>
      </w:hyperlink>
      <w:r>
        <w:t>, ff. 1, 3.</w:t>
      </w:r>
    </w:p>
    <w:p w:rsidR="00815992" w:rsidRDefault="00815992" w:rsidP="00815992">
      <w:pPr>
        <w:pStyle w:val="SangriaFrancesaArticulo"/>
      </w:pPr>
      <w:r w:rsidRPr="00815992">
        <w:rPr>
          <w:rStyle w:val="TextoNormalNegritaCaracter"/>
        </w:rPr>
        <w:t>Artículo 39.3.</w:t>
      </w:r>
      <w:r w:rsidRPr="00815992">
        <w:rPr>
          <w:rStyle w:val="TextoNormalCaracter"/>
        </w:rPr>
        <w:t>-</w:t>
      </w:r>
      <w:r>
        <w:t xml:space="preserve"> Sentencias </w:t>
      </w:r>
      <w:hyperlink w:anchor="SENTENCIA_1992_35" w:history="1">
        <w:r w:rsidRPr="00815992">
          <w:rPr>
            <w:rStyle w:val="TextoNormalCaracter"/>
          </w:rPr>
          <w:t>35/1992</w:t>
        </w:r>
      </w:hyperlink>
      <w:r>
        <w:t xml:space="preserve">, f. 12; </w:t>
      </w:r>
      <w:hyperlink w:anchor="SENTENCIA_1992_36" w:history="1">
        <w:r w:rsidRPr="00815992">
          <w:rPr>
            <w:rStyle w:val="TextoNormalCaracter"/>
          </w:rPr>
          <w:t>36/1992</w:t>
        </w:r>
      </w:hyperlink>
      <w:r>
        <w:t>, ff. 1, 3.</w:t>
      </w:r>
    </w:p>
    <w:p w:rsidR="00815992" w:rsidRDefault="00815992" w:rsidP="00815992">
      <w:pPr>
        <w:pStyle w:val="SangriaFrancesaArticulo"/>
      </w:pPr>
      <w:r w:rsidRPr="00815992">
        <w:rPr>
          <w:rStyle w:val="TextoNormalNegritaCaracter"/>
        </w:rPr>
        <w:t>Artículo 39.4.</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43.6 j).</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Disposición transitoria segunda.</w:t>
      </w:r>
      <w:r w:rsidRPr="00815992">
        <w:rPr>
          <w:rStyle w:val="TextoNormalCaracter"/>
        </w:rPr>
        <w:t>-</w:t>
      </w:r>
      <w:r>
        <w:t xml:space="preserve"> Sentencia </w:t>
      </w:r>
      <w:hyperlink w:anchor="SENTENCIA_1992_35" w:history="1">
        <w:r w:rsidRPr="00815992">
          <w:rPr>
            <w:rStyle w:val="TextoNormalCaracter"/>
          </w:rPr>
          <w:t>35/1992</w:t>
        </w:r>
      </w:hyperlink>
      <w:r>
        <w:t>, f. 14.</w:t>
      </w:r>
    </w:p>
    <w:p w:rsidR="00815992" w:rsidRDefault="00815992" w:rsidP="00815992">
      <w:pPr>
        <w:pStyle w:val="SangriaFrancesaArticulo"/>
      </w:pPr>
      <w:r w:rsidRPr="00815992">
        <w:rPr>
          <w:rStyle w:val="TextoNormalNegritaCaracter"/>
        </w:rPr>
        <w:t>Disposición transitoria séptima, apartado 2.</w:t>
      </w:r>
      <w:r w:rsidRPr="00815992">
        <w:rPr>
          <w:rStyle w:val="TextoNormalCaracter"/>
        </w:rPr>
        <w:t>-</w:t>
      </w:r>
      <w:r>
        <w:t xml:space="preserve"> Sentencia </w:t>
      </w:r>
      <w:hyperlink w:anchor="SENTENCIA_1992_35" w:history="1">
        <w:r w:rsidRPr="00815992">
          <w:rPr>
            <w:rStyle w:val="TextoNormalCaracter"/>
          </w:rPr>
          <w:t>35/1992</w:t>
        </w:r>
      </w:hyperlink>
      <w:r>
        <w:t>, f. 14.</w:t>
      </w:r>
    </w:p>
    <w:p w:rsidR="00815992" w:rsidRDefault="00815992" w:rsidP="00815992">
      <w:pPr>
        <w:pStyle w:val="SangriaFrancesaArticulo"/>
      </w:pPr>
      <w:r w:rsidRPr="00815992">
        <w:rPr>
          <w:rStyle w:val="TextoNormalNegritaCaracter"/>
        </w:rPr>
        <w:lastRenderedPageBreak/>
        <w:t>Disposición final primera.</w:t>
      </w:r>
      <w:r w:rsidRPr="00815992">
        <w:rPr>
          <w:rStyle w:val="TextoNormalCaracter"/>
        </w:rPr>
        <w:t>-</w:t>
      </w:r>
      <w:r>
        <w:t xml:space="preserve"> Sentencias </w:t>
      </w:r>
      <w:hyperlink w:anchor="SENTENCIA_1992_35" w:history="1">
        <w:r w:rsidRPr="00815992">
          <w:rPr>
            <w:rStyle w:val="TextoNormalCaracter"/>
          </w:rPr>
          <w:t>35/1992</w:t>
        </w:r>
      </w:hyperlink>
      <w:r>
        <w:t xml:space="preserve">, ff. 5, 9;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Disposición final primera, apartado 1.</w:t>
      </w:r>
      <w:r w:rsidRPr="00815992">
        <w:rPr>
          <w:rStyle w:val="TextoNormalCaracter"/>
        </w:rPr>
        <w:t>-</w:t>
      </w:r>
      <w:r>
        <w:t xml:space="preserve"> Sentencia </w:t>
      </w:r>
      <w:hyperlink w:anchor="SENTENCIA_1992_35" w:history="1">
        <w:r w:rsidRPr="00815992">
          <w:rPr>
            <w:rStyle w:val="TextoNormalCaracter"/>
          </w:rPr>
          <w:t>35/1992</w:t>
        </w:r>
      </w:hyperlink>
      <w:r>
        <w:t>, f. 13.</w:t>
      </w:r>
    </w:p>
    <w:p w:rsidR="00815992" w:rsidRDefault="00815992" w:rsidP="00815992">
      <w:pPr>
        <w:pStyle w:val="SangriaFrancesaArticulo"/>
      </w:pPr>
      <w:r w:rsidRPr="00815992">
        <w:rPr>
          <w:rStyle w:val="TextoNormalNegritaCaracter"/>
        </w:rPr>
        <w:t>Disposición final primera, apartado 2.</w:t>
      </w:r>
      <w:r w:rsidRPr="00815992">
        <w:rPr>
          <w:rStyle w:val="TextoNormalCaracter"/>
        </w:rPr>
        <w:t>-</w:t>
      </w:r>
      <w:r>
        <w:t xml:space="preserve"> Sentencia </w:t>
      </w:r>
      <w:hyperlink w:anchor="SENTENCIA_1992_35" w:history="1">
        <w:r w:rsidRPr="00815992">
          <w:rPr>
            <w:rStyle w:val="TextoNormalCaracter"/>
          </w:rPr>
          <w:t>35/1992</w:t>
        </w:r>
      </w:hyperlink>
      <w:r>
        <w:t>, f. 13.</w:t>
      </w:r>
    </w:p>
    <w:p w:rsidR="00815992" w:rsidRDefault="00815992" w:rsidP="00815992">
      <w:pPr>
        <w:pStyle w:val="SangriaFrancesaArticulo"/>
      </w:pPr>
      <w:r w:rsidRPr="00815992">
        <w:rPr>
          <w:rStyle w:val="TextoNormalNegritaCaracter"/>
        </w:rPr>
        <w:t>Disposición final tercera.</w:t>
      </w:r>
      <w:r w:rsidRPr="00815992">
        <w:rPr>
          <w:rStyle w:val="TextoNormalCaracter"/>
        </w:rPr>
        <w:t>-</w:t>
      </w:r>
      <w:r>
        <w:t xml:space="preserve"> Sentencia </w:t>
      </w:r>
      <w:hyperlink w:anchor="SENTENCIA_1992_36" w:history="1">
        <w:r w:rsidRPr="00815992">
          <w:rPr>
            <w:rStyle w:val="TextoNormalCaracter"/>
          </w:rPr>
          <w:t>36/1992</w:t>
        </w:r>
      </w:hyperlink>
      <w:r>
        <w:t>, f. 2.</w:t>
      </w:r>
    </w:p>
    <w:p w:rsidR="00815992" w:rsidRDefault="00815992" w:rsidP="00815992">
      <w:pPr>
        <w:pStyle w:val="SangriaFrancesaArticulo"/>
      </w:pPr>
    </w:p>
    <w:p w:rsidR="00815992" w:rsidRDefault="00815992" w:rsidP="00815992">
      <w:pPr>
        <w:pStyle w:val="TextoNormalNegritaCursivandice"/>
      </w:pPr>
      <w:r>
        <w:t>Ley 34/1984, de 6 de agosto. Reforma de la Ley de enjuiciamiento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14" w:history="1">
        <w:r w:rsidRPr="00815992">
          <w:rPr>
            <w:rStyle w:val="TextoNormalCaracter"/>
          </w:rPr>
          <w:t>14/1992</w:t>
        </w:r>
      </w:hyperlink>
      <w:r>
        <w:t xml:space="preserve">, ff. 1, 5; </w:t>
      </w:r>
      <w:hyperlink w:anchor="SENTENCIA_1992_26" w:history="1">
        <w:r w:rsidRPr="00815992">
          <w:rPr>
            <w:rStyle w:val="TextoNormalCaracter"/>
          </w:rPr>
          <w:t>26/1992</w:t>
        </w:r>
      </w:hyperlink>
      <w:r>
        <w:t xml:space="preserve">, f. 1; </w:t>
      </w:r>
      <w:hyperlink w:anchor="SENTENCIA_1992_47" w:history="1">
        <w:r w:rsidRPr="00815992">
          <w:rPr>
            <w:rStyle w:val="TextoNormalCaracter"/>
          </w:rPr>
          <w:t>47/1992</w:t>
        </w:r>
      </w:hyperlink>
      <w:r>
        <w:t>, f. 3.</w:t>
      </w:r>
    </w:p>
    <w:p w:rsidR="00815992" w:rsidRDefault="00815992" w:rsidP="00815992">
      <w:pPr>
        <w:pStyle w:val="SangriaIzquierdaArticulo"/>
      </w:pPr>
      <w:r>
        <w:t xml:space="preserve">Auto </w:t>
      </w:r>
      <w:hyperlink w:anchor="AUTO_1992_62" w:history="1">
        <w:r w:rsidRPr="00815992">
          <w:rPr>
            <w:rStyle w:val="TextoNormalCaracter"/>
          </w:rPr>
          <w:t>62/1992</w:t>
        </w:r>
      </w:hyperlink>
      <w:r>
        <w:t>.</w:t>
      </w:r>
    </w:p>
    <w:p w:rsidR="00815992" w:rsidRDefault="00815992" w:rsidP="00815992">
      <w:pPr>
        <w:pStyle w:val="SangriaIzquierdaArticulo"/>
      </w:pPr>
    </w:p>
    <w:p w:rsidR="00815992" w:rsidRDefault="00815992" w:rsidP="00815992">
      <w:pPr>
        <w:pStyle w:val="TextoNormalNegritaCursivandice"/>
      </w:pPr>
      <w:r>
        <w:t>Ley 49/1984, de 26 de diciembre. Explotación unificada del sistema eléctrico nacional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67" w:history="1">
        <w:r w:rsidRPr="00815992">
          <w:rPr>
            <w:rStyle w:val="TextoNormalCaracter"/>
          </w:rPr>
          <w:t>67/1992</w:t>
        </w:r>
      </w:hyperlink>
      <w:r>
        <w:t>, f. 3.</w:t>
      </w:r>
    </w:p>
    <w:p w:rsidR="00815992" w:rsidRDefault="00815992" w:rsidP="00815992">
      <w:pPr>
        <w:pStyle w:val="SangriaFrancesaArticulo"/>
      </w:pPr>
      <w:r w:rsidRPr="00815992">
        <w:rPr>
          <w:rStyle w:val="TextoNormalNegritaCaracter"/>
        </w:rPr>
        <w:t>Preámbulo.</w:t>
      </w:r>
      <w:r w:rsidRPr="00815992">
        <w:rPr>
          <w:rStyle w:val="TextoNormalCaracter"/>
        </w:rPr>
        <w:t>-</w:t>
      </w:r>
      <w:r>
        <w:t xml:space="preserve"> Sentencia </w:t>
      </w:r>
      <w:hyperlink w:anchor="SENTENCIA_1992_67" w:history="1">
        <w:r w:rsidRPr="00815992">
          <w:rPr>
            <w:rStyle w:val="TextoNormalCaracter"/>
          </w:rPr>
          <w:t>67/1992</w:t>
        </w:r>
      </w:hyperlink>
      <w:r>
        <w:t>, f. 4.</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Sentencia </w:t>
      </w:r>
      <w:hyperlink w:anchor="SENTENCIA_1992_67" w:history="1">
        <w:r w:rsidRPr="00815992">
          <w:rPr>
            <w:rStyle w:val="TextoNormalCaracter"/>
          </w:rPr>
          <w:t>67/1992</w:t>
        </w:r>
      </w:hyperlink>
      <w:r>
        <w:t>, f. 4.</w:t>
      </w:r>
    </w:p>
    <w:p w:rsidR="00815992" w:rsidRDefault="00815992" w:rsidP="00815992">
      <w:pPr>
        <w:pStyle w:val="SangriaFrancesaArticulo"/>
      </w:pPr>
      <w:r w:rsidRPr="00815992">
        <w:rPr>
          <w:rStyle w:val="TextoNormalNegritaCaracter"/>
        </w:rPr>
        <w:t>Anexo.</w:t>
      </w:r>
      <w:r w:rsidRPr="00815992">
        <w:rPr>
          <w:rStyle w:val="TextoNormalCaracter"/>
        </w:rPr>
        <w:t>-</w:t>
      </w:r>
      <w:r>
        <w:t xml:space="preserve"> Sentencia </w:t>
      </w:r>
      <w:hyperlink w:anchor="SENTENCIA_1992_67" w:history="1">
        <w:r w:rsidRPr="00815992">
          <w:rPr>
            <w:rStyle w:val="TextoNormalCaracter"/>
          </w:rPr>
          <w:t>67/1992</w:t>
        </w:r>
      </w:hyperlink>
      <w:r>
        <w:t>, f. 4.</w:t>
      </w:r>
    </w:p>
    <w:p w:rsidR="00815992" w:rsidRDefault="00815992" w:rsidP="00815992">
      <w:pPr>
        <w:pStyle w:val="SangriaFrancesaArticulo"/>
      </w:pPr>
    </w:p>
    <w:p w:rsidR="00815992" w:rsidRDefault="00815992" w:rsidP="00815992">
      <w:pPr>
        <w:pStyle w:val="TextoNormalNegritaCursivandice"/>
      </w:pPr>
      <w:r>
        <w:t>Ley 50/1984, de 30 de diciembre. Presupuestos generales del Estado para 1985</w:t>
      </w:r>
    </w:p>
    <w:p w:rsidR="00815992" w:rsidRDefault="00815992" w:rsidP="00815992">
      <w:pPr>
        <w:pStyle w:val="SangriaFrancesaArticulo"/>
      </w:pPr>
      <w:r w:rsidRPr="00815992">
        <w:rPr>
          <w:rStyle w:val="TextoNormalNegritaCaracter"/>
        </w:rPr>
        <w:t>Artículo 78.</w:t>
      </w:r>
      <w:r w:rsidRPr="00815992">
        <w:rPr>
          <w:rStyle w:val="TextoNormalCaracter"/>
        </w:rPr>
        <w:t>-</w:t>
      </w:r>
      <w:r>
        <w:t xml:space="preserve"> Sentencia </w:t>
      </w:r>
      <w:hyperlink w:anchor="SENTENCIA_1992_13" w:history="1">
        <w:r w:rsidRPr="00815992">
          <w:rPr>
            <w:rStyle w:val="TextoNormalCaracter"/>
          </w:rPr>
          <w:t>13/1992</w:t>
        </w:r>
      </w:hyperlink>
      <w:r>
        <w:t>, f. 9.</w:t>
      </w:r>
    </w:p>
    <w:p w:rsidR="00815992" w:rsidRDefault="00815992" w:rsidP="00815992">
      <w:pPr>
        <w:pStyle w:val="SangriaFrancesaArticulo"/>
      </w:pPr>
      <w:r w:rsidRPr="00815992">
        <w:rPr>
          <w:rStyle w:val="TextoNormalNegritaCaracter"/>
        </w:rPr>
        <w:t>Artículo 78.3.</w:t>
      </w:r>
      <w:r w:rsidRPr="00815992">
        <w:rPr>
          <w:rStyle w:val="TextoNormalCaracter"/>
        </w:rPr>
        <w:t>-</w:t>
      </w:r>
      <w:r>
        <w:t xml:space="preserve"> Sentencia </w:t>
      </w:r>
      <w:hyperlink w:anchor="SENTENCIA_1992_13" w:history="1">
        <w:r w:rsidRPr="00815992">
          <w:rPr>
            <w:rStyle w:val="TextoNormalCaracter"/>
          </w:rPr>
          <w:t>13/1992</w:t>
        </w:r>
      </w:hyperlink>
      <w:r>
        <w:t>, f. 9.</w:t>
      </w:r>
    </w:p>
    <w:p w:rsidR="00815992" w:rsidRDefault="00815992" w:rsidP="00815992">
      <w:pPr>
        <w:pStyle w:val="SangriaFrancesaArticulo"/>
      </w:pPr>
    </w:p>
    <w:p w:rsidR="00815992" w:rsidRDefault="00815992" w:rsidP="00815992">
      <w:pPr>
        <w:pStyle w:val="TextoNormalNegritaCursivandice"/>
      </w:pPr>
      <w:r>
        <w:t>Ley 2/1985, de 21 de enero. Protección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9.</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10.1.3.</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10.2.</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11.2.</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15.1.</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16 d).</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17.1.</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p>
    <w:p w:rsidR="00815992" w:rsidRDefault="00815992" w:rsidP="00815992">
      <w:pPr>
        <w:pStyle w:val="TextoNormalNegritaCursivandice"/>
      </w:pPr>
      <w:r>
        <w:t>Ley 7/1985, de 2 de abril. Reguladora de bases del régimen local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6" w:history="1">
        <w:r w:rsidRPr="00815992">
          <w:rPr>
            <w:rStyle w:val="TextoNormalCaracter"/>
          </w:rPr>
          <w:t>46/1992</w:t>
        </w:r>
      </w:hyperlink>
      <w:r>
        <w:t>, ff. 2, 3.</w:t>
      </w:r>
    </w:p>
    <w:p w:rsidR="00815992" w:rsidRDefault="00815992" w:rsidP="00815992">
      <w:pPr>
        <w:pStyle w:val="SangriaFrancesaArticulo"/>
      </w:pPr>
      <w:r w:rsidRPr="00815992">
        <w:rPr>
          <w:rStyle w:val="TextoNormalNegritaCaracter"/>
        </w:rPr>
        <w:t>Artículo 25.2 d).</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r w:rsidRPr="00815992">
        <w:rPr>
          <w:rStyle w:val="TextoNormalNegritaCaracter"/>
        </w:rPr>
        <w:t>Artículo 65.</w:t>
      </w:r>
      <w:r w:rsidRPr="00815992">
        <w:rPr>
          <w:rStyle w:val="TextoNormalCaracter"/>
        </w:rPr>
        <w:t>-</w:t>
      </w:r>
      <w:r>
        <w:t xml:space="preserve"> Sentencia </w:t>
      </w:r>
      <w:hyperlink w:anchor="SENTENCIA_1992_46" w:history="1">
        <w:r w:rsidRPr="00815992">
          <w:rPr>
            <w:rStyle w:val="TextoNormalCaracter"/>
          </w:rPr>
          <w:t>46/1992</w:t>
        </w:r>
      </w:hyperlink>
      <w:r>
        <w:t>, ff. 1 a 3.</w:t>
      </w:r>
    </w:p>
    <w:p w:rsidR="00815992" w:rsidRDefault="00815992" w:rsidP="00815992">
      <w:pPr>
        <w:pStyle w:val="SangriaFrancesaArticulo"/>
      </w:pPr>
      <w:r w:rsidRPr="00815992">
        <w:rPr>
          <w:rStyle w:val="TextoNormalNegritaCaracter"/>
        </w:rPr>
        <w:t>Artículo 66.</w:t>
      </w:r>
      <w:r w:rsidRPr="00815992">
        <w:rPr>
          <w:rStyle w:val="TextoNormalCaracter"/>
        </w:rPr>
        <w:t>-</w:t>
      </w:r>
      <w:r>
        <w:t xml:space="preserve"> Sentencia </w:t>
      </w:r>
      <w:hyperlink w:anchor="SENTENCIA_1992_46" w:history="1">
        <w:r w:rsidRPr="00815992">
          <w:rPr>
            <w:rStyle w:val="TextoNormalCaracter"/>
          </w:rPr>
          <w:t>46/1992</w:t>
        </w:r>
      </w:hyperlink>
      <w:r>
        <w:t>, ff. 2, 3.</w:t>
      </w:r>
    </w:p>
    <w:p w:rsidR="00815992" w:rsidRDefault="00815992" w:rsidP="00815992">
      <w:pPr>
        <w:pStyle w:val="SangriaFrancesaArticulo"/>
      </w:pPr>
      <w:r w:rsidRPr="00815992">
        <w:rPr>
          <w:rStyle w:val="TextoNormalNegritaCaracter"/>
        </w:rPr>
        <w:t>Artículo 67.</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p>
    <w:p w:rsidR="00815992" w:rsidRDefault="00815992" w:rsidP="00815992">
      <w:pPr>
        <w:pStyle w:val="TextoNormalNegritaCursivandice"/>
      </w:pPr>
      <w:r>
        <w:t>Ley 4/1986, de 8 de enero. Cesión de bienes del patrimonio sindical acumulado</w:t>
      </w:r>
    </w:p>
    <w:p w:rsidR="00815992" w:rsidRDefault="00815992" w:rsidP="00815992">
      <w:pPr>
        <w:pStyle w:val="SangriaFrancesaArticulo"/>
      </w:pPr>
      <w:r w:rsidRPr="00815992">
        <w:rPr>
          <w:rStyle w:val="TextoNormalNegritaCaracter"/>
        </w:rPr>
        <w:t>Artículo 6.</w:t>
      </w:r>
      <w:r w:rsidRPr="00815992">
        <w:rPr>
          <w:rStyle w:val="TextoNormalCaracter"/>
        </w:rPr>
        <w:t>-</w:t>
      </w:r>
      <w:r>
        <w:t xml:space="preserve"> Sentencia </w:t>
      </w:r>
      <w:hyperlink w:anchor="SENTENCIA_1992_52" w:history="1">
        <w:r w:rsidRPr="00815992">
          <w:rPr>
            <w:rStyle w:val="TextoNormalCaracter"/>
          </w:rPr>
          <w:t>52/1992</w:t>
        </w:r>
      </w:hyperlink>
      <w:r>
        <w:t>, f. 4.</w:t>
      </w:r>
    </w:p>
    <w:p w:rsidR="00815992" w:rsidRDefault="00815992" w:rsidP="00815992">
      <w:pPr>
        <w:pStyle w:val="SangriaFrancesaArticulo"/>
      </w:pPr>
    </w:p>
    <w:p w:rsidR="00815992" w:rsidRDefault="00815992" w:rsidP="00815992">
      <w:pPr>
        <w:pStyle w:val="TextoNormalNegritaCursivandice"/>
      </w:pPr>
      <w:r>
        <w:t>Ley 21/1986, de 23 de diciembre. Presupuestos generales del Estado para 1987</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Disposición final tercera.</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p>
    <w:p w:rsidR="00815992" w:rsidRDefault="00815992" w:rsidP="00815992">
      <w:pPr>
        <w:pStyle w:val="TextoNormalNegritaCursivandice"/>
      </w:pPr>
      <w:r>
        <w:lastRenderedPageBreak/>
        <w:t>Ley 21/1987, de 11 de noviembre. Modifica determinados artículos del Código civil y de la Ley de enjuiciamiento civil en materia de adopción</w:t>
      </w:r>
    </w:p>
    <w:p w:rsidR="00815992" w:rsidRDefault="00815992" w:rsidP="00815992">
      <w:pPr>
        <w:pStyle w:val="SangriaFrancesaArticulo"/>
      </w:pPr>
      <w:r w:rsidRPr="00815992">
        <w:rPr>
          <w:rStyle w:val="TextoNormalNegritaCaracter"/>
        </w:rPr>
        <w:t>Exposición de motivos.</w:t>
      </w:r>
      <w:r w:rsidRPr="00815992">
        <w:rPr>
          <w:rStyle w:val="TextoNormalCaracter"/>
        </w:rPr>
        <w:t>-</w:t>
      </w:r>
      <w:r>
        <w:t xml:space="preserve"> Auto </w:t>
      </w:r>
      <w:hyperlink w:anchor="AUTO_1992_22" w:history="1">
        <w:r w:rsidRPr="00815992">
          <w:rPr>
            <w:rStyle w:val="TextoNormalCaracter"/>
          </w:rPr>
          <w:t>22/1992</w:t>
        </w:r>
      </w:hyperlink>
      <w:r>
        <w:t>.</w:t>
      </w:r>
    </w:p>
    <w:p w:rsidR="00815992" w:rsidRDefault="00815992" w:rsidP="00815992">
      <w:pPr>
        <w:pStyle w:val="SangriaFrancesaArticulo"/>
      </w:pPr>
    </w:p>
    <w:p w:rsidR="00815992" w:rsidRDefault="00815992" w:rsidP="00815992">
      <w:pPr>
        <w:pStyle w:val="TextoNormalNegritaCursivandice"/>
      </w:pPr>
      <w:r>
        <w:t>Ley 33/1987, de 23 de diciembre. Presupuestos generales del Estado para 1988</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ff. 1, 3, 6, 12, 13.</w:t>
      </w:r>
    </w:p>
    <w:p w:rsidR="00815992" w:rsidRDefault="00815992" w:rsidP="00815992">
      <w:pPr>
        <w:pStyle w:val="SangriaFrancesaArticulo"/>
      </w:pPr>
      <w:r w:rsidRPr="00815992">
        <w:rPr>
          <w:rStyle w:val="TextoNormalNegritaCaracter"/>
        </w:rPr>
        <w:t>Artículo 55.</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r w:rsidRPr="00815992">
        <w:rPr>
          <w:rStyle w:val="TextoNormalNegritaCaracter"/>
        </w:rPr>
        <w:t>Artículo 123.</w:t>
      </w:r>
      <w:r w:rsidRPr="00815992">
        <w:rPr>
          <w:rStyle w:val="TextoNormalCaracter"/>
        </w:rPr>
        <w:t>-</w:t>
      </w:r>
      <w:r>
        <w:t xml:space="preserve"> Sentencia </w:t>
      </w:r>
      <w:hyperlink w:anchor="SENTENCIA_1992_13" w:history="1">
        <w:r w:rsidRPr="00815992">
          <w:rPr>
            <w:rStyle w:val="TextoNormalCaracter"/>
          </w:rPr>
          <w:t>13/1992</w:t>
        </w:r>
      </w:hyperlink>
      <w:r>
        <w:t>, ff. 1, 15.</w:t>
      </w:r>
    </w:p>
    <w:p w:rsidR="00815992" w:rsidRDefault="00815992" w:rsidP="00815992">
      <w:pPr>
        <w:pStyle w:val="SangriaFrancesaArticulo"/>
      </w:pPr>
      <w:r w:rsidRPr="00815992">
        <w:rPr>
          <w:rStyle w:val="TextoNormalNegritaCaracter"/>
        </w:rPr>
        <w:t>Disposición adicional quinta, apartado 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Disposición adicional duodécima.</w:t>
      </w:r>
      <w:r w:rsidRPr="00815992">
        <w:rPr>
          <w:rStyle w:val="TextoNormalCaracter"/>
        </w:rPr>
        <w:t>-</w:t>
      </w:r>
      <w:r>
        <w:t xml:space="preserve"> Sentencia </w:t>
      </w:r>
      <w:hyperlink w:anchor="SENTENCIA_1992_13" w:history="1">
        <w:r w:rsidRPr="00815992">
          <w:rPr>
            <w:rStyle w:val="TextoNormalCaracter"/>
          </w:rPr>
          <w:t>13/1992</w:t>
        </w:r>
      </w:hyperlink>
      <w:r>
        <w:t>, f. 15.</w:t>
      </w:r>
    </w:p>
    <w:p w:rsidR="00815992" w:rsidRDefault="00815992" w:rsidP="00815992">
      <w:pPr>
        <w:pStyle w:val="SangriaFrancesaArticulo"/>
      </w:pPr>
      <w:r w:rsidRPr="00815992">
        <w:rPr>
          <w:rStyle w:val="TextoNormalNegritaCaracter"/>
        </w:rPr>
        <w:t>Disposición final primera.</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p>
    <w:p w:rsidR="00815992" w:rsidRDefault="00815992" w:rsidP="00815992">
      <w:pPr>
        <w:pStyle w:val="TextoNormalNegritaCursivandice"/>
      </w:pPr>
      <w:r>
        <w:t>Ley 26/1988, de 29 de julio. Disciplina e intervención de las entidades de crédito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4" w:history="1">
        <w:r w:rsidRPr="00815992">
          <w:rPr>
            <w:rStyle w:val="TextoNormalCaracter"/>
          </w:rPr>
          <w:t>14/1992</w:t>
        </w:r>
      </w:hyperlink>
      <w:r>
        <w:t>, f. 5.</w:t>
      </w:r>
    </w:p>
    <w:p w:rsidR="00815992" w:rsidRDefault="00815992" w:rsidP="00815992">
      <w:pPr>
        <w:pStyle w:val="SangriaFrancesaArticulo"/>
      </w:pPr>
      <w:r w:rsidRPr="00815992">
        <w:rPr>
          <w:rStyle w:val="TextoNormalNegritaCaracter"/>
        </w:rPr>
        <w:t>Preámbulo.</w:t>
      </w:r>
      <w:r w:rsidRPr="00815992">
        <w:rPr>
          <w:rStyle w:val="TextoNormalCaracter"/>
        </w:rPr>
        <w:t>-</w:t>
      </w:r>
      <w:r>
        <w:t xml:space="preserve"> Sentencia </w:t>
      </w:r>
      <w:hyperlink w:anchor="SENTENCIA_1992_14" w:history="1">
        <w:r w:rsidRPr="00815992">
          <w:rPr>
            <w:rStyle w:val="TextoNormalCaracter"/>
          </w:rPr>
          <w:t>14/1992</w:t>
        </w:r>
      </w:hyperlink>
      <w:r>
        <w:t>, f. 5.</w:t>
      </w:r>
    </w:p>
    <w:p w:rsidR="00815992" w:rsidRDefault="00815992" w:rsidP="00815992">
      <w:pPr>
        <w:pStyle w:val="SangriaFrancesaArticulo"/>
      </w:pPr>
    </w:p>
    <w:p w:rsidR="00815992" w:rsidRDefault="00815992" w:rsidP="00815992">
      <w:pPr>
        <w:pStyle w:val="TextoNormalNegritaCursivandice"/>
      </w:pPr>
      <w:r>
        <w:t>Ley 32/1988, de 10 de noviembre. Régimen jurídico de marcas</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r w:rsidRPr="00815992">
        <w:rPr>
          <w:rStyle w:val="TextoNormalNegritaCaracter"/>
        </w:rPr>
        <w:t>Artículo 31.</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p>
    <w:p w:rsidR="00815992" w:rsidRDefault="00815992" w:rsidP="00815992">
      <w:pPr>
        <w:pStyle w:val="TextoNormalNegritaCursivandice"/>
      </w:pPr>
      <w:r>
        <w:t>Ley 35/1988, de 22 de noviembre. Técnicas de reproducción humana asistida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p>
    <w:p w:rsidR="00815992" w:rsidRDefault="00815992" w:rsidP="00815992">
      <w:pPr>
        <w:pStyle w:val="TextoNormalNegritaCursivandice"/>
      </w:pPr>
      <w:r>
        <w:t>Ley 37/1988, de 28 de diciembre. Presupuestos generales del Estado para 1989</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ff. 1, 3, 6, 13.</w:t>
      </w:r>
    </w:p>
    <w:p w:rsidR="00815992" w:rsidRDefault="00815992" w:rsidP="00815992">
      <w:pPr>
        <w:pStyle w:val="SangriaFrancesaArticulo"/>
      </w:pPr>
      <w:r w:rsidRPr="00815992">
        <w:rPr>
          <w:rStyle w:val="TextoNormalNegritaCaracter"/>
        </w:rPr>
        <w:t>Artículo 45.</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p>
    <w:p w:rsidR="00815992" w:rsidRDefault="00815992" w:rsidP="00815992">
      <w:pPr>
        <w:pStyle w:val="TextoNormalNegritaCursivandice"/>
      </w:pPr>
      <w:r>
        <w:t>Ley 38/1988, de 28 de diciembre. Demarcación y planta judicial</w:t>
      </w:r>
    </w:p>
    <w:p w:rsidR="00815992" w:rsidRDefault="00815992" w:rsidP="00815992">
      <w:pPr>
        <w:pStyle w:val="SangriaFrancesaArticulo"/>
      </w:pPr>
      <w:r w:rsidRPr="00815992">
        <w:rPr>
          <w:rStyle w:val="TextoNormalNegritaCaracter"/>
        </w:rPr>
        <w:t>Artículo 36.</w:t>
      </w:r>
      <w:r w:rsidRPr="00815992">
        <w:rPr>
          <w:rStyle w:val="TextoNormalCaracter"/>
        </w:rPr>
        <w:t>-</w:t>
      </w:r>
      <w:r>
        <w:t xml:space="preserve"> Sentencia </w:t>
      </w:r>
      <w:hyperlink w:anchor="SENTENCIA_1992_58" w:history="1">
        <w:r w:rsidRPr="00815992">
          <w:rPr>
            <w:rStyle w:val="TextoNormalCaracter"/>
          </w:rPr>
          <w:t>58/1992</w:t>
        </w:r>
      </w:hyperlink>
      <w:r>
        <w:t>, f. 3.</w:t>
      </w:r>
    </w:p>
    <w:p w:rsidR="00815992" w:rsidRDefault="00815992" w:rsidP="00815992">
      <w:pPr>
        <w:pStyle w:val="SangriaFrancesaArticulo"/>
      </w:pPr>
      <w:r w:rsidRPr="00815992">
        <w:rPr>
          <w:rStyle w:val="TextoNormalNegritaCaracter"/>
        </w:rPr>
        <w:t>Artículo 37.</w:t>
      </w:r>
      <w:r w:rsidRPr="00815992">
        <w:rPr>
          <w:rStyle w:val="TextoNormalCaracter"/>
        </w:rPr>
        <w:t>-</w:t>
      </w:r>
      <w:r>
        <w:t xml:space="preserve"> Sentencia </w:t>
      </w:r>
      <w:hyperlink w:anchor="SENTENCIA_1992_58" w:history="1">
        <w:r w:rsidRPr="00815992">
          <w:rPr>
            <w:rStyle w:val="TextoNormalCaracter"/>
          </w:rPr>
          <w:t>58/1992</w:t>
        </w:r>
      </w:hyperlink>
      <w:r>
        <w:t>, f. 3.</w:t>
      </w:r>
    </w:p>
    <w:p w:rsidR="00815992" w:rsidRDefault="00815992" w:rsidP="00815992">
      <w:pPr>
        <w:pStyle w:val="SangriaFrancesaArticulo"/>
      </w:pPr>
      <w:r w:rsidRPr="00815992">
        <w:rPr>
          <w:rStyle w:val="TextoNormalNegritaCaracter"/>
        </w:rPr>
        <w:t>Artículo 38.</w:t>
      </w:r>
      <w:r w:rsidRPr="00815992">
        <w:rPr>
          <w:rStyle w:val="TextoNormalCaracter"/>
        </w:rPr>
        <w:t>-</w:t>
      </w:r>
      <w:r>
        <w:t xml:space="preserve"> Sentencia </w:t>
      </w:r>
      <w:hyperlink w:anchor="SENTENCIA_1992_58" w:history="1">
        <w:r w:rsidRPr="00815992">
          <w:rPr>
            <w:rStyle w:val="TextoNormalCaracter"/>
          </w:rPr>
          <w:t>58/1992</w:t>
        </w:r>
      </w:hyperlink>
      <w:r>
        <w:t>, f. 3.</w:t>
      </w:r>
    </w:p>
    <w:p w:rsidR="00815992" w:rsidRDefault="00815992" w:rsidP="00815992">
      <w:pPr>
        <w:pStyle w:val="SangriaFrancesaArticulo"/>
      </w:pPr>
    </w:p>
    <w:p w:rsidR="00815992" w:rsidRDefault="00815992" w:rsidP="00815992">
      <w:pPr>
        <w:pStyle w:val="TextoNormalNegritaCursivandice"/>
      </w:pPr>
      <w:r>
        <w:t>Ley 19/1989, de 25 de julio. Reforma parcial y adaptación de la legislación mercantil a las Directivas de la Comunidad Económica Europea en materia de sociedades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4" w:history="1">
        <w:r w:rsidRPr="00815992">
          <w:rPr>
            <w:rStyle w:val="TextoNormalCaracter"/>
          </w:rPr>
          <w:t>14/1992</w:t>
        </w:r>
      </w:hyperlink>
      <w:r>
        <w:t>, f. 2.</w:t>
      </w:r>
    </w:p>
    <w:p w:rsidR="00815992" w:rsidRDefault="00815992" w:rsidP="00815992">
      <w:pPr>
        <w:pStyle w:val="SangriaFrancesaArticulo"/>
      </w:pPr>
    </w:p>
    <w:p w:rsidR="00815992" w:rsidRDefault="00815992" w:rsidP="00815992">
      <w:pPr>
        <w:pStyle w:val="TextoNormalNegritaCursivandice"/>
      </w:pPr>
      <w:r>
        <w:t>Ley 5/1990, de 29 de junio. Medidas en materia presupuestaria, financiera y tributaria</w:t>
      </w:r>
    </w:p>
    <w:p w:rsidR="00815992" w:rsidRDefault="00815992" w:rsidP="00815992">
      <w:pPr>
        <w:pStyle w:val="SangriaFrancesaArticulo"/>
      </w:pPr>
      <w:r w:rsidRPr="00815992">
        <w:rPr>
          <w:rStyle w:val="TextoNormalNegritaCaracter"/>
        </w:rPr>
        <w:t>Disposición adicional undécima.</w:t>
      </w:r>
      <w:r w:rsidRPr="00815992">
        <w:rPr>
          <w:rStyle w:val="TextoNormalCaracter"/>
        </w:rPr>
        <w:t>-</w:t>
      </w:r>
      <w:r>
        <w:t xml:space="preserve"> Sentencia </w:t>
      </w:r>
      <w:hyperlink w:anchor="SENTENCIA_1992_2" w:history="1">
        <w:r w:rsidRPr="00815992">
          <w:rPr>
            <w:rStyle w:val="TextoNormalCaracter"/>
          </w:rPr>
          <w:t>2/1992</w:t>
        </w:r>
      </w:hyperlink>
      <w:r>
        <w:t>, f. 5.</w:t>
      </w:r>
    </w:p>
    <w:p w:rsidR="00815992" w:rsidRDefault="00815992" w:rsidP="00815992">
      <w:pPr>
        <w:pStyle w:val="TextoNormal"/>
      </w:pPr>
    </w:p>
    <w:p w:rsidR="00815992" w:rsidRDefault="00815992" w:rsidP="00815992">
      <w:pPr>
        <w:pStyle w:val="SangriaFrancesaArticulo"/>
      </w:pPr>
      <w:bookmarkStart w:id="195" w:name="INDICE22847"/>
    </w:p>
    <w:bookmarkEnd w:id="195"/>
    <w:p w:rsidR="00815992" w:rsidRDefault="00815992" w:rsidP="00815992">
      <w:pPr>
        <w:pStyle w:val="TextoIndiceNivel2"/>
        <w:suppressAutoHyphens/>
      </w:pPr>
      <w:r>
        <w:t>F) Reales Decretos Legislativos</w:t>
      </w:r>
    </w:p>
    <w:p w:rsidR="00815992" w:rsidRDefault="00815992" w:rsidP="00815992">
      <w:pPr>
        <w:pStyle w:val="TextoIndiceNivel2"/>
      </w:pPr>
    </w:p>
    <w:p w:rsidR="00815992" w:rsidRDefault="00815992" w:rsidP="00815992">
      <w:pPr>
        <w:pStyle w:val="TextoNormalNegritaCursivandice"/>
      </w:pPr>
      <w:r>
        <w:t>Real Decreto Legislativo 1568/1980, de 13 de junio. Texto refundido de la Ley de procedimiento laboral</w:t>
      </w:r>
    </w:p>
    <w:p w:rsidR="00815992" w:rsidRDefault="00815992" w:rsidP="00815992">
      <w:pPr>
        <w:pStyle w:val="SangriaFrancesaArticulo"/>
      </w:pPr>
      <w:r w:rsidRPr="00815992">
        <w:rPr>
          <w:rStyle w:val="TextoNormalNegritaCaracter"/>
        </w:rPr>
        <w:lastRenderedPageBreak/>
        <w:t>Artículo 22.</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102.2.</w:t>
      </w:r>
      <w:r w:rsidRPr="00815992">
        <w:rPr>
          <w:rStyle w:val="TextoNormalCaracter"/>
        </w:rPr>
        <w:t>-</w:t>
      </w:r>
      <w:r>
        <w:t xml:space="preserve"> Sentencia </w:t>
      </w:r>
      <w:hyperlink w:anchor="SENTENCIA_1992_30" w:history="1">
        <w:r w:rsidRPr="00815992">
          <w:rPr>
            <w:rStyle w:val="TextoNormalCaracter"/>
          </w:rPr>
          <w:t>30/1992</w:t>
        </w:r>
      </w:hyperlink>
      <w:r>
        <w:t>, f. 2.</w:t>
      </w:r>
    </w:p>
    <w:p w:rsidR="00815992" w:rsidRDefault="00815992" w:rsidP="00815992">
      <w:pPr>
        <w:pStyle w:val="SangriaFrancesaArticulo"/>
      </w:pPr>
      <w:r w:rsidRPr="00815992">
        <w:rPr>
          <w:rStyle w:val="TextoNormalNegritaCaracter"/>
        </w:rPr>
        <w:t>Artículo 154.2.</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156.</w:t>
      </w:r>
      <w:r w:rsidRPr="00815992">
        <w:rPr>
          <w:rStyle w:val="TextoNormalCaracter"/>
        </w:rPr>
        <w:t>-</w:t>
      </w:r>
      <w:r>
        <w:t xml:space="preserve"> Sentencia </w:t>
      </w:r>
      <w:hyperlink w:anchor="SENTENCIA_1992_49" w:history="1">
        <w:r w:rsidRPr="00815992">
          <w:rPr>
            <w:rStyle w:val="TextoNormalCaracter"/>
          </w:rPr>
          <w:t>49/1992</w:t>
        </w:r>
      </w:hyperlink>
      <w:r>
        <w:t>, f. 6.</w:t>
      </w:r>
    </w:p>
    <w:p w:rsidR="00815992" w:rsidRDefault="00815992" w:rsidP="00815992">
      <w:pPr>
        <w:pStyle w:val="SangriaFrancesaArticulo"/>
      </w:pPr>
      <w:r w:rsidRPr="00815992">
        <w:rPr>
          <w:rStyle w:val="TextoNormalNegritaCaracter"/>
        </w:rPr>
        <w:t>Artículo 157.</w:t>
      </w:r>
      <w:r w:rsidRPr="00815992">
        <w:rPr>
          <w:rStyle w:val="TextoNormalCaracter"/>
        </w:rPr>
        <w:t>-</w:t>
      </w:r>
      <w:r>
        <w:t xml:space="preserve"> Sentencia </w:t>
      </w:r>
      <w:hyperlink w:anchor="SENTENCIA_1992_49" w:history="1">
        <w:r w:rsidRPr="00815992">
          <w:rPr>
            <w:rStyle w:val="TextoNormalCaracter"/>
          </w:rPr>
          <w:t>49/1992</w:t>
        </w:r>
      </w:hyperlink>
      <w:r>
        <w:t>, f. 6.</w:t>
      </w:r>
    </w:p>
    <w:p w:rsidR="00815992" w:rsidRDefault="00815992" w:rsidP="00815992">
      <w:pPr>
        <w:pStyle w:val="SangriaFrancesaArticulo"/>
      </w:pPr>
      <w:r w:rsidRPr="00815992">
        <w:rPr>
          <w:rStyle w:val="TextoNormalNegritaCaracter"/>
        </w:rPr>
        <w:t>Artículo 169.</w:t>
      </w:r>
      <w:r w:rsidRPr="00815992">
        <w:rPr>
          <w:rStyle w:val="TextoNormalCaracter"/>
        </w:rPr>
        <w:t>-</w:t>
      </w:r>
      <w:r>
        <w:t xml:space="preserve"> Sentencia </w:t>
      </w:r>
      <w:hyperlink w:anchor="SENTENCIA_1992_9" w:history="1">
        <w:r w:rsidRPr="00815992">
          <w:rPr>
            <w:rStyle w:val="TextoNormalCaracter"/>
          </w:rPr>
          <w:t>9/1992</w:t>
        </w:r>
      </w:hyperlink>
      <w:r>
        <w:t>, ff. 3, 4.</w:t>
      </w:r>
    </w:p>
    <w:p w:rsidR="00815992" w:rsidRDefault="00815992" w:rsidP="00815992">
      <w:pPr>
        <w:pStyle w:val="SangriaFrancesaArticulo"/>
      </w:pPr>
      <w:r w:rsidRPr="00815992">
        <w:rPr>
          <w:rStyle w:val="TextoNormalNegritaCaracter"/>
        </w:rPr>
        <w:t>Artículo 180.</w:t>
      </w:r>
      <w:r w:rsidRPr="00815992">
        <w:rPr>
          <w:rStyle w:val="TextoNormalCaracter"/>
        </w:rPr>
        <w:t>-</w:t>
      </w:r>
      <w:r>
        <w:t xml:space="preserve"> Sentencia </w:t>
      </w:r>
      <w:hyperlink w:anchor="SENTENCIA_1992_49" w:history="1">
        <w:r w:rsidRPr="00815992">
          <w:rPr>
            <w:rStyle w:val="TextoNormalCaracter"/>
          </w:rPr>
          <w:t>49/1992</w:t>
        </w:r>
      </w:hyperlink>
      <w:r>
        <w:t>, f. 1.</w:t>
      </w:r>
    </w:p>
    <w:p w:rsidR="00815992" w:rsidRDefault="00815992" w:rsidP="00815992">
      <w:pPr>
        <w:pStyle w:val="SangriaFrancesaArticulo"/>
      </w:pPr>
      <w:r w:rsidRPr="00815992">
        <w:rPr>
          <w:rStyle w:val="TextoNormalNegritaCaracter"/>
        </w:rPr>
        <w:t>Artículo 210.</w:t>
      </w:r>
      <w:r w:rsidRPr="00815992">
        <w:rPr>
          <w:rStyle w:val="TextoNormalCaracter"/>
        </w:rPr>
        <w:t>-</w:t>
      </w:r>
      <w:r>
        <w:t xml:space="preserve"> Sentencia </w:t>
      </w:r>
      <w:hyperlink w:anchor="SENTENCIA_1992_61" w:history="1">
        <w:r w:rsidRPr="00815992">
          <w:rPr>
            <w:rStyle w:val="TextoNormalCaracter"/>
          </w:rPr>
          <w:t>61/1992</w:t>
        </w:r>
      </w:hyperlink>
      <w:r>
        <w:t>, f. 3.</w:t>
      </w:r>
    </w:p>
    <w:p w:rsidR="00815992" w:rsidRDefault="00815992" w:rsidP="00815992">
      <w:pPr>
        <w:pStyle w:val="SangriaFrancesaArticulo"/>
      </w:pPr>
      <w:r w:rsidRPr="00815992">
        <w:rPr>
          <w:rStyle w:val="TextoNormalNegritaCaracter"/>
        </w:rPr>
        <w:t>Artículo 211.</w:t>
      </w:r>
      <w:r w:rsidRPr="00815992">
        <w:rPr>
          <w:rStyle w:val="TextoNormalCaracter"/>
        </w:rPr>
        <w:t>-</w:t>
      </w:r>
      <w:r>
        <w:t xml:space="preserve"> Sentencia </w:t>
      </w:r>
      <w:hyperlink w:anchor="SENTENCIA_1992_61" w:history="1">
        <w:r w:rsidRPr="00815992">
          <w:rPr>
            <w:rStyle w:val="TextoNormalCaracter"/>
          </w:rPr>
          <w:t>61/1992</w:t>
        </w:r>
      </w:hyperlink>
      <w:r>
        <w:t>, f. 4.</w:t>
      </w:r>
    </w:p>
    <w:p w:rsidR="00815992" w:rsidRDefault="00815992" w:rsidP="00815992">
      <w:pPr>
        <w:pStyle w:val="SangriaFrancesaArticulo"/>
      </w:pPr>
    </w:p>
    <w:p w:rsidR="00815992" w:rsidRDefault="00815992" w:rsidP="00815992">
      <w:pPr>
        <w:pStyle w:val="TextoNormalNegritaCursivandice"/>
      </w:pPr>
      <w:r>
        <w:t>Real Decreto Legislativo 1301/1986, de 28 de junio. Adaptación de la Ley de Uso y Circulación de Vehículos de Motor al ordenamiento jurídico comunitario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9" w:history="1">
        <w:r w:rsidRPr="00815992">
          <w:rPr>
            <w:rStyle w:val="TextoNormalCaracter"/>
          </w:rPr>
          <w:t>19/1992</w:t>
        </w:r>
      </w:hyperlink>
      <w:r>
        <w:t>, f. 5.</w:t>
      </w:r>
    </w:p>
    <w:p w:rsidR="00815992" w:rsidRDefault="00815992" w:rsidP="00815992">
      <w:pPr>
        <w:pStyle w:val="SangriaFrancesaArticulo"/>
      </w:pPr>
    </w:p>
    <w:p w:rsidR="00815992" w:rsidRDefault="00815992" w:rsidP="00815992">
      <w:pPr>
        <w:pStyle w:val="TextoNormalNegritaCursivandice"/>
      </w:pPr>
      <w:r>
        <w:t>Real Decreto Legislativo 1091/1988, de 23 de septiembre. Texto refundido de  la Ley general presupuestaria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Preámbulo.</w:t>
      </w:r>
      <w:r w:rsidRPr="00815992">
        <w:rPr>
          <w:rStyle w:val="TextoNormalCaracter"/>
        </w:rPr>
        <w:t>-</w:t>
      </w:r>
      <w:r>
        <w:t xml:space="preserve"> Sentencia </w:t>
      </w:r>
      <w:hyperlink w:anchor="SENTENCIA_1992_13" w:history="1">
        <w:r w:rsidRPr="00815992">
          <w:rPr>
            <w:rStyle w:val="TextoNormalCaracter"/>
          </w:rPr>
          <w:t>13/1992</w:t>
        </w:r>
      </w:hyperlink>
      <w:r>
        <w:t>, f. 16.</w:t>
      </w:r>
    </w:p>
    <w:p w:rsidR="00815992" w:rsidRDefault="00815992" w:rsidP="00815992">
      <w:pPr>
        <w:pStyle w:val="SangriaFrancesaArticulo"/>
      </w:pPr>
      <w:r w:rsidRPr="00815992">
        <w:rPr>
          <w:rStyle w:val="TextoNormalNegritaCaracter"/>
        </w:rPr>
        <w:t>Artículo 42.</w:t>
      </w:r>
      <w:r w:rsidRPr="00815992">
        <w:rPr>
          <w:rStyle w:val="TextoNormalCaracter"/>
        </w:rPr>
        <w:t>-</w:t>
      </w:r>
      <w:r>
        <w:t xml:space="preserve"> Sentencia </w:t>
      </w:r>
      <w:hyperlink w:anchor="SENTENCIA_1992_13" w:history="1">
        <w:r w:rsidRPr="00815992">
          <w:rPr>
            <w:rStyle w:val="TextoNormalCaracter"/>
          </w:rPr>
          <w:t>13/1992</w:t>
        </w:r>
      </w:hyperlink>
      <w:r>
        <w:t>, f. 5.</w:t>
      </w:r>
    </w:p>
    <w:p w:rsidR="00815992" w:rsidRDefault="00815992" w:rsidP="00815992">
      <w:pPr>
        <w:pStyle w:val="SangriaFrancesaArticulo"/>
      </w:pPr>
      <w:r w:rsidRPr="00815992">
        <w:rPr>
          <w:rStyle w:val="TextoNormalNegritaCaracter"/>
        </w:rPr>
        <w:t>Artículo 59.1.</w:t>
      </w:r>
      <w:r w:rsidRPr="00815992">
        <w:rPr>
          <w:rStyle w:val="TextoNormalCaracter"/>
        </w:rPr>
        <w:t>-</w:t>
      </w:r>
      <w:r>
        <w:t xml:space="preserve"> Sentencia </w:t>
      </w:r>
      <w:hyperlink w:anchor="SENTENCIA_1992_13" w:history="1">
        <w:r w:rsidRPr="00815992">
          <w:rPr>
            <w:rStyle w:val="TextoNormalCaracter"/>
          </w:rPr>
          <w:t>13/1992</w:t>
        </w:r>
      </w:hyperlink>
      <w:r>
        <w:t>, f. 5.</w:t>
      </w:r>
    </w:p>
    <w:p w:rsidR="00815992" w:rsidRDefault="00815992" w:rsidP="00815992">
      <w:pPr>
        <w:pStyle w:val="SangriaFrancesaArticulo"/>
      </w:pPr>
      <w:r w:rsidRPr="00815992">
        <w:rPr>
          <w:rStyle w:val="TextoNormalNegritaCaracter"/>
        </w:rPr>
        <w:t>Artículo 60.</w:t>
      </w:r>
      <w:r w:rsidRPr="00815992">
        <w:rPr>
          <w:rStyle w:val="TextoNormalCaracter"/>
        </w:rPr>
        <w:t>-</w:t>
      </w:r>
      <w:r>
        <w:t xml:space="preserve"> Sentencia </w:t>
      </w:r>
      <w:hyperlink w:anchor="SENTENCIA_1992_13" w:history="1">
        <w:r w:rsidRPr="00815992">
          <w:rPr>
            <w:rStyle w:val="TextoNormalCaracter"/>
          </w:rPr>
          <w:t>13/1992</w:t>
        </w:r>
      </w:hyperlink>
      <w:r>
        <w:t>, f. 5.</w:t>
      </w:r>
    </w:p>
    <w:p w:rsidR="00815992" w:rsidRDefault="00815992" w:rsidP="00815992">
      <w:pPr>
        <w:pStyle w:val="SangriaFrancesaArticulo"/>
      </w:pPr>
      <w:r w:rsidRPr="00815992">
        <w:rPr>
          <w:rStyle w:val="TextoNormalNegritaCaracter"/>
        </w:rPr>
        <w:t>Artículo 63.1.</w:t>
      </w:r>
      <w:r w:rsidRPr="00815992">
        <w:rPr>
          <w:rStyle w:val="TextoNormalCaracter"/>
        </w:rPr>
        <w:t>-</w:t>
      </w:r>
      <w:r>
        <w:t xml:space="preserve"> Sentencia </w:t>
      </w:r>
      <w:hyperlink w:anchor="SENTENCIA_1992_13" w:history="1">
        <w:r w:rsidRPr="00815992">
          <w:rPr>
            <w:rStyle w:val="TextoNormalCaracter"/>
          </w:rPr>
          <w:t>13/1992</w:t>
        </w:r>
      </w:hyperlink>
      <w:r>
        <w:t>, f. 5.</w:t>
      </w:r>
    </w:p>
    <w:p w:rsidR="00815992" w:rsidRDefault="00815992" w:rsidP="00815992">
      <w:pPr>
        <w:pStyle w:val="SangriaFrancesaArticulo"/>
      </w:pPr>
      <w:r w:rsidRPr="00815992">
        <w:rPr>
          <w:rStyle w:val="TextoNormalNegritaCaracter"/>
        </w:rPr>
        <w:t>Artículo 153.</w:t>
      </w:r>
      <w:r w:rsidRPr="00815992">
        <w:rPr>
          <w:rStyle w:val="TextoNormalCaracter"/>
        </w:rPr>
        <w:t>-</w:t>
      </w:r>
      <w:r>
        <w:t xml:space="preserve"> Sentencia </w:t>
      </w:r>
      <w:hyperlink w:anchor="SENTENCIA_1992_13" w:history="1">
        <w:r w:rsidRPr="00815992">
          <w:rPr>
            <w:rStyle w:val="TextoNormalCaracter"/>
          </w:rPr>
          <w:t>13/1992</w:t>
        </w:r>
      </w:hyperlink>
      <w:r>
        <w:t>, ff. 1, 9, 13, 15.</w:t>
      </w:r>
    </w:p>
    <w:p w:rsidR="00815992" w:rsidRDefault="00815992" w:rsidP="00815992">
      <w:pPr>
        <w:pStyle w:val="SangriaFrancesaArticulo"/>
      </w:pPr>
    </w:p>
    <w:p w:rsidR="00815992" w:rsidRDefault="00815992" w:rsidP="00815992">
      <w:pPr>
        <w:pStyle w:val="TextoNormalNegritaCursivandice"/>
      </w:pPr>
      <w:r>
        <w:t>Real Decreto Legislativo 339/1990, de 2 de marzo. Texto articulado de la Ley de bases sobre tráfico, circulación de vehículos a motor y seguridad vial</w:t>
      </w:r>
    </w:p>
    <w:p w:rsidR="00815992" w:rsidRDefault="00815992" w:rsidP="00815992">
      <w:pPr>
        <w:pStyle w:val="SangriaFrancesaArticulo"/>
      </w:pPr>
      <w:r w:rsidRPr="00815992">
        <w:rPr>
          <w:rStyle w:val="TextoNormalNegritaCaracter"/>
        </w:rPr>
        <w:t>Artículo 71.1.</w:t>
      </w:r>
      <w:r w:rsidRPr="00815992">
        <w:rPr>
          <w:rStyle w:val="TextoNormalCaracter"/>
        </w:rPr>
        <w:t>-</w:t>
      </w:r>
      <w:r>
        <w:t xml:space="preserve"> Auto </w:t>
      </w:r>
      <w:hyperlink w:anchor="AUTO_1992_105" w:history="1">
        <w:r w:rsidRPr="00815992">
          <w:rPr>
            <w:rStyle w:val="TextoNormalCaracter"/>
          </w:rPr>
          <w:t>105/1992</w:t>
        </w:r>
      </w:hyperlink>
      <w:r>
        <w:t>.</w:t>
      </w:r>
    </w:p>
    <w:p w:rsidR="00815992" w:rsidRDefault="00815992" w:rsidP="00815992">
      <w:pPr>
        <w:pStyle w:val="SangriaFrancesaArticulo"/>
      </w:pPr>
      <w:r w:rsidRPr="00815992">
        <w:rPr>
          <w:rStyle w:val="TextoNormalNegritaCaracter"/>
        </w:rPr>
        <w:t>Artículo 71.1 a).</w:t>
      </w:r>
      <w:r w:rsidRPr="00815992">
        <w:rPr>
          <w:rStyle w:val="TextoNormalCaracter"/>
        </w:rPr>
        <w:t>-</w:t>
      </w:r>
      <w:r>
        <w:t xml:space="preserve"> Auto </w:t>
      </w:r>
      <w:hyperlink w:anchor="AUTO_1992_105" w:history="1">
        <w:r w:rsidRPr="00815992">
          <w:rPr>
            <w:rStyle w:val="TextoNormalCaracter"/>
          </w:rPr>
          <w:t>105/1992</w:t>
        </w:r>
      </w:hyperlink>
      <w:r>
        <w:t>.</w:t>
      </w:r>
    </w:p>
    <w:p w:rsidR="00815992" w:rsidRDefault="00815992" w:rsidP="00815992">
      <w:pPr>
        <w:pStyle w:val="SangriaFrancesaArticulo"/>
      </w:pPr>
      <w:r w:rsidRPr="00815992">
        <w:rPr>
          <w:rStyle w:val="TextoNormalNegritaCaracter"/>
        </w:rPr>
        <w:t>Artículo 71.2.</w:t>
      </w:r>
      <w:r w:rsidRPr="00815992">
        <w:rPr>
          <w:rStyle w:val="TextoNormalCaracter"/>
        </w:rPr>
        <w:t>-</w:t>
      </w:r>
      <w:r>
        <w:t xml:space="preserve"> Auto </w:t>
      </w:r>
      <w:hyperlink w:anchor="AUTO_1992_105" w:history="1">
        <w:r w:rsidRPr="00815992">
          <w:rPr>
            <w:rStyle w:val="TextoNormalCaracter"/>
          </w:rPr>
          <w:t>105/1992</w:t>
        </w:r>
      </w:hyperlink>
      <w:r>
        <w:t>.</w:t>
      </w:r>
    </w:p>
    <w:p w:rsidR="00815992" w:rsidRDefault="00815992" w:rsidP="00815992">
      <w:pPr>
        <w:pStyle w:val="SangriaFrancesaArticulo"/>
      </w:pPr>
    </w:p>
    <w:p w:rsidR="00815992" w:rsidRDefault="00815992" w:rsidP="00815992">
      <w:pPr>
        <w:pStyle w:val="TextoNormalNegritaCursivandice"/>
      </w:pPr>
      <w:r>
        <w:t>Real Decreto Legislativo 521/1990, de 27 de abril. Texto articulado de la  Ley de procedimiento laboral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21" w:history="1">
        <w:r w:rsidRPr="00815992">
          <w:rPr>
            <w:rStyle w:val="TextoNormalCaracter"/>
          </w:rPr>
          <w:t>21/1992</w:t>
        </w:r>
      </w:hyperlink>
      <w:r>
        <w:t xml:space="preserve">, f. 3; </w:t>
      </w:r>
      <w:hyperlink w:anchor="SENTENCIA_1992_58" w:history="1">
        <w:r w:rsidRPr="00815992">
          <w:rPr>
            <w:rStyle w:val="TextoNormalCaracter"/>
          </w:rPr>
          <w:t>58/1992</w:t>
        </w:r>
      </w:hyperlink>
      <w:r>
        <w:t>, f. 4.</w:t>
      </w:r>
    </w:p>
    <w:p w:rsidR="00815992" w:rsidRDefault="00815992" w:rsidP="00815992">
      <w:pPr>
        <w:pStyle w:val="SangriaIzquierdaArticulo"/>
      </w:pPr>
      <w:r>
        <w:t xml:space="preserve">Auto </w:t>
      </w:r>
      <w:hyperlink w:anchor="AUTO_1992_55" w:history="1">
        <w:r w:rsidRPr="00815992">
          <w:rPr>
            <w:rStyle w:val="TextoNormalCaracter"/>
          </w:rPr>
          <w:t>55/1992</w:t>
        </w:r>
      </w:hyperlink>
      <w:r>
        <w:t>.</w:t>
      </w:r>
    </w:p>
    <w:p w:rsidR="00815992" w:rsidRDefault="00815992" w:rsidP="00815992">
      <w:pPr>
        <w:pStyle w:val="SangriaFrancesaArticulo"/>
      </w:pPr>
      <w:r w:rsidRPr="00815992">
        <w:rPr>
          <w:rStyle w:val="TextoNormalNegritaCaracter"/>
        </w:rPr>
        <w:t>Artículo 45.</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45.1.</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83.</w:t>
      </w:r>
      <w:r w:rsidRPr="00815992">
        <w:rPr>
          <w:rStyle w:val="TextoNormalCaracter"/>
        </w:rPr>
        <w:t>-</w:t>
      </w:r>
      <w:r>
        <w:t xml:space="preserve"> Sentencia </w:t>
      </w:r>
      <w:hyperlink w:anchor="SENTENCIA_1992_14" w:history="1">
        <w:r w:rsidRPr="00815992">
          <w:rPr>
            <w:rStyle w:val="TextoNormalCaracter"/>
          </w:rPr>
          <w:t>14/1992</w:t>
        </w:r>
      </w:hyperlink>
      <w:r>
        <w:t>, f. 4.</w:t>
      </w:r>
    </w:p>
    <w:p w:rsidR="00815992" w:rsidRDefault="00815992" w:rsidP="00815992">
      <w:pPr>
        <w:pStyle w:val="SangriaFrancesaArticulo"/>
      </w:pPr>
      <w:r w:rsidRPr="00815992">
        <w:rPr>
          <w:rStyle w:val="TextoNormalNegritaCaracter"/>
        </w:rPr>
        <w:t>Artículo 87.1.</w:t>
      </w:r>
      <w:r w:rsidRPr="00815992">
        <w:rPr>
          <w:rStyle w:val="TextoNormalCaracter"/>
        </w:rPr>
        <w:t>-</w:t>
      </w:r>
      <w:r>
        <w:t xml:space="preserve"> Sentencia </w:t>
      </w:r>
      <w:hyperlink w:anchor="SENTENCIA_1992_14" w:history="1">
        <w:r w:rsidRPr="00815992">
          <w:rPr>
            <w:rStyle w:val="TextoNormalCaracter"/>
          </w:rPr>
          <w:t>14/1992</w:t>
        </w:r>
      </w:hyperlink>
      <w:r>
        <w:t>, f. 4.</w:t>
      </w:r>
    </w:p>
    <w:p w:rsidR="00815992" w:rsidRDefault="00815992" w:rsidP="00815992">
      <w:pPr>
        <w:pStyle w:val="SangriaFrancesaArticulo"/>
      </w:pPr>
      <w:r w:rsidRPr="00815992">
        <w:rPr>
          <w:rStyle w:val="TextoNormalNegritaCaracter"/>
        </w:rPr>
        <w:t>Artículo 87.5.</w:t>
      </w:r>
      <w:r w:rsidRPr="00815992">
        <w:rPr>
          <w:rStyle w:val="TextoNormalCaracter"/>
        </w:rPr>
        <w:t>-</w:t>
      </w:r>
      <w:r>
        <w:t xml:space="preserve"> Auto </w:t>
      </w:r>
      <w:hyperlink w:anchor="AUTO_1992_108" w:history="1">
        <w:r w:rsidRPr="00815992">
          <w:rPr>
            <w:rStyle w:val="TextoNormalCaracter"/>
          </w:rPr>
          <w:t>108/1992</w:t>
        </w:r>
      </w:hyperlink>
      <w:r>
        <w:t>.</w:t>
      </w:r>
    </w:p>
    <w:p w:rsidR="00815992" w:rsidRDefault="00815992" w:rsidP="00815992">
      <w:pPr>
        <w:pStyle w:val="SangriaFrancesaArticulo"/>
      </w:pPr>
      <w:r w:rsidRPr="00815992">
        <w:rPr>
          <w:rStyle w:val="TextoNormalNegritaCaracter"/>
        </w:rPr>
        <w:t>Artículo 88.2.</w:t>
      </w:r>
      <w:r w:rsidRPr="00815992">
        <w:rPr>
          <w:rStyle w:val="TextoNormalCaracter"/>
        </w:rPr>
        <w:t>-</w:t>
      </w:r>
      <w:r>
        <w:t xml:space="preserve"> Sentencia </w:t>
      </w:r>
      <w:hyperlink w:anchor="SENTENCIA_1992_14" w:history="1">
        <w:r w:rsidRPr="00815992">
          <w:rPr>
            <w:rStyle w:val="TextoNormalCaracter"/>
          </w:rPr>
          <w:t>14/1992</w:t>
        </w:r>
      </w:hyperlink>
      <w:r>
        <w:t>, f. 4.</w:t>
      </w:r>
    </w:p>
    <w:p w:rsidR="00815992" w:rsidRDefault="00815992" w:rsidP="00815992">
      <w:pPr>
        <w:pStyle w:val="SangriaFrancesaArticulo"/>
      </w:pPr>
      <w:r w:rsidRPr="00815992">
        <w:rPr>
          <w:rStyle w:val="TextoNormalNegritaCaracter"/>
        </w:rPr>
        <w:t>Artículo 96.</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103.</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105.1.</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IzquierdaArticulo"/>
      </w:pPr>
      <w:r>
        <w:t xml:space="preserve">Auto </w:t>
      </w:r>
      <w:hyperlink w:anchor="AUTO_1992_108" w:history="1">
        <w:r w:rsidRPr="00815992">
          <w:rPr>
            <w:rStyle w:val="TextoNormalCaracter"/>
          </w:rPr>
          <w:t>108/1992</w:t>
        </w:r>
      </w:hyperlink>
      <w:r>
        <w:t>.</w:t>
      </w:r>
    </w:p>
    <w:p w:rsidR="00815992" w:rsidRDefault="00815992" w:rsidP="00815992">
      <w:pPr>
        <w:pStyle w:val="SangriaFrancesaArticulo"/>
      </w:pPr>
      <w:r w:rsidRPr="00815992">
        <w:rPr>
          <w:rStyle w:val="TextoNormalNegritaCaracter"/>
        </w:rPr>
        <w:t>Artículo 105.2.</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108.2 a).</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108.2 b).</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108.2 c).</w:t>
      </w:r>
      <w:r w:rsidRPr="00815992">
        <w:rPr>
          <w:rStyle w:val="TextoNormalCaracter"/>
        </w:rPr>
        <w:t>-</w:t>
      </w:r>
      <w:r>
        <w:t xml:space="preserve"> Sentencias </w:t>
      </w:r>
      <w:hyperlink w:anchor="SENTENCIA_1992_21" w:history="1">
        <w:r w:rsidRPr="00815992">
          <w:rPr>
            <w:rStyle w:val="TextoNormalCaracter"/>
          </w:rPr>
          <w:t>21/1992</w:t>
        </w:r>
      </w:hyperlink>
      <w:r>
        <w:t xml:space="preserve">, f. 3; </w:t>
      </w:r>
      <w:hyperlink w:anchor="SENTENCIA_1992_30" w:history="1">
        <w:r w:rsidRPr="00815992">
          <w:rPr>
            <w:rStyle w:val="TextoNormalCaracter"/>
          </w:rPr>
          <w:t>30/1992</w:t>
        </w:r>
      </w:hyperlink>
      <w:r>
        <w:t>, f. 6.</w:t>
      </w:r>
    </w:p>
    <w:p w:rsidR="00815992" w:rsidRDefault="00815992" w:rsidP="00815992">
      <w:pPr>
        <w:pStyle w:val="SangriaFrancesaArticulo"/>
      </w:pPr>
      <w:r w:rsidRPr="00815992">
        <w:rPr>
          <w:rStyle w:val="TextoNormalNegritaCaracter"/>
        </w:rPr>
        <w:lastRenderedPageBreak/>
        <w:t>Artículo 110.1.</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113.1.</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113.2.</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174.</w:t>
      </w:r>
      <w:r w:rsidRPr="00815992">
        <w:rPr>
          <w:rStyle w:val="TextoNormalCaracter"/>
        </w:rPr>
        <w:t>-</w:t>
      </w:r>
      <w:r>
        <w:t xml:space="preserve"> Sentencia </w:t>
      </w:r>
      <w:hyperlink w:anchor="SENTENCIA_1992_30" w:history="1">
        <w:r w:rsidRPr="00815992">
          <w:rPr>
            <w:rStyle w:val="TextoNormalCaracter"/>
          </w:rPr>
          <w:t>30/1992</w:t>
        </w:r>
      </w:hyperlink>
      <w:r>
        <w:t>, f. 6.</w:t>
      </w:r>
    </w:p>
    <w:p w:rsidR="00815992" w:rsidRDefault="00815992" w:rsidP="00815992">
      <w:pPr>
        <w:pStyle w:val="SangriaFrancesaArticulo"/>
      </w:pPr>
      <w:r w:rsidRPr="00815992">
        <w:rPr>
          <w:rStyle w:val="TextoNormalNegritaCaracter"/>
        </w:rPr>
        <w:t>Artículo 178.2.</w:t>
      </w:r>
      <w:r w:rsidRPr="00815992">
        <w:rPr>
          <w:rStyle w:val="TextoNormalCaracter"/>
        </w:rPr>
        <w:t>-</w:t>
      </w:r>
      <w:r>
        <w:t xml:space="preserve"> Sentencia </w:t>
      </w:r>
      <w:hyperlink w:anchor="SENTENCIA_1992_21" w:history="1">
        <w:r w:rsidRPr="00815992">
          <w:rPr>
            <w:rStyle w:val="TextoNormalCaracter"/>
          </w:rPr>
          <w:t>21/1992</w:t>
        </w:r>
      </w:hyperlink>
      <w:r>
        <w:t>, f. 3.</w:t>
      </w:r>
    </w:p>
    <w:p w:rsidR="00815992" w:rsidRDefault="00815992" w:rsidP="00815992">
      <w:pPr>
        <w:pStyle w:val="SangriaFrancesaArticulo"/>
      </w:pPr>
      <w:r w:rsidRPr="00815992">
        <w:rPr>
          <w:rStyle w:val="TextoNormalNegritaCaracter"/>
        </w:rPr>
        <w:t>Artículo 183.</w:t>
      </w:r>
      <w:r w:rsidRPr="00815992">
        <w:rPr>
          <w:rStyle w:val="TextoNormalCaracter"/>
        </w:rPr>
        <w:t>-</w:t>
      </w:r>
      <w:r>
        <w:t xml:space="preserve"> Auto </w:t>
      </w:r>
      <w:hyperlink w:anchor="AUTO_1992_89" w:history="1">
        <w:r w:rsidRPr="00815992">
          <w:rPr>
            <w:rStyle w:val="TextoNormalCaracter"/>
          </w:rPr>
          <w:t>89/1992</w:t>
        </w:r>
      </w:hyperlink>
      <w:r>
        <w:t>.</w:t>
      </w:r>
    </w:p>
    <w:p w:rsidR="00815992" w:rsidRDefault="00815992" w:rsidP="00815992">
      <w:pPr>
        <w:pStyle w:val="SangriaFrancesaArticulo"/>
      </w:pPr>
      <w:r w:rsidRPr="00815992">
        <w:rPr>
          <w:rStyle w:val="TextoNormalNegritaCaracter"/>
        </w:rPr>
        <w:t>Artículo 192.1.</w:t>
      </w:r>
      <w:r w:rsidRPr="00815992">
        <w:rPr>
          <w:rStyle w:val="TextoNormalCaracter"/>
        </w:rPr>
        <w:t>-</w:t>
      </w:r>
      <w:r>
        <w:t xml:space="preserve"> Auto </w:t>
      </w:r>
      <w:hyperlink w:anchor="AUTO_1992_73" w:history="1">
        <w:r w:rsidRPr="00815992">
          <w:rPr>
            <w:rStyle w:val="TextoNormalCaracter"/>
          </w:rPr>
          <w:t>73/1992</w:t>
        </w:r>
      </w:hyperlink>
      <w:r>
        <w:t>.</w:t>
      </w:r>
    </w:p>
    <w:p w:rsidR="00815992" w:rsidRDefault="00815992" w:rsidP="00815992">
      <w:pPr>
        <w:pStyle w:val="SangriaFrancesaArticulo"/>
      </w:pPr>
      <w:r w:rsidRPr="00815992">
        <w:rPr>
          <w:rStyle w:val="TextoNormalNegritaCaracter"/>
        </w:rPr>
        <w:t>Artículo 192.2.</w:t>
      </w:r>
      <w:r w:rsidRPr="00815992">
        <w:rPr>
          <w:rStyle w:val="TextoNormalCaracter"/>
        </w:rPr>
        <w:t>-</w:t>
      </w:r>
      <w:r>
        <w:t xml:space="preserve"> Auto </w:t>
      </w:r>
      <w:hyperlink w:anchor="AUTO_1992_55" w:history="1">
        <w:r w:rsidRPr="00815992">
          <w:rPr>
            <w:rStyle w:val="TextoNormalCaracter"/>
          </w:rPr>
          <w:t>55/1992</w:t>
        </w:r>
      </w:hyperlink>
      <w:r>
        <w:t>.</w:t>
      </w:r>
    </w:p>
    <w:p w:rsidR="00815992" w:rsidRDefault="00815992" w:rsidP="00815992">
      <w:pPr>
        <w:pStyle w:val="SangriaFrancesaArticulo"/>
      </w:pPr>
      <w:r w:rsidRPr="00815992">
        <w:rPr>
          <w:rStyle w:val="TextoNormalNegritaCaracter"/>
        </w:rPr>
        <w:t>Artículo 192.3.</w:t>
      </w:r>
      <w:r w:rsidRPr="00815992">
        <w:rPr>
          <w:rStyle w:val="TextoNormalCaracter"/>
        </w:rPr>
        <w:t>-</w:t>
      </w:r>
      <w:r>
        <w:t xml:space="preserve"> Auto </w:t>
      </w:r>
      <w:hyperlink w:anchor="AUTO_1992_55" w:history="1">
        <w:r w:rsidRPr="00815992">
          <w:rPr>
            <w:rStyle w:val="TextoNormalCaracter"/>
          </w:rPr>
          <w:t>55/1992</w:t>
        </w:r>
      </w:hyperlink>
      <w:r>
        <w:t>.</w:t>
      </w:r>
    </w:p>
    <w:p w:rsidR="00815992" w:rsidRDefault="00815992" w:rsidP="00815992">
      <w:pPr>
        <w:pStyle w:val="SangriaFrancesaArticulo"/>
      </w:pPr>
      <w:r w:rsidRPr="00815992">
        <w:rPr>
          <w:rStyle w:val="TextoNormalNegritaCaracter"/>
        </w:rPr>
        <w:t>Artículo 216.</w:t>
      </w:r>
      <w:r w:rsidRPr="00815992">
        <w:rPr>
          <w:rStyle w:val="TextoNormalCaracter"/>
        </w:rPr>
        <w:t>-</w:t>
      </w:r>
      <w:r>
        <w:t xml:space="preserve"> Auto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220.2.</w:t>
      </w:r>
      <w:r w:rsidRPr="00815992">
        <w:rPr>
          <w:rStyle w:val="TextoNormalCaracter"/>
        </w:rPr>
        <w:t>-</w:t>
      </w:r>
      <w:r>
        <w:t xml:space="preserve"> Auto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221.</w:t>
      </w:r>
      <w:r w:rsidRPr="00815992">
        <w:rPr>
          <w:rStyle w:val="TextoNormalCaracter"/>
        </w:rPr>
        <w:t>-</w:t>
      </w:r>
      <w:r>
        <w:t xml:space="preserve"> Auto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223.</w:t>
      </w:r>
      <w:r w:rsidRPr="00815992">
        <w:rPr>
          <w:rStyle w:val="TextoNormalCaracter"/>
        </w:rPr>
        <w:t>-</w:t>
      </w:r>
      <w:r>
        <w:t xml:space="preserve"> Auto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225.</w:t>
      </w:r>
      <w:r w:rsidRPr="00815992">
        <w:rPr>
          <w:rStyle w:val="TextoNormalCaracter"/>
        </w:rPr>
        <w:t>-</w:t>
      </w:r>
      <w:r>
        <w:t xml:space="preserve"> Auto </w:t>
      </w:r>
      <w:hyperlink w:anchor="AUTO_1992_93" w:history="1">
        <w:r w:rsidRPr="00815992">
          <w:rPr>
            <w:rStyle w:val="TextoNormalCaracter"/>
          </w:rPr>
          <w:t>93/1992</w:t>
        </w:r>
      </w:hyperlink>
      <w:r>
        <w:t>.</w:t>
      </w:r>
    </w:p>
    <w:p w:rsidR="00815992" w:rsidRDefault="00815992" w:rsidP="00815992">
      <w:pPr>
        <w:pStyle w:val="SangriaFrancesaArticulo"/>
      </w:pPr>
      <w:r w:rsidRPr="00815992">
        <w:rPr>
          <w:rStyle w:val="TextoNormalNegritaCaracter"/>
        </w:rPr>
        <w:t>Artículo 227.</w:t>
      </w:r>
      <w:r w:rsidRPr="00815992">
        <w:rPr>
          <w:rStyle w:val="TextoNormalCaracter"/>
        </w:rPr>
        <w:t>-</w:t>
      </w:r>
      <w:r>
        <w:t xml:space="preserve"> Auto </w:t>
      </w:r>
      <w:hyperlink w:anchor="AUTO_1992_55" w:history="1">
        <w:r w:rsidRPr="00815992">
          <w:rPr>
            <w:rStyle w:val="TextoNormalCaracter"/>
          </w:rPr>
          <w:t>55/1992</w:t>
        </w:r>
      </w:hyperlink>
      <w:r>
        <w:t>.</w:t>
      </w:r>
    </w:p>
    <w:p w:rsidR="00815992" w:rsidRDefault="00815992" w:rsidP="00815992">
      <w:pPr>
        <w:pStyle w:val="SangriaFrancesaArticulo"/>
      </w:pPr>
      <w:r w:rsidRPr="00815992">
        <w:rPr>
          <w:rStyle w:val="TextoNormalNegritaCaracter"/>
        </w:rPr>
        <w:t>Artículo 236.</w:t>
      </w:r>
      <w:r w:rsidRPr="00815992">
        <w:rPr>
          <w:rStyle w:val="TextoNormalCaracter"/>
        </w:rPr>
        <w:t>-</w:t>
      </w:r>
      <w:r>
        <w:t xml:space="preserve"> Auto </w:t>
      </w:r>
      <w:hyperlink w:anchor="AUTO_1992_37" w:history="1">
        <w:r w:rsidRPr="00815992">
          <w:rPr>
            <w:rStyle w:val="TextoNormalCaracter"/>
          </w:rPr>
          <w:t>37/1992</w:t>
        </w:r>
      </w:hyperlink>
      <w:r>
        <w:t>.</w:t>
      </w:r>
    </w:p>
    <w:p w:rsidR="00815992" w:rsidRDefault="00815992" w:rsidP="00815992">
      <w:pPr>
        <w:pStyle w:val="SangriaFrancesaArticulo"/>
      </w:pPr>
      <w:r w:rsidRPr="00815992">
        <w:rPr>
          <w:rStyle w:val="TextoNormalNegritaCaracter"/>
        </w:rPr>
        <w:t>Artículo 241.</w:t>
      </w:r>
      <w:r w:rsidRPr="00815992">
        <w:rPr>
          <w:rStyle w:val="TextoNormalCaracter"/>
        </w:rPr>
        <w:t>-</w:t>
      </w:r>
      <w:r>
        <w:t xml:space="preserve"> Auto </w:t>
      </w:r>
      <w:hyperlink w:anchor="AUTO_1992_37" w:history="1">
        <w:r w:rsidRPr="00815992">
          <w:rPr>
            <w:rStyle w:val="TextoNormalCaracter"/>
          </w:rPr>
          <w:t>37/1992</w:t>
        </w:r>
      </w:hyperlink>
      <w:r>
        <w:t>.</w:t>
      </w:r>
    </w:p>
    <w:p w:rsidR="00815992" w:rsidRDefault="00815992" w:rsidP="00815992">
      <w:pPr>
        <w:pStyle w:val="TextoNormal"/>
      </w:pPr>
    </w:p>
    <w:p w:rsidR="00815992" w:rsidRDefault="00815992" w:rsidP="00815992">
      <w:pPr>
        <w:pStyle w:val="SangriaFrancesaArticulo"/>
      </w:pPr>
      <w:bookmarkStart w:id="196" w:name="INDICE22848"/>
    </w:p>
    <w:bookmarkEnd w:id="196"/>
    <w:p w:rsidR="00815992" w:rsidRDefault="00815992" w:rsidP="00815992">
      <w:pPr>
        <w:pStyle w:val="TextoIndiceNivel2"/>
        <w:suppressAutoHyphens/>
      </w:pPr>
      <w:r>
        <w:t>G) Reales Decretos-leyes</w:t>
      </w:r>
    </w:p>
    <w:p w:rsidR="00815992" w:rsidRDefault="00815992" w:rsidP="00815992">
      <w:pPr>
        <w:pStyle w:val="TextoIndiceNivel2"/>
      </w:pPr>
    </w:p>
    <w:p w:rsidR="00815992" w:rsidRDefault="00815992" w:rsidP="00815992">
      <w:pPr>
        <w:pStyle w:val="TextoNormalNegritaCursivandice"/>
      </w:pPr>
      <w:r>
        <w:t>Real Decreto-ley 11/1981, de 20 de agosto. Declara a extinguir el régimen de las Entidades de ahorro particular y establece la garantía de los depósitos constituidos en las mismas</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 </w:t>
      </w:r>
      <w:hyperlink w:anchor="SENTENCIA_1992_36" w:history="1">
        <w:r w:rsidRPr="00815992">
          <w:rPr>
            <w:rStyle w:val="TextoNormalCaracter"/>
          </w:rPr>
          <w:t>36/1992</w:t>
        </w:r>
      </w:hyperlink>
      <w:r>
        <w:t>, f. 2.</w:t>
      </w:r>
    </w:p>
    <w:p w:rsidR="00815992" w:rsidRDefault="00815992" w:rsidP="00815992">
      <w:pPr>
        <w:pStyle w:val="SangriaFrancesaArticulo"/>
      </w:pPr>
    </w:p>
    <w:p w:rsidR="00815992" w:rsidRDefault="00815992" w:rsidP="00815992">
      <w:pPr>
        <w:pStyle w:val="TextoNormalNegritaCursivandice"/>
      </w:pPr>
      <w:r>
        <w:t>Real Decreto-ley 10/1984, de 11 de julio. Medidas urgentes para el saneamiento del sector de seguros privados</w:t>
      </w:r>
    </w:p>
    <w:p w:rsidR="00815992" w:rsidRDefault="00815992" w:rsidP="00815992">
      <w:pPr>
        <w:pStyle w:val="SangriaFrancesaArticulo"/>
      </w:pPr>
      <w:r w:rsidRPr="00815992">
        <w:rPr>
          <w:rStyle w:val="TextoNormalNegritaCaracter"/>
        </w:rPr>
        <w:t>Artículo 4.3.</w:t>
      </w:r>
      <w:r w:rsidRPr="00815992">
        <w:rPr>
          <w:rStyle w:val="TextoNormalCaracter"/>
        </w:rPr>
        <w:t>-</w:t>
      </w:r>
      <w:r>
        <w:t xml:space="preserve"> Sentencia </w:t>
      </w:r>
      <w:hyperlink w:anchor="SENTENCIA_1992_27" w:history="1">
        <w:r w:rsidRPr="00815992">
          <w:rPr>
            <w:rStyle w:val="TextoNormalCaracter"/>
          </w:rPr>
          <w:t>27/1992</w:t>
        </w:r>
      </w:hyperlink>
      <w:r>
        <w:t>, f. 4.</w:t>
      </w:r>
    </w:p>
    <w:p w:rsidR="00815992" w:rsidRDefault="00815992" w:rsidP="00815992">
      <w:pPr>
        <w:pStyle w:val="SangriaFrancesaArticulo"/>
      </w:pPr>
    </w:p>
    <w:p w:rsidR="00815992" w:rsidRDefault="00815992" w:rsidP="00815992">
      <w:pPr>
        <w:pStyle w:val="TextoNormalNegritaCursivandice"/>
      </w:pPr>
      <w:r>
        <w:t>Real Decreto-ley 7/1989, de 29 de diciembre. Medidas urgentes en materia presupuestaria, financiera y tributaria</w:t>
      </w:r>
    </w:p>
    <w:p w:rsidR="00815992" w:rsidRDefault="00815992" w:rsidP="00815992">
      <w:pPr>
        <w:pStyle w:val="SangriaFrancesaArticulo"/>
      </w:pPr>
      <w:r w:rsidRPr="00815992">
        <w:rPr>
          <w:rStyle w:val="TextoNormalNegritaCaracter"/>
        </w:rPr>
        <w:t>Disposición adicional undécima.</w:t>
      </w:r>
      <w:r w:rsidRPr="00815992">
        <w:rPr>
          <w:rStyle w:val="TextoNormalCaracter"/>
        </w:rPr>
        <w:t>-</w:t>
      </w:r>
      <w:r>
        <w:t xml:space="preserve"> Sentencia </w:t>
      </w:r>
      <w:hyperlink w:anchor="SENTENCIA_1992_2" w:history="1">
        <w:r w:rsidRPr="00815992">
          <w:rPr>
            <w:rStyle w:val="TextoNormalCaracter"/>
          </w:rPr>
          <w:t>2/1992</w:t>
        </w:r>
      </w:hyperlink>
      <w:r>
        <w:t>, f. 5.</w:t>
      </w:r>
    </w:p>
    <w:p w:rsidR="00815992" w:rsidRDefault="00815992" w:rsidP="00815992">
      <w:pPr>
        <w:pStyle w:val="TextoNormal"/>
      </w:pPr>
    </w:p>
    <w:p w:rsidR="00815992" w:rsidRDefault="00815992" w:rsidP="00815992">
      <w:pPr>
        <w:pStyle w:val="SangriaFrancesaArticulo"/>
      </w:pPr>
      <w:bookmarkStart w:id="197" w:name="INDICE22849"/>
    </w:p>
    <w:bookmarkEnd w:id="197"/>
    <w:p w:rsidR="00815992" w:rsidRDefault="00815992" w:rsidP="00815992">
      <w:pPr>
        <w:pStyle w:val="TextoIndiceNivel2"/>
        <w:suppressAutoHyphens/>
      </w:pPr>
      <w:r>
        <w:t>H) Reales Decretos y otras disposiciones generales del Estado</w:t>
      </w:r>
    </w:p>
    <w:p w:rsidR="00815992" w:rsidRDefault="00815992" w:rsidP="00815992">
      <w:pPr>
        <w:pStyle w:val="TextoIndiceNivel2"/>
      </w:pPr>
    </w:p>
    <w:p w:rsidR="00815992" w:rsidRDefault="00815992" w:rsidP="00815992">
      <w:pPr>
        <w:pStyle w:val="TextoNormalNegritaCursivandice"/>
      </w:pPr>
      <w:r>
        <w:t>Real Decreto 1245/1979, de 25 de mayo. Tesorería General asume la recaudación de las cuotas de la Seguridad Social</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Sentencia </w:t>
      </w:r>
      <w:hyperlink w:anchor="SENTENCIA_1992_39" w:history="1">
        <w:r w:rsidRPr="00815992">
          <w:rPr>
            <w:rStyle w:val="TextoNormalCaracter"/>
          </w:rPr>
          <w:t>39/1992</w:t>
        </w:r>
      </w:hyperlink>
      <w:r>
        <w:t>, f. 6.</w:t>
      </w:r>
    </w:p>
    <w:p w:rsidR="00815992" w:rsidRDefault="00815992" w:rsidP="00815992">
      <w:pPr>
        <w:pStyle w:val="SangriaFrancesaArticulo"/>
      </w:pPr>
    </w:p>
    <w:p w:rsidR="00815992" w:rsidRDefault="00815992" w:rsidP="00815992">
      <w:pPr>
        <w:pStyle w:val="TextoNormalNegritaCursivandice"/>
      </w:pPr>
      <w:r>
        <w:t>Real Decreto 681/1980, de 28 de marzo. Ordenación de la actividad pesquera marítima nacional</w:t>
      </w:r>
    </w:p>
    <w:p w:rsidR="00815992" w:rsidRDefault="00815992" w:rsidP="00815992">
      <w:pPr>
        <w:pStyle w:val="SangriaFrancesaArticulo"/>
      </w:pPr>
      <w:r w:rsidRPr="00815992">
        <w:rPr>
          <w:rStyle w:val="TextoNormalNegritaCaracter"/>
        </w:rPr>
        <w:lastRenderedPageBreak/>
        <w:t>Artículo 1.2.</w:t>
      </w:r>
      <w:r w:rsidRPr="00815992">
        <w:rPr>
          <w:rStyle w:val="TextoNormalCaracter"/>
        </w:rPr>
        <w:t>-</w:t>
      </w:r>
      <w:r>
        <w:t xml:space="preserve"> Sentencia </w:t>
      </w:r>
      <w:hyperlink w:anchor="SENTENCIA_1992_57" w:history="1">
        <w:r w:rsidRPr="00815992">
          <w:rPr>
            <w:rStyle w:val="TextoNormalCaracter"/>
          </w:rPr>
          <w:t>57/1992</w:t>
        </w:r>
      </w:hyperlink>
      <w:r>
        <w:t>, f. 3.</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Sentencia </w:t>
      </w:r>
      <w:hyperlink w:anchor="SENTENCIA_1992_57" w:history="1">
        <w:r w:rsidRPr="00815992">
          <w:rPr>
            <w:rStyle w:val="TextoNormalCaracter"/>
          </w:rPr>
          <w:t>57/1992</w:t>
        </w:r>
      </w:hyperlink>
      <w:r>
        <w:t>, f. 3.</w:t>
      </w:r>
    </w:p>
    <w:p w:rsidR="00815992" w:rsidRDefault="00815992" w:rsidP="00815992">
      <w:pPr>
        <w:pStyle w:val="SangriaFrancesaArticulo"/>
      </w:pPr>
      <w:r w:rsidRPr="00815992">
        <w:rPr>
          <w:rStyle w:val="TextoNormalNegritaCaracter"/>
        </w:rPr>
        <w:t>Artículo 3 b).</w:t>
      </w:r>
      <w:r w:rsidRPr="00815992">
        <w:rPr>
          <w:rStyle w:val="TextoNormalCaracter"/>
        </w:rPr>
        <w:t>-</w:t>
      </w:r>
      <w:r>
        <w:t xml:space="preserve"> Sentencia </w:t>
      </w:r>
      <w:hyperlink w:anchor="SENTENCIA_1992_57" w:history="1">
        <w:r w:rsidRPr="00815992">
          <w:rPr>
            <w:rStyle w:val="TextoNormalCaracter"/>
          </w:rPr>
          <w:t>57/1992</w:t>
        </w:r>
      </w:hyperlink>
      <w:r>
        <w:t>, f. 3.</w:t>
      </w:r>
    </w:p>
    <w:p w:rsidR="00815992" w:rsidRDefault="00815992" w:rsidP="00815992">
      <w:pPr>
        <w:pStyle w:val="SangriaFrancesaArticulo"/>
      </w:pPr>
      <w:r w:rsidRPr="00815992">
        <w:rPr>
          <w:rStyle w:val="TextoNormalNegritaCaracter"/>
        </w:rPr>
        <w:t>Artículo 3 c).</w:t>
      </w:r>
      <w:r w:rsidRPr="00815992">
        <w:rPr>
          <w:rStyle w:val="TextoNormalCaracter"/>
        </w:rPr>
        <w:t>-</w:t>
      </w:r>
      <w:r>
        <w:t xml:space="preserve"> Sentencia </w:t>
      </w:r>
      <w:hyperlink w:anchor="SENTENCIA_1992_57" w:history="1">
        <w:r w:rsidRPr="00815992">
          <w:rPr>
            <w:rStyle w:val="TextoNormalCaracter"/>
          </w:rPr>
          <w:t>57/1992</w:t>
        </w:r>
      </w:hyperlink>
      <w:r>
        <w:t>, f. 3.</w:t>
      </w:r>
    </w:p>
    <w:p w:rsidR="00815992" w:rsidRDefault="00815992" w:rsidP="00815992">
      <w:pPr>
        <w:pStyle w:val="SangriaFrancesaArticulo"/>
      </w:pPr>
    </w:p>
    <w:p w:rsidR="00815992" w:rsidRDefault="00815992" w:rsidP="00815992">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Anexo B) 2.</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Real Decreto 1201/1981, de 8 de mayo. Reglamento penitenciario</w:t>
      </w:r>
    </w:p>
    <w:p w:rsidR="00815992" w:rsidRDefault="00815992" w:rsidP="00815992">
      <w:pPr>
        <w:pStyle w:val="SangriaFrancesaArticulo"/>
      </w:pPr>
      <w:r w:rsidRPr="00815992">
        <w:rPr>
          <w:rStyle w:val="TextoNormalNegritaCaracter"/>
        </w:rPr>
        <w:t>Artículo 34.1.</w:t>
      </w:r>
      <w:r w:rsidRPr="00815992">
        <w:rPr>
          <w:rStyle w:val="TextoNormalCaracter"/>
        </w:rPr>
        <w:t>-</w:t>
      </w:r>
      <w:r>
        <w:t xml:space="preserve"> Sentencia </w:t>
      </w:r>
      <w:hyperlink w:anchor="SENTENCIA_1992_54" w:history="1">
        <w:r w:rsidRPr="00815992">
          <w:rPr>
            <w:rStyle w:val="TextoNormalCaracter"/>
          </w:rPr>
          <w:t>54/1992</w:t>
        </w:r>
      </w:hyperlink>
      <w:r>
        <w:t>, ff. 1, 2.</w:t>
      </w:r>
    </w:p>
    <w:p w:rsidR="00815992" w:rsidRDefault="00815992" w:rsidP="00815992">
      <w:pPr>
        <w:pStyle w:val="SangriaFrancesaArticulo"/>
      </w:pPr>
      <w:r w:rsidRPr="00815992">
        <w:rPr>
          <w:rStyle w:val="TextoNormalNegritaCaracter"/>
        </w:rPr>
        <w:t>Artículo 34.2.</w:t>
      </w:r>
      <w:r w:rsidRPr="00815992">
        <w:rPr>
          <w:rStyle w:val="TextoNormalCaracter"/>
        </w:rPr>
        <w:t>-</w:t>
      </w:r>
      <w:r>
        <w:t xml:space="preserve"> Sentencia </w:t>
      </w:r>
      <w:hyperlink w:anchor="SENTENCIA_1992_54" w:history="1">
        <w:r w:rsidRPr="00815992">
          <w:rPr>
            <w:rStyle w:val="TextoNormalCaracter"/>
          </w:rPr>
          <w:t>54/1992</w:t>
        </w:r>
      </w:hyperlink>
      <w:r>
        <w:t>, ff. 1, 2.</w:t>
      </w:r>
    </w:p>
    <w:p w:rsidR="00815992" w:rsidRDefault="00815992" w:rsidP="00815992">
      <w:pPr>
        <w:pStyle w:val="SangriaFrancesaArticulo"/>
      </w:pPr>
      <w:r w:rsidRPr="00815992">
        <w:rPr>
          <w:rStyle w:val="TextoNormalNegritaCaracter"/>
        </w:rPr>
        <w:t>Artículo 34.3.</w:t>
      </w:r>
      <w:r w:rsidRPr="00815992">
        <w:rPr>
          <w:rStyle w:val="TextoNormalCaracter"/>
        </w:rPr>
        <w:t>-</w:t>
      </w:r>
      <w:r>
        <w:t xml:space="preserve"> Sentencia </w:t>
      </w:r>
      <w:hyperlink w:anchor="SENTENCIA_1992_54" w:history="1">
        <w:r w:rsidRPr="00815992">
          <w:rPr>
            <w:rStyle w:val="TextoNormalCaracter"/>
          </w:rPr>
          <w:t>54/1992</w:t>
        </w:r>
      </w:hyperlink>
      <w:r>
        <w:t>, ff. 3.</w:t>
      </w:r>
    </w:p>
    <w:p w:rsidR="00815992" w:rsidRDefault="00815992" w:rsidP="00815992">
      <w:pPr>
        <w:pStyle w:val="SangriaFrancesaArticulo"/>
      </w:pPr>
      <w:r w:rsidRPr="00815992">
        <w:rPr>
          <w:rStyle w:val="TextoNormalNegritaCaracter"/>
        </w:rPr>
        <w:t>Artículo 43.3.</w:t>
      </w:r>
      <w:r w:rsidRPr="00815992">
        <w:rPr>
          <w:rStyle w:val="TextoNormalCaracter"/>
        </w:rPr>
        <w:t>-</w:t>
      </w:r>
      <w:r>
        <w:t xml:space="preserve"> Sentencia </w:t>
      </w:r>
      <w:hyperlink w:anchor="SENTENCIA_1992_54" w:history="1">
        <w:r w:rsidRPr="00815992">
          <w:rPr>
            <w:rStyle w:val="TextoNormalCaracter"/>
          </w:rPr>
          <w:t>54/1992</w:t>
        </w:r>
      </w:hyperlink>
      <w:r>
        <w:t>, ff. 1 a 3.</w:t>
      </w:r>
    </w:p>
    <w:p w:rsidR="00815992" w:rsidRDefault="00815992" w:rsidP="00815992">
      <w:pPr>
        <w:pStyle w:val="SangriaIzquierdaArticulo"/>
      </w:pPr>
      <w:r>
        <w:t xml:space="preserve">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43.3 b).</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108 c).</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243.</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243.3.</w:t>
      </w:r>
      <w:r w:rsidRPr="00815992">
        <w:rPr>
          <w:rStyle w:val="TextoNormalCaracter"/>
        </w:rPr>
        <w:t>-</w:t>
      </w:r>
      <w:r>
        <w:t xml:space="preserve"> Auto </w:t>
      </w:r>
      <w:hyperlink w:anchor="AUTO_1992_60" w:history="1">
        <w:r w:rsidRPr="00815992">
          <w:rPr>
            <w:rStyle w:val="TextoNormalCaracter"/>
          </w:rPr>
          <w:t>60/1992</w:t>
        </w:r>
      </w:hyperlink>
      <w:r>
        <w:t>.</w:t>
      </w:r>
    </w:p>
    <w:p w:rsidR="00815992" w:rsidRDefault="00815992" w:rsidP="00815992">
      <w:pPr>
        <w:pStyle w:val="SangriaFrancesaArticulo"/>
      </w:pPr>
      <w:r w:rsidRPr="00815992">
        <w:rPr>
          <w:rStyle w:val="TextoNormalNegritaCaracter"/>
        </w:rPr>
        <w:t>Artículo 258.</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Real Decreto 2620/1981, de 24 de julio. Regulación de la concesión de ayudas del Fondo nacional de asistencia social a ancianos y a enfermos o inválidos incapacitados para el trabajo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p>
    <w:p w:rsidR="00815992" w:rsidRDefault="00815992" w:rsidP="00815992">
      <w:pPr>
        <w:pStyle w:val="TextoNormalNegritaCursivandice"/>
      </w:pPr>
      <w:r>
        <w:t>Real Decreto 2058/1982, de 12 de agosto. Alimentos. Norma general de etiquetado, presentación y publicidad de productos envasados</w:t>
      </w:r>
    </w:p>
    <w:p w:rsidR="00815992" w:rsidRDefault="00815992" w:rsidP="00815992">
      <w:pPr>
        <w:pStyle w:val="SangriaFrancesaArticulo"/>
      </w:pPr>
      <w:r w:rsidRPr="00815992">
        <w:rPr>
          <w:rStyle w:val="TextoNormalNegritaCaracter"/>
        </w:rPr>
        <w:t>Artículo 20.</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p>
    <w:p w:rsidR="00815992" w:rsidRDefault="00815992" w:rsidP="00815992">
      <w:pPr>
        <w:pStyle w:val="TextoNormalNegritaCursivandice"/>
      </w:pPr>
      <w:r>
        <w:t>Real Decreto 3228/1982, de 15 de octubre. Traspaso de funciones y servicios del Estado a la Comunidad Autónoma del País Vasco en materia de Mutualidades no integradas en la Seguridad Social</w:t>
      </w:r>
    </w:p>
    <w:p w:rsidR="00815992" w:rsidRDefault="00815992" w:rsidP="00815992">
      <w:pPr>
        <w:pStyle w:val="SangriaFrancesaArticulo"/>
      </w:pPr>
      <w:r w:rsidRPr="00815992">
        <w:rPr>
          <w:rStyle w:val="TextoNormalNegritaCaracter"/>
        </w:rPr>
        <w:t>Anexo B) 1.</w:t>
      </w:r>
      <w:r w:rsidRPr="00815992">
        <w:rPr>
          <w:rStyle w:val="TextoNormalCaracter"/>
        </w:rPr>
        <w:t>-</w:t>
      </w:r>
      <w:r>
        <w:t xml:space="preserve"> Sentencia </w:t>
      </w:r>
      <w:hyperlink w:anchor="SENTENCIA_1992_36" w:history="1">
        <w:r w:rsidRPr="00815992">
          <w:rPr>
            <w:rStyle w:val="TextoNormalCaracter"/>
          </w:rPr>
          <w:t>36/1992</w:t>
        </w:r>
      </w:hyperlink>
      <w:r>
        <w:t>, f. 3.</w:t>
      </w:r>
    </w:p>
    <w:p w:rsidR="00815992" w:rsidRDefault="00815992" w:rsidP="00815992">
      <w:pPr>
        <w:pStyle w:val="SangriaFrancesaArticulo"/>
      </w:pPr>
    </w:p>
    <w:p w:rsidR="00815992" w:rsidRDefault="00815992" w:rsidP="00815992">
      <w:pPr>
        <w:pStyle w:val="TextoNormalNegritaCursivandice"/>
      </w:pPr>
      <w:r>
        <w:t>Orden del Ministerio de Agricultura, Pesca y Alimentación, de 30 de julio de 1983. Ordenación de la pesca marítima de «arrastre de fondo» en el litoral Cantábrico y Noroeste</w:t>
      </w:r>
    </w:p>
    <w:p w:rsidR="00815992" w:rsidRDefault="00815992" w:rsidP="00815992">
      <w:pPr>
        <w:pStyle w:val="SangriaFrancesaArticulo"/>
      </w:pPr>
      <w:r w:rsidRPr="00815992">
        <w:rPr>
          <w:rStyle w:val="TextoNormalNegritaCaracter"/>
        </w:rPr>
        <w:t>Artículo 12.</w:t>
      </w:r>
      <w:r w:rsidRPr="00815992">
        <w:rPr>
          <w:rStyle w:val="TextoNormalCaracter"/>
        </w:rPr>
        <w:t>-</w:t>
      </w:r>
      <w:r>
        <w:t xml:space="preserve"> Sentencia </w:t>
      </w:r>
      <w:hyperlink w:anchor="SENTENCIA_1992_68" w:history="1">
        <w:r w:rsidRPr="00815992">
          <w:rPr>
            <w:rStyle w:val="TextoNormalCaracter"/>
          </w:rPr>
          <w:t>68/1992</w:t>
        </w:r>
      </w:hyperlink>
      <w:r>
        <w:t>, f. 2. VP.</w:t>
      </w:r>
    </w:p>
    <w:p w:rsidR="00815992" w:rsidRDefault="00815992" w:rsidP="00815992">
      <w:pPr>
        <w:pStyle w:val="SangriaFrancesaArticulo"/>
      </w:pPr>
    </w:p>
    <w:p w:rsidR="00815992" w:rsidRDefault="00815992" w:rsidP="00815992">
      <w:pPr>
        <w:pStyle w:val="TextoNormalNegritaCursivandice"/>
      </w:pPr>
      <w:r>
        <w:t>Real Decreto 43/1984, de 4 de enero. Ampliación de la acción protectora de cobertura obligatoria en el Régimen especial de la Seguridad Social de los trabajadores por cuenta propia o autónomos</w:t>
      </w:r>
    </w:p>
    <w:p w:rsidR="00815992" w:rsidRDefault="00815992" w:rsidP="00815992">
      <w:pPr>
        <w:pStyle w:val="SangriaFrancesaArticulo"/>
      </w:pPr>
      <w:r w:rsidRPr="00815992">
        <w:rPr>
          <w:rStyle w:val="TextoNormalNegritaCaracter"/>
        </w:rPr>
        <w:lastRenderedPageBreak/>
        <w:t>En general.</w:t>
      </w:r>
      <w:r w:rsidRPr="00815992">
        <w:rPr>
          <w:rStyle w:val="TextoNormalCaracter"/>
        </w:rPr>
        <w:t>-</w:t>
      </w:r>
      <w:r>
        <w:t xml:space="preserve"> Sentencia </w:t>
      </w:r>
      <w:hyperlink w:anchor="SENTENCIA_1992_39" w:history="1">
        <w:r w:rsidRPr="00815992">
          <w:rPr>
            <w:rStyle w:val="TextoNormalCaracter"/>
          </w:rPr>
          <w:t>39/1992</w:t>
        </w:r>
      </w:hyperlink>
      <w:r>
        <w:t>, ff. 1, 3, 7 a 9.</w:t>
      </w:r>
    </w:p>
    <w:p w:rsidR="00815992" w:rsidRDefault="00815992" w:rsidP="00815992">
      <w:pPr>
        <w:pStyle w:val="SangriaFrancesaArticulo"/>
      </w:pPr>
    </w:p>
    <w:p w:rsidR="00815992" w:rsidRDefault="00815992" w:rsidP="00815992">
      <w:pPr>
        <w:pStyle w:val="TextoNormalNegritaCursivandice"/>
      </w:pPr>
      <w:r>
        <w:t>Real Decreto 46/1984, de 4 de enero. Bases y tipos de cotización a la Seguridad Social en 1984</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9" w:history="1">
        <w:r w:rsidRPr="00815992">
          <w:rPr>
            <w:rStyle w:val="TextoNormalCaracter"/>
          </w:rPr>
          <w:t>39/1992</w:t>
        </w:r>
      </w:hyperlink>
      <w:r>
        <w:t>, f. 7.</w:t>
      </w:r>
    </w:p>
    <w:p w:rsidR="00815992" w:rsidRDefault="00815992" w:rsidP="00815992">
      <w:pPr>
        <w:pStyle w:val="SangriaFrancesaArticulo"/>
      </w:pPr>
    </w:p>
    <w:p w:rsidR="00815992" w:rsidRDefault="00815992" w:rsidP="00815992">
      <w:pPr>
        <w:pStyle w:val="TextoNormalNegritaCursivandice"/>
      </w:pPr>
      <w:r>
        <w:t>Real Decreto 1860/1984, de 18 de julio. Traspaso de funciones y servicios del Estado a la Comunidad Autónoma de Madrid en materia de industria, energía y minas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67" w:history="1">
        <w:r w:rsidRPr="00815992">
          <w:rPr>
            <w:rStyle w:val="TextoNormalCaracter"/>
          </w:rPr>
          <w:t>67/1992</w:t>
        </w:r>
      </w:hyperlink>
      <w:r>
        <w:t>, f. 2.</w:t>
      </w:r>
    </w:p>
    <w:p w:rsidR="00815992" w:rsidRDefault="00815992" w:rsidP="00815992">
      <w:pPr>
        <w:pStyle w:val="SangriaFrancesaArticulo"/>
      </w:pPr>
    </w:p>
    <w:p w:rsidR="00815992" w:rsidRDefault="00815992" w:rsidP="00815992">
      <w:pPr>
        <w:pStyle w:val="TextoNormalNegritaCursivandice"/>
      </w:pPr>
      <w:r>
        <w:t>Real Decreto 2349/1984, de 28 de noviembre. Regulación de la pesca de "cerco" en el caladero nacional</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 </w:t>
      </w:r>
      <w:hyperlink w:anchor="SENTENCIA_1992_68" w:history="1">
        <w:r w:rsidRPr="00815992">
          <w:rPr>
            <w:rStyle w:val="TextoNormalCaracter"/>
          </w:rPr>
          <w:t>68/1992</w:t>
        </w:r>
      </w:hyperlink>
      <w:r>
        <w:t>, f. 1.</w:t>
      </w:r>
    </w:p>
    <w:p w:rsidR="00815992" w:rsidRDefault="00815992" w:rsidP="00815992">
      <w:pPr>
        <w:pStyle w:val="SangriaFrancesaArticulo"/>
      </w:pPr>
      <w:r w:rsidRPr="00815992">
        <w:rPr>
          <w:rStyle w:val="TextoNormalNegritaCaracter"/>
        </w:rPr>
        <w:t>Artículo 14.1.</w:t>
      </w:r>
      <w:r w:rsidRPr="00815992">
        <w:rPr>
          <w:rStyle w:val="TextoNormalCaracter"/>
        </w:rPr>
        <w:t>-</w:t>
      </w:r>
      <w:r>
        <w:t xml:space="preserve"> Sentencia </w:t>
      </w:r>
      <w:hyperlink w:anchor="SENTENCIA_1992_68" w:history="1">
        <w:r w:rsidRPr="00815992">
          <w:rPr>
            <w:rStyle w:val="TextoNormalCaracter"/>
          </w:rPr>
          <w:t>68/1992</w:t>
        </w:r>
      </w:hyperlink>
      <w:r>
        <w:t>, f. 1.</w:t>
      </w:r>
    </w:p>
    <w:p w:rsidR="00815992" w:rsidRDefault="00815992" w:rsidP="00815992">
      <w:pPr>
        <w:pStyle w:val="SangriaFrancesaArticulo"/>
      </w:pPr>
      <w:r w:rsidRPr="00815992">
        <w:rPr>
          <w:rStyle w:val="TextoNormalNegritaCaracter"/>
        </w:rPr>
        <w:t>Disposición adicional segunda.</w:t>
      </w:r>
      <w:r w:rsidRPr="00815992">
        <w:rPr>
          <w:rStyle w:val="TextoNormalCaracter"/>
        </w:rPr>
        <w:t>-</w:t>
      </w:r>
      <w:r>
        <w:t xml:space="preserve"> Sentencia </w:t>
      </w:r>
      <w:hyperlink w:anchor="SENTENCIA_1992_68" w:history="1">
        <w:r w:rsidRPr="00815992">
          <w:rPr>
            <w:rStyle w:val="TextoNormalCaracter"/>
          </w:rPr>
          <w:t>68/1992</w:t>
        </w:r>
      </w:hyperlink>
      <w:r>
        <w:t>, f. 1.</w:t>
      </w:r>
    </w:p>
    <w:p w:rsidR="00815992" w:rsidRDefault="00815992" w:rsidP="00815992">
      <w:pPr>
        <w:pStyle w:val="SangriaFrancesaArticulo"/>
      </w:pPr>
    </w:p>
    <w:p w:rsidR="00815992" w:rsidRDefault="00815992" w:rsidP="00815992">
      <w:pPr>
        <w:pStyle w:val="TextoNormalNegritaCursivandice"/>
      </w:pPr>
      <w:r>
        <w:t>Real Decreto 898/1985, de 30 de abril. Régimen del profesorado universitario</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Auto </w:t>
      </w:r>
      <w:hyperlink w:anchor="AUTO_1992_42" w:history="1">
        <w:r w:rsidRPr="00815992">
          <w:rPr>
            <w:rStyle w:val="TextoNormalCaracter"/>
          </w:rPr>
          <w:t>42/1992</w:t>
        </w:r>
      </w:hyperlink>
      <w:r>
        <w:t>.</w:t>
      </w:r>
    </w:p>
    <w:p w:rsidR="00815992" w:rsidRDefault="00815992" w:rsidP="00815992">
      <w:pPr>
        <w:pStyle w:val="SangriaFrancesaArticulo"/>
      </w:pPr>
    </w:p>
    <w:p w:rsidR="00815992" w:rsidRDefault="00815992" w:rsidP="00815992">
      <w:pPr>
        <w:pStyle w:val="TextoNormalNegritaCursivandice"/>
      </w:pPr>
      <w:r>
        <w:t>Real Decreto 1348/1985, de 1 de agosto. Reglamento de ordenación del seguro privado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35" w:history="1">
        <w:r w:rsidRPr="00815992">
          <w:rPr>
            <w:rStyle w:val="TextoNormalCaracter"/>
          </w:rPr>
          <w:t>35/1992</w:t>
        </w:r>
      </w:hyperlink>
      <w:r>
        <w:t xml:space="preserve">, ff. 1, 3, 4, 6, 8, 11;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Capítulo I.</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Capítulo II.</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Capítulo IV.</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Capítulo V.</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Capítulo V, sección segunda.</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Capítulo VI.</w:t>
      </w:r>
      <w:r w:rsidRPr="00815992">
        <w:rPr>
          <w:rStyle w:val="TextoNormalCaracter"/>
        </w:rPr>
        <w:t>-</w:t>
      </w:r>
      <w:r>
        <w:t xml:space="preserve"> Sentencia </w:t>
      </w:r>
      <w:hyperlink w:anchor="SENTENCIA_1992_35" w:history="1">
        <w:r w:rsidRPr="00815992">
          <w:rPr>
            <w:rStyle w:val="TextoNormalCaracter"/>
          </w:rPr>
          <w:t>35/1992</w:t>
        </w:r>
      </w:hyperlink>
      <w:r>
        <w:t>, f. 9.</w:t>
      </w:r>
    </w:p>
    <w:p w:rsidR="00815992" w:rsidRDefault="00815992" w:rsidP="00815992">
      <w:pPr>
        <w:pStyle w:val="SangriaFrancesaArticulo"/>
      </w:pPr>
      <w:r w:rsidRPr="00815992">
        <w:rPr>
          <w:rStyle w:val="TextoNormalNegritaCaracter"/>
        </w:rPr>
        <w:t>Capítulo VII.</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Capítulo IX.</w:t>
      </w:r>
      <w:r w:rsidRPr="00815992">
        <w:rPr>
          <w:rStyle w:val="TextoNormalCaracter"/>
        </w:rPr>
        <w:t>-</w:t>
      </w:r>
      <w:r>
        <w:t xml:space="preserve"> Sentencia </w:t>
      </w:r>
      <w:hyperlink w:anchor="SENTENCIA_1992_35" w:history="1">
        <w:r w:rsidRPr="00815992">
          <w:rPr>
            <w:rStyle w:val="TextoNormalCaracter"/>
          </w:rPr>
          <w:t>35/1992</w:t>
        </w:r>
      </w:hyperlink>
      <w:r>
        <w:t>, f. 11.</w:t>
      </w:r>
    </w:p>
    <w:p w:rsidR="00815992" w:rsidRDefault="00815992" w:rsidP="00815992">
      <w:pPr>
        <w:pStyle w:val="SangriaFrancesaArticulo"/>
      </w:pPr>
      <w:r w:rsidRPr="00815992">
        <w:rPr>
          <w:rStyle w:val="TextoNormalNegritaCaracter"/>
        </w:rPr>
        <w:t>Capítulo X.</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2.4.</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2.5.</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3 d).</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8.1.</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12.</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12.1.</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14.2.</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14.2 a).</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14.2 b).</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14.3.</w:t>
      </w:r>
      <w:r w:rsidRPr="00815992">
        <w:rPr>
          <w:rStyle w:val="TextoNormalCaracter"/>
        </w:rPr>
        <w:t>-</w:t>
      </w:r>
      <w:r>
        <w:t xml:space="preserve"> Sentencia </w:t>
      </w:r>
      <w:hyperlink w:anchor="SENTENCIA_1992_35" w:history="1">
        <w:r w:rsidRPr="00815992">
          <w:rPr>
            <w:rStyle w:val="TextoNormalCaracter"/>
          </w:rPr>
          <w:t>35/1992</w:t>
        </w:r>
      </w:hyperlink>
      <w:r>
        <w:t>, f. 4.</w:t>
      </w:r>
    </w:p>
    <w:p w:rsidR="00815992" w:rsidRDefault="00815992" w:rsidP="00815992">
      <w:pPr>
        <w:pStyle w:val="SangriaFrancesaArticulo"/>
      </w:pPr>
      <w:r w:rsidRPr="00815992">
        <w:rPr>
          <w:rStyle w:val="TextoNormalNegritaCaracter"/>
        </w:rPr>
        <w:t>Artículo 25.</w:t>
      </w:r>
      <w:r w:rsidRPr="00815992">
        <w:rPr>
          <w:rStyle w:val="TextoNormalCaracter"/>
        </w:rPr>
        <w:t>-</w:t>
      </w:r>
      <w:r>
        <w:t xml:space="preserve"> Sentencia </w:t>
      </w:r>
      <w:hyperlink w:anchor="SENTENCIA_1992_35" w:history="1">
        <w:r w:rsidRPr="00815992">
          <w:rPr>
            <w:rStyle w:val="TextoNormalCaracter"/>
          </w:rPr>
          <w:t>35/1992</w:t>
        </w:r>
      </w:hyperlink>
      <w:r>
        <w:t>, ff. 5,6.</w:t>
      </w:r>
    </w:p>
    <w:p w:rsidR="00815992" w:rsidRDefault="00815992" w:rsidP="00815992">
      <w:pPr>
        <w:pStyle w:val="SangriaFrancesaArticulo"/>
      </w:pPr>
      <w:r w:rsidRPr="00815992">
        <w:rPr>
          <w:rStyle w:val="TextoNormalNegritaCaracter"/>
        </w:rPr>
        <w:t>Artículo 25.1 a).</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lastRenderedPageBreak/>
        <w:t>Artículo 25.1 b).</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25.1 c).</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25.1 d).</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25.1 f).</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25.1 h).</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25.1 i).</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25.2.</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25.3.</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26.</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Artículos 26 a 36.</w:t>
      </w:r>
      <w:r w:rsidRPr="00815992">
        <w:rPr>
          <w:rStyle w:val="TextoNormalCaracter"/>
        </w:rPr>
        <w:t>-</w:t>
      </w:r>
      <w:r>
        <w:t xml:space="preserve"> Sentencia </w:t>
      </w:r>
      <w:hyperlink w:anchor="SENTENCIA_1992_35" w:history="1">
        <w:r w:rsidRPr="00815992">
          <w:rPr>
            <w:rStyle w:val="TextoNormalCaracter"/>
          </w:rPr>
          <w:t>35/1992</w:t>
        </w:r>
      </w:hyperlink>
      <w:r>
        <w:t>, f. 5, VP.</w:t>
      </w:r>
    </w:p>
    <w:p w:rsidR="00815992" w:rsidRDefault="00815992" w:rsidP="00815992">
      <w:pPr>
        <w:pStyle w:val="SangriaFrancesaArticulo"/>
      </w:pPr>
      <w:r w:rsidRPr="00815992">
        <w:rPr>
          <w:rStyle w:val="TextoNormalNegritaCaracter"/>
        </w:rPr>
        <w:t>Artículo 31.1.</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36.</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38.</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39.</w:t>
      </w:r>
      <w:r w:rsidRPr="00815992">
        <w:rPr>
          <w:rStyle w:val="TextoNormalCaracter"/>
        </w:rPr>
        <w:t>-</w:t>
      </w:r>
      <w:r>
        <w:t xml:space="preserve"> Sentencia </w:t>
      </w:r>
      <w:hyperlink w:anchor="SENTENCIA_1992_35" w:history="1">
        <w:r w:rsidRPr="00815992">
          <w:rPr>
            <w:rStyle w:val="TextoNormalCaracter"/>
          </w:rPr>
          <w:t>35/1992</w:t>
        </w:r>
      </w:hyperlink>
      <w:r>
        <w:t>, f. 5, VP.</w:t>
      </w:r>
    </w:p>
    <w:p w:rsidR="00815992" w:rsidRDefault="00815992" w:rsidP="00815992">
      <w:pPr>
        <w:pStyle w:val="SangriaFrancesaArticulo"/>
      </w:pPr>
      <w:r w:rsidRPr="00815992">
        <w:rPr>
          <w:rStyle w:val="TextoNormalNegritaCaracter"/>
        </w:rPr>
        <w:t>Artículo 40.</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41.</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r w:rsidRPr="00815992">
        <w:rPr>
          <w:rStyle w:val="TextoNormalNegritaCaracter"/>
        </w:rPr>
        <w:t>Artículo 42.1.</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43.</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43.1.</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43.2.</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Artículos 43 a 47.</w:t>
      </w:r>
      <w:r w:rsidRPr="00815992">
        <w:rPr>
          <w:rStyle w:val="TextoNormalCaracter"/>
        </w:rPr>
        <w:t>-</w:t>
      </w:r>
      <w:r>
        <w:t xml:space="preserve"> Sentencia </w:t>
      </w:r>
      <w:hyperlink w:anchor="SENTENCIA_1992_35" w:history="1">
        <w:r w:rsidRPr="00815992">
          <w:rPr>
            <w:rStyle w:val="TextoNormalCaracter"/>
          </w:rPr>
          <w:t>35/1992</w:t>
        </w:r>
      </w:hyperlink>
      <w:r>
        <w:t>, VP.</w:t>
      </w:r>
    </w:p>
    <w:p w:rsidR="00815992" w:rsidRDefault="00815992" w:rsidP="00815992">
      <w:pPr>
        <w:pStyle w:val="SangriaFrancesaArticulo"/>
      </w:pPr>
      <w:r w:rsidRPr="00815992">
        <w:rPr>
          <w:rStyle w:val="TextoNormalNegritaCaracter"/>
        </w:rPr>
        <w:t>Artículo 44.</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45.2.</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45.3.</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45.4.</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45.6.</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45.7.</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45.8.</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46.</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46.1.</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46.4.</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47.</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47.2.</w:t>
      </w:r>
      <w:r w:rsidRPr="00815992">
        <w:rPr>
          <w:rStyle w:val="TextoNormalCaracter"/>
        </w:rPr>
        <w:t>-</w:t>
      </w:r>
      <w:r>
        <w:t xml:space="preserve"> Sentencia </w:t>
      </w:r>
      <w:hyperlink w:anchor="SENTENCIA_1992_35" w:history="1">
        <w:r w:rsidRPr="00815992">
          <w:rPr>
            <w:rStyle w:val="TextoNormalCaracter"/>
          </w:rPr>
          <w:t>35/1992</w:t>
        </w:r>
      </w:hyperlink>
      <w:r>
        <w:t>, ff. 5, 6.</w:t>
      </w:r>
    </w:p>
    <w:p w:rsidR="00815992" w:rsidRDefault="00815992" w:rsidP="00815992">
      <w:pPr>
        <w:pStyle w:val="SangriaFrancesaArticulo"/>
      </w:pPr>
      <w:r w:rsidRPr="00815992">
        <w:rPr>
          <w:rStyle w:val="TextoNormalNegritaCaracter"/>
        </w:rPr>
        <w:t>Artículo 48.</w:t>
      </w:r>
      <w:r w:rsidRPr="00815992">
        <w:rPr>
          <w:rStyle w:val="TextoNormalCaracter"/>
        </w:rPr>
        <w:t>-</w:t>
      </w:r>
      <w:r>
        <w:t xml:space="preserve"> Sentencia </w:t>
      </w:r>
      <w:hyperlink w:anchor="SENTENCIA_1992_35" w:history="1">
        <w:r w:rsidRPr="00815992">
          <w:rPr>
            <w:rStyle w:val="TextoNormalCaracter"/>
          </w:rPr>
          <w:t>35/1992</w:t>
        </w:r>
      </w:hyperlink>
      <w:r>
        <w:t>, f. 6.</w:t>
      </w:r>
    </w:p>
    <w:p w:rsidR="00815992" w:rsidRDefault="00815992" w:rsidP="00815992">
      <w:pPr>
        <w:pStyle w:val="SangriaFrancesaArticulo"/>
      </w:pPr>
      <w:r w:rsidRPr="00815992">
        <w:rPr>
          <w:rStyle w:val="TextoNormalNegritaCaracter"/>
        </w:rPr>
        <w:t>Artículo 49.</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50.</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51.</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51.2.</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51.3.</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51.4.</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52.</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53.</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54.</w:t>
      </w:r>
      <w:r w:rsidRPr="00815992">
        <w:rPr>
          <w:rStyle w:val="TextoNormalCaracter"/>
        </w:rPr>
        <w:t>-</w:t>
      </w:r>
      <w:r>
        <w:t xml:space="preserve"> Sentencia </w:t>
      </w:r>
      <w:hyperlink w:anchor="SENTENCIA_1992_35" w:history="1">
        <w:r w:rsidRPr="00815992">
          <w:rPr>
            <w:rStyle w:val="TextoNormalCaracter"/>
          </w:rPr>
          <w:t>35/1992</w:t>
        </w:r>
      </w:hyperlink>
      <w:r>
        <w:t>, f. 6, VP.</w:t>
      </w:r>
    </w:p>
    <w:p w:rsidR="00815992" w:rsidRDefault="00815992" w:rsidP="00815992">
      <w:pPr>
        <w:pStyle w:val="SangriaFrancesaArticulo"/>
      </w:pPr>
      <w:r w:rsidRPr="00815992">
        <w:rPr>
          <w:rStyle w:val="TextoNormalNegritaCaracter"/>
        </w:rPr>
        <w:t>Artículo 55 a 61.</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55 a 75.</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55.1.</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56.1.</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lastRenderedPageBreak/>
        <w:t>Artículo 62.</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62 a 75.</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64.2 b).</w:t>
      </w:r>
      <w:r w:rsidRPr="00815992">
        <w:rPr>
          <w:rStyle w:val="TextoNormalCaracter"/>
        </w:rPr>
        <w:t>-</w:t>
      </w:r>
      <w:r>
        <w:t xml:space="preserve"> Sentencia </w:t>
      </w:r>
      <w:hyperlink w:anchor="SENTENCIA_1992_36" w:history="1">
        <w:r w:rsidRPr="00815992">
          <w:rPr>
            <w:rStyle w:val="TextoNormalCaracter"/>
          </w:rPr>
          <w:t>36/1992</w:t>
        </w:r>
      </w:hyperlink>
      <w:r>
        <w:t>, ff. 1, 4.</w:t>
      </w:r>
    </w:p>
    <w:p w:rsidR="00815992" w:rsidRDefault="00815992" w:rsidP="00815992">
      <w:pPr>
        <w:pStyle w:val="SangriaFrancesaArticulo"/>
      </w:pPr>
      <w:r w:rsidRPr="00815992">
        <w:rPr>
          <w:rStyle w:val="TextoNormalNegritaCaracter"/>
        </w:rPr>
        <w:t>Artículo 64.2 d).</w:t>
      </w:r>
      <w:r w:rsidRPr="00815992">
        <w:rPr>
          <w:rStyle w:val="TextoNormalCaracter"/>
        </w:rPr>
        <w:t>-</w:t>
      </w:r>
      <w:r>
        <w:t xml:space="preserve"> Sentencia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Artículo 66.1 a).</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66.4.</w:t>
      </w:r>
      <w:r w:rsidRPr="00815992">
        <w:rPr>
          <w:rStyle w:val="TextoNormalCaracter"/>
        </w:rPr>
        <w:t>-</w:t>
      </w:r>
      <w:r>
        <w:t xml:space="preserve"> Sentencia </w:t>
      </w:r>
      <w:hyperlink w:anchor="SENTENCIA_1992_35" w:history="1">
        <w:r w:rsidRPr="00815992">
          <w:rPr>
            <w:rStyle w:val="TextoNormalCaracter"/>
          </w:rPr>
          <w:t>35/1992</w:t>
        </w:r>
      </w:hyperlink>
      <w:r>
        <w:t>, f. 7.</w:t>
      </w:r>
    </w:p>
    <w:p w:rsidR="00815992" w:rsidRDefault="00815992" w:rsidP="00815992">
      <w:pPr>
        <w:pStyle w:val="SangriaFrancesaArticulo"/>
      </w:pPr>
      <w:r w:rsidRPr="00815992">
        <w:rPr>
          <w:rStyle w:val="TextoNormalNegritaCaracter"/>
        </w:rPr>
        <w:t>Artículo 76 a 81.</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77.</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78.</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79.</w:t>
      </w:r>
      <w:r w:rsidRPr="00815992">
        <w:rPr>
          <w:rStyle w:val="TextoNormalCaracter"/>
        </w:rPr>
        <w:t>-</w:t>
      </w:r>
      <w:r>
        <w:t xml:space="preserve"> Sentencia </w:t>
      </w:r>
      <w:hyperlink w:anchor="SENTENCIA_1992_35" w:history="1">
        <w:r w:rsidRPr="00815992">
          <w:rPr>
            <w:rStyle w:val="TextoNormalCaracter"/>
          </w:rPr>
          <w:t>35/1992</w:t>
        </w:r>
      </w:hyperlink>
      <w:r>
        <w:t>, f. 8.</w:t>
      </w:r>
    </w:p>
    <w:p w:rsidR="00815992" w:rsidRDefault="00815992" w:rsidP="00815992">
      <w:pPr>
        <w:pStyle w:val="SangriaFrancesaArticulo"/>
      </w:pPr>
      <w:r w:rsidRPr="00815992">
        <w:rPr>
          <w:rStyle w:val="TextoNormalNegritaCaracter"/>
        </w:rPr>
        <w:t>Artículo 85.2.</w:t>
      </w:r>
      <w:r w:rsidRPr="00815992">
        <w:rPr>
          <w:rStyle w:val="TextoNormalCaracter"/>
        </w:rPr>
        <w:t>-</w:t>
      </w:r>
      <w:r>
        <w:t xml:space="preserve"> Sentencia </w:t>
      </w:r>
      <w:hyperlink w:anchor="SENTENCIA_1992_35" w:history="1">
        <w:r w:rsidRPr="00815992">
          <w:rPr>
            <w:rStyle w:val="TextoNormalCaracter"/>
          </w:rPr>
          <w:t>35/1992</w:t>
        </w:r>
      </w:hyperlink>
      <w:r>
        <w:t>, f. 9.</w:t>
      </w:r>
    </w:p>
    <w:p w:rsidR="00815992" w:rsidRDefault="00815992" w:rsidP="00815992">
      <w:pPr>
        <w:pStyle w:val="SangriaFrancesaArticulo"/>
      </w:pPr>
      <w:r w:rsidRPr="00815992">
        <w:rPr>
          <w:rStyle w:val="TextoNormalNegritaCaracter"/>
        </w:rPr>
        <w:t>Artículo 85.3.</w:t>
      </w:r>
      <w:r w:rsidRPr="00815992">
        <w:rPr>
          <w:rStyle w:val="TextoNormalCaracter"/>
        </w:rPr>
        <w:t>-</w:t>
      </w:r>
      <w:r>
        <w:t xml:space="preserve"> Sentencia </w:t>
      </w:r>
      <w:hyperlink w:anchor="SENTENCIA_1992_35" w:history="1">
        <w:r w:rsidRPr="00815992">
          <w:rPr>
            <w:rStyle w:val="TextoNormalCaracter"/>
          </w:rPr>
          <w:t>35/1992</w:t>
        </w:r>
      </w:hyperlink>
      <w:r>
        <w:t>, f. 9.</w:t>
      </w:r>
    </w:p>
    <w:p w:rsidR="00815992" w:rsidRDefault="00815992" w:rsidP="00815992">
      <w:pPr>
        <w:pStyle w:val="SangriaFrancesaArticulo"/>
      </w:pPr>
      <w:r w:rsidRPr="00815992">
        <w:rPr>
          <w:rStyle w:val="TextoNormalNegritaCaracter"/>
        </w:rPr>
        <w:t>Artículo 92.1.</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93.1.</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93.3.</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106.1.</w:t>
      </w:r>
      <w:r w:rsidRPr="00815992">
        <w:rPr>
          <w:rStyle w:val="TextoNormalCaracter"/>
        </w:rPr>
        <w:t>-</w:t>
      </w:r>
      <w:r>
        <w:t xml:space="preserve"> Sentencia </w:t>
      </w:r>
      <w:hyperlink w:anchor="SENTENCIA_1992_35" w:history="1">
        <w:r w:rsidRPr="00815992">
          <w:rPr>
            <w:rStyle w:val="TextoNormalCaracter"/>
          </w:rPr>
          <w:t>35/1992</w:t>
        </w:r>
      </w:hyperlink>
      <w:r>
        <w:t>, f. 10.</w:t>
      </w:r>
    </w:p>
    <w:p w:rsidR="00815992" w:rsidRDefault="00815992" w:rsidP="00815992">
      <w:pPr>
        <w:pStyle w:val="SangriaFrancesaArticulo"/>
      </w:pPr>
      <w:r w:rsidRPr="00815992">
        <w:rPr>
          <w:rStyle w:val="TextoNormalNegritaCaracter"/>
        </w:rPr>
        <w:t>Artículo 113.2.</w:t>
      </w:r>
      <w:r w:rsidRPr="00815992">
        <w:rPr>
          <w:rStyle w:val="TextoNormalCaracter"/>
        </w:rPr>
        <w:t>-</w:t>
      </w:r>
      <w:r>
        <w:t xml:space="preserve"> Sentencia </w:t>
      </w:r>
      <w:hyperlink w:anchor="SENTENCIA_1992_35" w:history="1">
        <w:r w:rsidRPr="00815992">
          <w:rPr>
            <w:rStyle w:val="TextoNormalCaracter"/>
          </w:rPr>
          <w:t>35/1992</w:t>
        </w:r>
      </w:hyperlink>
      <w:r>
        <w:t>, f. 11.</w:t>
      </w:r>
    </w:p>
    <w:p w:rsidR="00815992" w:rsidRDefault="00815992" w:rsidP="00815992">
      <w:pPr>
        <w:pStyle w:val="SangriaFrancesaArticulo"/>
      </w:pPr>
      <w:r w:rsidRPr="00815992">
        <w:rPr>
          <w:rStyle w:val="TextoNormalNegritaCaracter"/>
        </w:rPr>
        <w:t>Artículo 117.</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117.2.</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117.3.</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117.4.</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117.5.</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Artículo 124 j).</w:t>
      </w:r>
      <w:r w:rsidRPr="00815992">
        <w:rPr>
          <w:rStyle w:val="TextoNormalCaracter"/>
        </w:rPr>
        <w:t>-</w:t>
      </w:r>
      <w:r>
        <w:t xml:space="preserve"> Sentencia </w:t>
      </w:r>
      <w:hyperlink w:anchor="SENTENCIA_1992_35" w:history="1">
        <w:r w:rsidRPr="00815992">
          <w:rPr>
            <w:rStyle w:val="TextoNormalCaracter"/>
          </w:rPr>
          <w:t>35/1992</w:t>
        </w:r>
      </w:hyperlink>
      <w:r>
        <w:t>, f. 12.</w:t>
      </w:r>
    </w:p>
    <w:p w:rsidR="00815992" w:rsidRDefault="00815992" w:rsidP="00815992">
      <w:pPr>
        <w:pStyle w:val="SangriaFrancesaArticulo"/>
      </w:pPr>
      <w:r w:rsidRPr="00815992">
        <w:rPr>
          <w:rStyle w:val="TextoNormalNegritaCaracter"/>
        </w:rPr>
        <w:t>Disposición transitoria segunda.</w:t>
      </w:r>
      <w:r w:rsidRPr="00815992">
        <w:rPr>
          <w:rStyle w:val="TextoNormalCaracter"/>
        </w:rPr>
        <w:t>-</w:t>
      </w:r>
      <w:r>
        <w:t xml:space="preserve"> Sentencia </w:t>
      </w:r>
      <w:hyperlink w:anchor="SENTENCIA_1992_35" w:history="1">
        <w:r w:rsidRPr="00815992">
          <w:rPr>
            <w:rStyle w:val="TextoNormalCaracter"/>
          </w:rPr>
          <w:t>35/1992</w:t>
        </w:r>
      </w:hyperlink>
      <w:r>
        <w:t>, f. 14.</w:t>
      </w:r>
    </w:p>
    <w:p w:rsidR="00815992" w:rsidRDefault="00815992" w:rsidP="00815992">
      <w:pPr>
        <w:pStyle w:val="SangriaFrancesaArticulo"/>
      </w:pPr>
      <w:r w:rsidRPr="00815992">
        <w:rPr>
          <w:rStyle w:val="TextoNormalNegritaCaracter"/>
        </w:rPr>
        <w:t>Disposición transitoria sexta, apartado 2.</w:t>
      </w:r>
      <w:r w:rsidRPr="00815992">
        <w:rPr>
          <w:rStyle w:val="TextoNormalCaracter"/>
        </w:rPr>
        <w:t>-</w:t>
      </w:r>
      <w:r>
        <w:t xml:space="preserve"> Sentencia </w:t>
      </w:r>
      <w:hyperlink w:anchor="SENTENCIA_1992_35" w:history="1">
        <w:r w:rsidRPr="00815992">
          <w:rPr>
            <w:rStyle w:val="TextoNormalCaracter"/>
          </w:rPr>
          <w:t>35/1992</w:t>
        </w:r>
      </w:hyperlink>
      <w:r>
        <w:t>, f. 14.</w:t>
      </w:r>
    </w:p>
    <w:p w:rsidR="00815992" w:rsidRDefault="00815992" w:rsidP="00815992">
      <w:pPr>
        <w:pStyle w:val="SangriaFrancesaArticulo"/>
      </w:pPr>
      <w:r w:rsidRPr="00815992">
        <w:rPr>
          <w:rStyle w:val="TextoNormalNegritaCaracter"/>
        </w:rPr>
        <w:t>Disposición final primera.</w:t>
      </w:r>
      <w:r w:rsidRPr="00815992">
        <w:rPr>
          <w:rStyle w:val="TextoNormalCaracter"/>
        </w:rPr>
        <w:t>-</w:t>
      </w:r>
      <w:r>
        <w:t xml:space="preserve"> Sentencia </w:t>
      </w:r>
      <w:hyperlink w:anchor="SENTENCIA_1992_35" w:history="1">
        <w:r w:rsidRPr="00815992">
          <w:rPr>
            <w:rStyle w:val="TextoNormalCaracter"/>
          </w:rPr>
          <w:t>35/1992</w:t>
        </w:r>
      </w:hyperlink>
      <w:r>
        <w:t>, ff. 4, 13.</w:t>
      </w:r>
    </w:p>
    <w:p w:rsidR="00815992" w:rsidRDefault="00815992" w:rsidP="00815992">
      <w:pPr>
        <w:pStyle w:val="SangriaFrancesaArticulo"/>
      </w:pPr>
      <w:r w:rsidRPr="00815992">
        <w:rPr>
          <w:rStyle w:val="TextoNormalNegritaCaracter"/>
        </w:rPr>
        <w:t>Disposición final primera, apartado 1.</w:t>
      </w:r>
      <w:r w:rsidRPr="00815992">
        <w:rPr>
          <w:rStyle w:val="TextoNormalCaracter"/>
        </w:rPr>
        <w:t>-</w:t>
      </w:r>
      <w:r>
        <w:t xml:space="preserve"> Sentencia </w:t>
      </w:r>
      <w:hyperlink w:anchor="SENTENCIA_1992_35" w:history="1">
        <w:r w:rsidRPr="00815992">
          <w:rPr>
            <w:rStyle w:val="TextoNormalCaracter"/>
          </w:rPr>
          <w:t>35/1992</w:t>
        </w:r>
      </w:hyperlink>
      <w:r>
        <w:t>, ff. 3, 13.</w:t>
      </w:r>
    </w:p>
    <w:p w:rsidR="00815992" w:rsidRDefault="00815992" w:rsidP="00815992">
      <w:pPr>
        <w:pStyle w:val="SangriaFrancesaArticulo"/>
      </w:pPr>
      <w:r w:rsidRPr="00815992">
        <w:rPr>
          <w:rStyle w:val="TextoNormalNegritaCaracter"/>
        </w:rPr>
        <w:t>Disposición final primera, apartado 2.</w:t>
      </w:r>
      <w:r w:rsidRPr="00815992">
        <w:rPr>
          <w:rStyle w:val="TextoNormalCaracter"/>
        </w:rPr>
        <w:t>-</w:t>
      </w:r>
      <w:r>
        <w:t xml:space="preserve"> Sentencia </w:t>
      </w:r>
      <w:hyperlink w:anchor="SENTENCIA_1992_35" w:history="1">
        <w:r w:rsidRPr="00815992">
          <w:rPr>
            <w:rStyle w:val="TextoNormalCaracter"/>
          </w:rPr>
          <w:t>35/1992</w:t>
        </w:r>
      </w:hyperlink>
      <w:r>
        <w:t>, ff. 3, 13.</w:t>
      </w:r>
    </w:p>
    <w:p w:rsidR="00815992" w:rsidRDefault="00815992" w:rsidP="00815992">
      <w:pPr>
        <w:pStyle w:val="SangriaFrancesaArticulo"/>
      </w:pPr>
      <w:r w:rsidRPr="00815992">
        <w:rPr>
          <w:rStyle w:val="TextoNormalNegritaCaracter"/>
        </w:rPr>
        <w:t>Disposición final primera, apartado 3.</w:t>
      </w:r>
      <w:r w:rsidRPr="00815992">
        <w:rPr>
          <w:rStyle w:val="TextoNormalCaracter"/>
        </w:rPr>
        <w:t>-</w:t>
      </w:r>
      <w:r>
        <w:t xml:space="preserve"> Sentencia </w:t>
      </w:r>
      <w:hyperlink w:anchor="SENTENCIA_1992_35" w:history="1">
        <w:r w:rsidRPr="00815992">
          <w:rPr>
            <w:rStyle w:val="TextoNormalCaracter"/>
          </w:rPr>
          <w:t>35/1992</w:t>
        </w:r>
      </w:hyperlink>
      <w:r>
        <w:t>, ff. 3 a 8, 13, VP.</w:t>
      </w:r>
    </w:p>
    <w:p w:rsidR="00815992" w:rsidRDefault="00815992" w:rsidP="00815992">
      <w:pPr>
        <w:pStyle w:val="SangriaFrancesaArticulo"/>
      </w:pPr>
      <w:r w:rsidRPr="00815992">
        <w:rPr>
          <w:rStyle w:val="TextoNormalNegritaCaracter"/>
        </w:rPr>
        <w:t>Disposición final primera, apartado 4.</w:t>
      </w:r>
      <w:r w:rsidRPr="00815992">
        <w:rPr>
          <w:rStyle w:val="TextoNormalCaracter"/>
        </w:rPr>
        <w:t>-</w:t>
      </w:r>
      <w:r>
        <w:t xml:space="preserve"> Sentencia </w:t>
      </w:r>
      <w:hyperlink w:anchor="SENTENCIA_1992_35" w:history="1">
        <w:r w:rsidRPr="00815992">
          <w:rPr>
            <w:rStyle w:val="TextoNormalCaracter"/>
          </w:rPr>
          <w:t>35/1992</w:t>
        </w:r>
      </w:hyperlink>
      <w:r>
        <w:t>, ff. 4, 6, 7, 13.</w:t>
      </w:r>
    </w:p>
    <w:p w:rsidR="00815992" w:rsidRDefault="00815992" w:rsidP="00815992">
      <w:pPr>
        <w:pStyle w:val="SangriaFrancesaArticulo"/>
      </w:pPr>
      <w:r w:rsidRPr="00815992">
        <w:rPr>
          <w:rStyle w:val="TextoNormalNegritaCaracter"/>
        </w:rPr>
        <w:t>Disposición final tercera.</w:t>
      </w:r>
      <w:r w:rsidRPr="00815992">
        <w:rPr>
          <w:rStyle w:val="TextoNormalCaracter"/>
        </w:rPr>
        <w:t>-</w:t>
      </w:r>
      <w:r>
        <w:t xml:space="preserve"> Sentencia </w:t>
      </w:r>
      <w:hyperlink w:anchor="SENTENCIA_1992_35" w:history="1">
        <w:r w:rsidRPr="00815992">
          <w:rPr>
            <w:rStyle w:val="TextoNormalCaracter"/>
          </w:rPr>
          <w:t>35/1992</w:t>
        </w:r>
      </w:hyperlink>
      <w:r>
        <w:t>, ff. 1, 4.</w:t>
      </w:r>
    </w:p>
    <w:p w:rsidR="00815992" w:rsidRDefault="00815992" w:rsidP="00815992">
      <w:pPr>
        <w:pStyle w:val="SangriaFrancesaArticulo"/>
      </w:pPr>
    </w:p>
    <w:p w:rsidR="00815992" w:rsidRDefault="00815992" w:rsidP="00815992">
      <w:pPr>
        <w:pStyle w:val="TextoNormalNegritaCursivandice"/>
      </w:pPr>
      <w:r>
        <w:t>Real Decreto 1424/1985, de 1 de agosto. Servicio del hogar familiar</w:t>
      </w:r>
    </w:p>
    <w:p w:rsidR="00815992" w:rsidRDefault="00815992" w:rsidP="00815992">
      <w:pPr>
        <w:pStyle w:val="SangriaFrancesaArticulo"/>
      </w:pPr>
      <w:r w:rsidRPr="00815992">
        <w:rPr>
          <w:rStyle w:val="TextoNormalNegritaCaracter"/>
        </w:rPr>
        <w:t>Artículo 2.1 b).</w:t>
      </w:r>
      <w:r w:rsidRPr="00815992">
        <w:rPr>
          <w:rStyle w:val="TextoNormalCaracter"/>
        </w:rPr>
        <w:t>-</w:t>
      </w:r>
      <w:r>
        <w:t xml:space="preserve"> Sentencia </w:t>
      </w:r>
      <w:hyperlink w:anchor="SENTENCIA_1992_59" w:history="1">
        <w:r w:rsidRPr="00815992">
          <w:rPr>
            <w:rStyle w:val="TextoNormalCaracter"/>
          </w:rPr>
          <w:t>59/1992</w:t>
        </w:r>
      </w:hyperlink>
      <w:r>
        <w:t>, f. 4.</w:t>
      </w:r>
    </w:p>
    <w:p w:rsidR="00815992" w:rsidRDefault="00815992" w:rsidP="00815992">
      <w:pPr>
        <w:pStyle w:val="SangriaFrancesaArticulo"/>
      </w:pPr>
    </w:p>
    <w:p w:rsidR="00815992" w:rsidRDefault="00815992" w:rsidP="00815992">
      <w:pPr>
        <w:pStyle w:val="TextoNormalNegritaCursivandice"/>
      </w:pPr>
      <w:r>
        <w:t>Real Decreto 611/1986, de 21 de marzo. Reglamento de la Ley del Servicio Militar</w:t>
      </w:r>
    </w:p>
    <w:p w:rsidR="00815992" w:rsidRDefault="00815992" w:rsidP="00815992">
      <w:pPr>
        <w:pStyle w:val="SangriaFrancesaArticulo"/>
      </w:pPr>
      <w:r w:rsidRPr="00815992">
        <w:rPr>
          <w:rStyle w:val="TextoNormalNegritaCaracter"/>
        </w:rPr>
        <w:t>Artículo 90.</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r w:rsidRPr="00815992">
        <w:rPr>
          <w:rStyle w:val="TextoNormalNegritaCaracter"/>
        </w:rPr>
        <w:t>Artículo 90 b).</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r w:rsidRPr="00815992">
        <w:rPr>
          <w:rStyle w:val="TextoNormalNegritaCaracter"/>
        </w:rPr>
        <w:t>Artículo 94.</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r w:rsidRPr="00815992">
        <w:rPr>
          <w:rStyle w:val="TextoNormalNegritaCaracter"/>
        </w:rPr>
        <w:t>Artículo 218 b).</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r w:rsidRPr="00815992">
        <w:rPr>
          <w:rStyle w:val="TextoNormalNegritaCaracter"/>
        </w:rPr>
        <w:t>Disposición transitoria novena.</w:t>
      </w:r>
      <w:r w:rsidRPr="00815992">
        <w:rPr>
          <w:rStyle w:val="TextoNormalCaracter"/>
        </w:rPr>
        <w:t>-</w:t>
      </w:r>
      <w:r>
        <w:t xml:space="preserve"> Auto </w:t>
      </w:r>
      <w:hyperlink w:anchor="AUTO_1992_38" w:history="1">
        <w:r w:rsidRPr="00815992">
          <w:rPr>
            <w:rStyle w:val="TextoNormalCaracter"/>
          </w:rPr>
          <w:t>38/1992</w:t>
        </w:r>
      </w:hyperlink>
      <w:r>
        <w:t>.</w:t>
      </w:r>
    </w:p>
    <w:p w:rsidR="00815992" w:rsidRDefault="00815992" w:rsidP="00815992">
      <w:pPr>
        <w:pStyle w:val="SangriaFrancesaArticulo"/>
      </w:pPr>
    </w:p>
    <w:p w:rsidR="00815992" w:rsidRDefault="00815992" w:rsidP="00815992">
      <w:pPr>
        <w:pStyle w:val="TextoNormalNegritaCursivandice"/>
      </w:pPr>
      <w:r>
        <w:t>Real Decreto 942/1986, de 9 de mayo. Normas generales para la realización de experimentaciones educativas en centros docentes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8" w:history="1">
        <w:r w:rsidRPr="00815992">
          <w:rPr>
            <w:rStyle w:val="TextoNormalCaracter"/>
          </w:rPr>
          <w:t>38/1992</w:t>
        </w:r>
      </w:hyperlink>
      <w:r>
        <w:t>, ff. 2, 4 a 6.</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 </w:t>
      </w:r>
      <w:hyperlink w:anchor="SENTENCIA_1992_38" w:history="1">
        <w:r w:rsidRPr="00815992">
          <w:rPr>
            <w:rStyle w:val="TextoNormalCaracter"/>
          </w:rPr>
          <w:t>38/1992</w:t>
        </w:r>
      </w:hyperlink>
      <w:r>
        <w:t>, ff. 1, 4.</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 </w:t>
      </w:r>
      <w:hyperlink w:anchor="SENTENCIA_1992_38" w:history="1">
        <w:r w:rsidRPr="00815992">
          <w:rPr>
            <w:rStyle w:val="TextoNormalCaracter"/>
          </w:rPr>
          <w:t>38/1992</w:t>
        </w:r>
      </w:hyperlink>
      <w:r>
        <w:t>, ff. 1, 4, 5.</w:t>
      </w:r>
    </w:p>
    <w:p w:rsidR="00815992" w:rsidRDefault="00815992" w:rsidP="00815992">
      <w:pPr>
        <w:pStyle w:val="SangriaFrancesaArticulo"/>
      </w:pPr>
      <w:r w:rsidRPr="00815992">
        <w:rPr>
          <w:rStyle w:val="TextoNormalNegritaCaracter"/>
        </w:rPr>
        <w:lastRenderedPageBreak/>
        <w:t>Artículo 3.</w:t>
      </w:r>
      <w:r w:rsidRPr="00815992">
        <w:rPr>
          <w:rStyle w:val="TextoNormalCaracter"/>
        </w:rPr>
        <w:t>-</w:t>
      </w:r>
      <w:r>
        <w:t xml:space="preserve"> Sentencia </w:t>
      </w:r>
      <w:hyperlink w:anchor="SENTENCIA_1992_38" w:history="1">
        <w:r w:rsidRPr="00815992">
          <w:rPr>
            <w:rStyle w:val="TextoNormalCaracter"/>
          </w:rPr>
          <w:t>38/1992</w:t>
        </w:r>
      </w:hyperlink>
      <w:r>
        <w:t>, ff. 1, 4.</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Sentencia </w:t>
      </w:r>
      <w:hyperlink w:anchor="SENTENCIA_1992_38" w:history="1">
        <w:r w:rsidRPr="00815992">
          <w:rPr>
            <w:rStyle w:val="TextoNormalCaracter"/>
          </w:rPr>
          <w:t>38/1992</w:t>
        </w:r>
      </w:hyperlink>
      <w:r>
        <w:t>, ff. 1, 4.</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Sentencia </w:t>
      </w:r>
      <w:hyperlink w:anchor="SENTENCIA_1992_38" w:history="1">
        <w:r w:rsidRPr="00815992">
          <w:rPr>
            <w:rStyle w:val="TextoNormalCaracter"/>
          </w:rPr>
          <w:t>38/1992</w:t>
        </w:r>
      </w:hyperlink>
      <w:r>
        <w:t>, f. 1.</w:t>
      </w:r>
    </w:p>
    <w:p w:rsidR="00815992" w:rsidRDefault="00815992" w:rsidP="00815992">
      <w:pPr>
        <w:pStyle w:val="SangriaFrancesaArticulo"/>
      </w:pPr>
      <w:r w:rsidRPr="00815992">
        <w:rPr>
          <w:rStyle w:val="TextoNormalNegritaCaracter"/>
        </w:rPr>
        <w:t>Artículo 6.</w:t>
      </w:r>
      <w:r w:rsidRPr="00815992">
        <w:rPr>
          <w:rStyle w:val="TextoNormalCaracter"/>
        </w:rPr>
        <w:t>-</w:t>
      </w:r>
      <w:r>
        <w:t xml:space="preserve"> Sentencia </w:t>
      </w:r>
      <w:hyperlink w:anchor="SENTENCIA_1992_38" w:history="1">
        <w:r w:rsidRPr="00815992">
          <w:rPr>
            <w:rStyle w:val="TextoNormalCaracter"/>
          </w:rPr>
          <w:t>38/1992</w:t>
        </w:r>
      </w:hyperlink>
      <w:r>
        <w:t>, ff. 1, 6, 7.</w:t>
      </w:r>
    </w:p>
    <w:p w:rsidR="00815992" w:rsidRDefault="00815992" w:rsidP="00815992">
      <w:pPr>
        <w:pStyle w:val="SangriaFrancesaArticulo"/>
      </w:pPr>
    </w:p>
    <w:p w:rsidR="00815992" w:rsidRDefault="00815992" w:rsidP="00815992">
      <w:pPr>
        <w:pStyle w:val="TextoNormalNegritaCursivandice"/>
      </w:pPr>
      <w:r>
        <w:t>Real Decreto 989/1986, de 23 de mayo. Retribuciones del Profesorado universitario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8" w:history="1">
        <w:r w:rsidRPr="00815992">
          <w:rPr>
            <w:rStyle w:val="TextoNormalCaracter"/>
          </w:rPr>
          <w:t>48/1992</w:t>
        </w:r>
      </w:hyperlink>
      <w:r>
        <w:t>, f. 1.</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48" w:history="1">
        <w:r w:rsidRPr="00815992">
          <w:rPr>
            <w:rStyle w:val="TextoNormalCaracter"/>
          </w:rPr>
          <w:t>48/1992</w:t>
        </w:r>
      </w:hyperlink>
      <w:r>
        <w:t>, f. 1.</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Sentencia </w:t>
      </w:r>
      <w:hyperlink w:anchor="SENTENCIA_1992_48" w:history="1">
        <w:r w:rsidRPr="00815992">
          <w:rPr>
            <w:rStyle w:val="TextoNormalCaracter"/>
          </w:rPr>
          <w:t>48/1992</w:t>
        </w:r>
      </w:hyperlink>
      <w:r>
        <w:t>, f. 1.</w:t>
      </w:r>
    </w:p>
    <w:p w:rsidR="00815992" w:rsidRDefault="00815992" w:rsidP="00815992">
      <w:pPr>
        <w:pStyle w:val="SangriaFrancesaArticulo"/>
      </w:pPr>
      <w:r w:rsidRPr="00815992">
        <w:rPr>
          <w:rStyle w:val="TextoNormalNegritaCaracter"/>
        </w:rPr>
        <w:t>Artículo 4.1.</w:t>
      </w:r>
      <w:r w:rsidRPr="00815992">
        <w:rPr>
          <w:rStyle w:val="TextoNormalCaracter"/>
        </w:rPr>
        <w:t>-</w:t>
      </w:r>
      <w:r>
        <w:t xml:space="preserve"> Sentencia </w:t>
      </w:r>
      <w:hyperlink w:anchor="SENTENCIA_1992_48" w:history="1">
        <w:r w:rsidRPr="00815992">
          <w:rPr>
            <w:rStyle w:val="TextoNormalCaracter"/>
          </w:rPr>
          <w:t>48/1992</w:t>
        </w:r>
      </w:hyperlink>
      <w:r>
        <w:t>, f. 1.</w:t>
      </w:r>
    </w:p>
    <w:p w:rsidR="00815992" w:rsidRDefault="00815992" w:rsidP="00815992">
      <w:pPr>
        <w:pStyle w:val="SangriaFrancesaArticulo"/>
      </w:pPr>
    </w:p>
    <w:p w:rsidR="00815992" w:rsidRDefault="00815992" w:rsidP="00815992">
      <w:pPr>
        <w:pStyle w:val="TextoNormalNegritaCursivandice"/>
      </w:pPr>
      <w:r>
        <w:t>Real Decreto 1099/1986, de 26 de mayo. Entrada, permanencia y trabajo en España de ciudadanos de los Estados miembros de las Comunidades Europeas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2" w:history="1">
        <w:r w:rsidRPr="00815992">
          <w:rPr>
            <w:rStyle w:val="TextoNormalCaracter"/>
          </w:rPr>
          <w:t>2/1992</w:t>
        </w:r>
      </w:hyperlink>
      <w:r>
        <w:t>.</w:t>
      </w:r>
    </w:p>
    <w:p w:rsidR="00815992" w:rsidRDefault="00815992" w:rsidP="00815992">
      <w:pPr>
        <w:pStyle w:val="SangriaFrancesaArticulo"/>
      </w:pPr>
      <w:r w:rsidRPr="00815992">
        <w:rPr>
          <w:rStyle w:val="TextoNormalNegritaCaracter"/>
        </w:rPr>
        <w:t>Artículo 3.1.</w:t>
      </w:r>
      <w:r w:rsidRPr="00815992">
        <w:rPr>
          <w:rStyle w:val="TextoNormalCaracter"/>
        </w:rPr>
        <w:t>-</w:t>
      </w:r>
      <w:r>
        <w:t xml:space="preserve"> Auto </w:t>
      </w:r>
      <w:hyperlink w:anchor="AUTO_1992_2" w:history="1">
        <w:r w:rsidRPr="00815992">
          <w:rPr>
            <w:rStyle w:val="TextoNormalCaracter"/>
          </w:rPr>
          <w:t>2/1992</w:t>
        </w:r>
      </w:hyperlink>
      <w:r>
        <w:t>.</w:t>
      </w:r>
    </w:p>
    <w:p w:rsidR="00815992" w:rsidRDefault="00815992" w:rsidP="00815992">
      <w:pPr>
        <w:pStyle w:val="SangriaFrancesaArticulo"/>
      </w:pPr>
    </w:p>
    <w:p w:rsidR="00815992" w:rsidRDefault="00815992" w:rsidP="00815992">
      <w:pPr>
        <w:pStyle w:val="TextoNormalNegritaCursivandice"/>
      </w:pPr>
      <w:r>
        <w:t>Real Decreto 1119/1986, de 26 de mayo. Reglamento de ejecución de la Ley Orgánica 7/1985, de 1 de julio, sobre derechos y libertades de los extranjeros en España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23" w:history="1">
        <w:r w:rsidRPr="00815992">
          <w:rPr>
            <w:rStyle w:val="TextoNormalCaracter"/>
          </w:rPr>
          <w:t>23/1992</w:t>
        </w:r>
      </w:hyperlink>
      <w:r>
        <w:t>.</w:t>
      </w:r>
    </w:p>
    <w:p w:rsidR="00815992" w:rsidRDefault="00815992" w:rsidP="00815992">
      <w:pPr>
        <w:pStyle w:val="SangriaFrancesaArticulo"/>
      </w:pPr>
    </w:p>
    <w:p w:rsidR="00815992" w:rsidRDefault="00815992" w:rsidP="00815992">
      <w:pPr>
        <w:pStyle w:val="TextoNormalNegritaCursivandice"/>
      </w:pPr>
      <w:r>
        <w:t>Orden del Ministerio de Sanidad y Consumo, de 19 de junio de 1986. Integración del personal de las Clínicas Universitarias en los regímenes estatutarios de la Seguridad Social</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r w:rsidRPr="00815992">
        <w:rPr>
          <w:rStyle w:val="TextoNormalNegritaCaracter"/>
        </w:rPr>
        <w:t>Artículo 3.4 g).</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r w:rsidRPr="00815992">
        <w:rPr>
          <w:rStyle w:val="TextoNormalNegritaCaracter"/>
        </w:rPr>
        <w:t>Disposición final primera.</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p>
    <w:p w:rsidR="00815992" w:rsidRDefault="00815992" w:rsidP="00815992">
      <w:pPr>
        <w:pStyle w:val="TextoNormalNegritaCursivandice"/>
      </w:pPr>
      <w:r>
        <w:t>Real Decreto 1671/1986, de 1 de agosto. Reglamento de la Ley de cesión de bienes del patrimonio sindical acumulado</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Sentencia </w:t>
      </w:r>
      <w:hyperlink w:anchor="SENTENCIA_1992_52" w:history="1">
        <w:r w:rsidRPr="00815992">
          <w:rPr>
            <w:rStyle w:val="TextoNormalCaracter"/>
          </w:rPr>
          <w:t>52/1992</w:t>
        </w:r>
      </w:hyperlink>
      <w:r>
        <w:t>, f. 4.</w:t>
      </w:r>
    </w:p>
    <w:p w:rsidR="00815992" w:rsidRDefault="00815992" w:rsidP="00815992">
      <w:pPr>
        <w:pStyle w:val="SangriaFrancesaArticulo"/>
      </w:pPr>
    </w:p>
    <w:p w:rsidR="00815992" w:rsidRDefault="00815992" w:rsidP="00815992">
      <w:pPr>
        <w:pStyle w:val="TextoNormalNegritaCursivandice"/>
      </w:pPr>
      <w:r>
        <w:t>Orden del Ministerio de Sanidad y Consumo, de 5 de septiembre de 1986. Amplía el plazo de integración del personal de los Hospitales clínicos Universitarios en los regímenes estatutarios de la Seguridad Social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54" w:history="1">
        <w:r w:rsidRPr="00815992">
          <w:rPr>
            <w:rStyle w:val="TextoNormalCaracter"/>
          </w:rPr>
          <w:t>54/1992</w:t>
        </w:r>
      </w:hyperlink>
      <w:r>
        <w:t>.</w:t>
      </w:r>
    </w:p>
    <w:p w:rsidR="00815992" w:rsidRDefault="00815992" w:rsidP="00815992">
      <w:pPr>
        <w:pStyle w:val="SangriaFrancesaArticulo"/>
      </w:pPr>
    </w:p>
    <w:p w:rsidR="00815992" w:rsidRDefault="00815992" w:rsidP="00815992">
      <w:pPr>
        <w:pStyle w:val="TextoNormalNegritaCursivandice"/>
      </w:pPr>
      <w:r>
        <w:t>Acuerdo 1/1986, del Consejo de Política Fiscal y Financiera de las Comunidades Autónomas, de 7 de noviembre. Método para la aplicación del sistema de financiación de las Comunidades Autónomas en el período 1987-1991</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ff. 1, 2, 6, 9.</w:t>
      </w:r>
    </w:p>
    <w:p w:rsidR="00815992" w:rsidRDefault="00815992" w:rsidP="00815992">
      <w:pPr>
        <w:pStyle w:val="SangriaFrancesaArticulo"/>
      </w:pPr>
    </w:p>
    <w:p w:rsidR="00815992" w:rsidRDefault="00815992" w:rsidP="00815992">
      <w:pPr>
        <w:pStyle w:val="TextoNormalNegritaCursivandice"/>
      </w:pPr>
      <w:r>
        <w:t>Real Decreto 58/1987, de 16 de enero. Creación de dos Subdirecciones Generales en la Dirección General de la Guardia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p>
    <w:p w:rsidR="00815992" w:rsidRDefault="00815992" w:rsidP="00815992">
      <w:pPr>
        <w:pStyle w:val="TextoNormalNegritaCursivandice"/>
      </w:pPr>
      <w:r>
        <w:t>Real Decreto 219/1987, de 13 de febrero. Desarrollo y adaptación de las estructuras del sector pesquero y de la acuicultura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Real Decreto 518/1987, de 15 de abril. Prestación de servicios mínimos por «Unión Eléctrica Fenosa, S.A.», con motivo de la huelga prevista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8" w:history="1">
        <w:r w:rsidRPr="00815992">
          <w:rPr>
            <w:rStyle w:val="TextoNormalCaracter"/>
          </w:rPr>
          <w:t>8/1992</w:t>
        </w:r>
      </w:hyperlink>
      <w:r>
        <w:t>, ff. 1, 3, 4.</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 </w:t>
      </w:r>
      <w:hyperlink w:anchor="SENTENCIA_1992_8" w:history="1">
        <w:r w:rsidRPr="00815992">
          <w:rPr>
            <w:rStyle w:val="TextoNormalCaracter"/>
          </w:rPr>
          <w:t>8/1992</w:t>
        </w:r>
      </w:hyperlink>
      <w:r>
        <w:t>, f. 4.</w:t>
      </w:r>
    </w:p>
    <w:p w:rsidR="00815992" w:rsidRDefault="00815992" w:rsidP="00815992">
      <w:pPr>
        <w:pStyle w:val="SangriaFrancesaArticulo"/>
      </w:pPr>
    </w:p>
    <w:p w:rsidR="00815992" w:rsidRDefault="00815992" w:rsidP="00815992">
      <w:pPr>
        <w:pStyle w:val="TextoNormalNegritaCursivandice"/>
      </w:pPr>
      <w:r>
        <w:t>Real Decreto 808/1987, de 19 de junio. Establece un sistema de ayudas para la mejora de la eficacia de las estructuras agrarias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Orden del Ministerio de Sanidad y Consumo, de 16 de septiembre de 1987. Normas para la adjudicación de subvenciones y ayudas a Instituciones sin ánimo de lucro para financiar estudios y proyectos en materia de prevención del síndrome de inmunodeficiencia adquirida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30" w:history="1">
        <w:r w:rsidRPr="00815992">
          <w:rPr>
            <w:rStyle w:val="TextoNormalCaracter"/>
          </w:rPr>
          <w:t>30/1992</w:t>
        </w:r>
      </w:hyperlink>
      <w:r>
        <w:t>.</w:t>
      </w:r>
    </w:p>
    <w:p w:rsidR="00815992" w:rsidRDefault="00815992" w:rsidP="00815992">
      <w:pPr>
        <w:pStyle w:val="SangriaFrancesaArticulo"/>
      </w:pPr>
    </w:p>
    <w:p w:rsidR="00815992" w:rsidRDefault="00815992" w:rsidP="00815992">
      <w:pPr>
        <w:pStyle w:val="TextoNormalNegritaCursivandice"/>
      </w:pPr>
      <w:r>
        <w:t>Orden del Ministerio de Relaciones con las Cortes y de la Secretaría del Gobierno, de 20 de mayo de 1988. Reorganización de la Dirección General de la Guardia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p>
    <w:p w:rsidR="00815992" w:rsidRDefault="00815992" w:rsidP="00815992">
      <w:pPr>
        <w:pStyle w:val="TextoNormalNegritaCursivandice"/>
      </w:pPr>
      <w:r>
        <w:t>Orden del Ministerio de Sanidad y Consumo, de 6 de junio de 1988. Convoca ayudas económicas a Instituciones hospitalarias y extrahospitalarias de cualquier titularidad con destino a cooperar en la financiación de gastos, incluso personal, que origine la información, prevención, detección y tratamiento del SIDA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30" w:history="1">
        <w:r w:rsidRPr="00815992">
          <w:rPr>
            <w:rStyle w:val="TextoNormalCaracter"/>
          </w:rPr>
          <w:t>30/1992</w:t>
        </w:r>
      </w:hyperlink>
      <w:r>
        <w:t>.</w:t>
      </w:r>
    </w:p>
    <w:p w:rsidR="00815992" w:rsidRDefault="00815992" w:rsidP="00815992">
      <w:pPr>
        <w:pStyle w:val="SangriaFrancesaArticulo"/>
      </w:pPr>
    </w:p>
    <w:p w:rsidR="00815992" w:rsidRDefault="00815992" w:rsidP="00815992">
      <w:pPr>
        <w:pStyle w:val="TextoNormalNegritaCursivandice"/>
      </w:pPr>
      <w:r>
        <w:t>Orden del Ministerio de Sanidad y Consumo, de 6 de junio de 1988. Normas para la administración de subvenciones a instituciones benéfico-privadas con destino a la financiación de gastos, excepto personal, por atención y cuidado psíquico o físico a enfermos del SIDA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30" w:history="1">
        <w:r w:rsidRPr="00815992">
          <w:rPr>
            <w:rStyle w:val="TextoNormalCaracter"/>
          </w:rPr>
          <w:t>30/1992</w:t>
        </w:r>
      </w:hyperlink>
      <w:r>
        <w:t>.</w:t>
      </w:r>
    </w:p>
    <w:p w:rsidR="00815992" w:rsidRDefault="00815992" w:rsidP="00815992">
      <w:pPr>
        <w:pStyle w:val="SangriaFrancesaArticulo"/>
      </w:pPr>
    </w:p>
    <w:p w:rsidR="00815992" w:rsidRDefault="00815992" w:rsidP="00815992">
      <w:pPr>
        <w:pStyle w:val="TextoNormalNegritaCursivandice"/>
      </w:pPr>
      <w:r>
        <w:t>Real Decreto 825/1988, de 15 de julio. Regulación de los fines de interés social de la asignación tributaria del Impuesto sobre la Renta de las Personas Físicas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3.1.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Real Decreto 886/1988, de 15 de julio. Prevención de accidentes mayores en determinadas actividades industriales</w:t>
      </w:r>
    </w:p>
    <w:p w:rsidR="00815992" w:rsidRDefault="00815992" w:rsidP="00815992">
      <w:pPr>
        <w:pStyle w:val="SangriaFrancesaArticulo"/>
      </w:pPr>
      <w:r w:rsidRPr="00815992">
        <w:rPr>
          <w:rStyle w:val="TextoNormalNegritaCaracter"/>
        </w:rPr>
        <w:lastRenderedPageBreak/>
        <w:t>En general.</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4.1 e).</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4.2 a).</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4.2 b).</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6.</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9.</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Artículo 13.</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r w:rsidRPr="00815992">
        <w:rPr>
          <w:rStyle w:val="TextoNormalNegritaCaracter"/>
        </w:rPr>
        <w:t>Disposición adicional primera.</w:t>
      </w:r>
      <w:r w:rsidRPr="00815992">
        <w:rPr>
          <w:rStyle w:val="TextoNormalCaracter"/>
        </w:rPr>
        <w:t>-</w:t>
      </w:r>
      <w:r>
        <w:t xml:space="preserve"> Auto </w:t>
      </w:r>
      <w:hyperlink w:anchor="AUTO_1992_31" w:history="1">
        <w:r w:rsidRPr="00815992">
          <w:rPr>
            <w:rStyle w:val="TextoNormalCaracter"/>
          </w:rPr>
          <w:t>31/1992</w:t>
        </w:r>
      </w:hyperlink>
      <w:r>
        <w:t>.</w:t>
      </w:r>
    </w:p>
    <w:p w:rsidR="00815992" w:rsidRDefault="00815992" w:rsidP="00815992">
      <w:pPr>
        <w:pStyle w:val="SangriaFrancesaArticulo"/>
      </w:pPr>
    </w:p>
    <w:p w:rsidR="00815992" w:rsidRDefault="00815992" w:rsidP="00815992">
      <w:pPr>
        <w:pStyle w:val="TextoNormalNegritaCursivandice"/>
      </w:pPr>
      <w:r>
        <w:t>Acuerdo del Consejo General del Poder Judicial, de 10 de mayo de 1989.   Determina la fecha de supresión del Tribunal Central de Trabajo y finalización del ejercicio de su competencia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8" w:history="1">
        <w:r w:rsidRPr="00815992">
          <w:rPr>
            <w:rStyle w:val="TextoNormalCaracter"/>
          </w:rPr>
          <w:t>58/1992</w:t>
        </w:r>
      </w:hyperlink>
      <w:r>
        <w:t>, f. 3.</w:t>
      </w:r>
    </w:p>
    <w:p w:rsidR="00815992" w:rsidRDefault="00815992" w:rsidP="00815992">
      <w:pPr>
        <w:pStyle w:val="TextoNormal"/>
      </w:pPr>
    </w:p>
    <w:p w:rsidR="00815992" w:rsidRDefault="00815992" w:rsidP="00815992">
      <w:pPr>
        <w:pStyle w:val="SangriaFrancesaArticulo"/>
      </w:pPr>
      <w:bookmarkStart w:id="198" w:name="INDICE22850"/>
    </w:p>
    <w:bookmarkEnd w:id="198"/>
    <w:p w:rsidR="00815992" w:rsidRDefault="00815992" w:rsidP="00815992">
      <w:pPr>
        <w:pStyle w:val="TextoIndiceNivel2"/>
        <w:suppressAutoHyphens/>
      </w:pPr>
      <w:r>
        <w:t>I) Legislación preconstitucional</w:t>
      </w:r>
    </w:p>
    <w:p w:rsidR="00815992" w:rsidRDefault="00815992" w:rsidP="00815992">
      <w:pPr>
        <w:pStyle w:val="TextoIndiceNivel2"/>
      </w:pPr>
    </w:p>
    <w:p w:rsidR="00815992" w:rsidRDefault="00815992" w:rsidP="00815992">
      <w:pPr>
        <w:pStyle w:val="TextoNormalNegritaCursivandice"/>
      </w:pPr>
      <w:r>
        <w:t>Real Decreto de 3 de febrero de 1881. Ley de enjuiciamiento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14" w:history="1">
        <w:r w:rsidRPr="00815992">
          <w:rPr>
            <w:rStyle w:val="TextoNormalCaracter"/>
          </w:rPr>
          <w:t>14/1992</w:t>
        </w:r>
      </w:hyperlink>
      <w:r>
        <w:t xml:space="preserve">, f. 9; </w:t>
      </w:r>
      <w:hyperlink w:anchor="SENTENCIA_1992_31" w:history="1">
        <w:r w:rsidRPr="00815992">
          <w:rPr>
            <w:rStyle w:val="TextoNormalCaracter"/>
          </w:rPr>
          <w:t>31/1992</w:t>
        </w:r>
      </w:hyperlink>
      <w:r>
        <w:t xml:space="preserve">, f. 2; </w:t>
      </w:r>
      <w:hyperlink w:anchor="SENTENCIA_1992_33" w:history="1">
        <w:r w:rsidRPr="00815992">
          <w:rPr>
            <w:rStyle w:val="TextoNormalCaracter"/>
          </w:rPr>
          <w:t>33/1992</w:t>
        </w:r>
      </w:hyperlink>
      <w:r>
        <w:t xml:space="preserve">, f. 2; </w:t>
      </w:r>
      <w:hyperlink w:anchor="SENTENCIA_1992_47" w:history="1">
        <w:r w:rsidRPr="00815992">
          <w:rPr>
            <w:rStyle w:val="TextoNormalCaracter"/>
          </w:rPr>
          <w:t>47/1992</w:t>
        </w:r>
      </w:hyperlink>
      <w:r>
        <w:t xml:space="preserve">, ff. 2, 3; </w:t>
      </w:r>
      <w:hyperlink w:anchor="SENTENCIA_1992_64" w:history="1">
        <w:r w:rsidRPr="00815992">
          <w:rPr>
            <w:rStyle w:val="TextoNormalCaracter"/>
          </w:rPr>
          <w:t>64/1992</w:t>
        </w:r>
      </w:hyperlink>
      <w:r>
        <w:t>, f. 4.</w:t>
      </w:r>
    </w:p>
    <w:p w:rsidR="00815992" w:rsidRDefault="00815992" w:rsidP="00815992">
      <w:pPr>
        <w:pStyle w:val="SangriaFrancesaArticulo"/>
      </w:pPr>
      <w:r w:rsidRPr="00815992">
        <w:rPr>
          <w:rStyle w:val="TextoNormalNegritaCaracter"/>
        </w:rPr>
        <w:t>Libro II, título XV.</w:t>
      </w:r>
      <w:r w:rsidRPr="00815992">
        <w:rPr>
          <w:rStyle w:val="TextoNormalCaracter"/>
        </w:rPr>
        <w:t>-</w:t>
      </w:r>
      <w:r>
        <w:t xml:space="preserve"> Sentencia </w:t>
      </w:r>
      <w:hyperlink w:anchor="SENTENCIA_1992_14" w:history="1">
        <w:r w:rsidRPr="00815992">
          <w:rPr>
            <w:rStyle w:val="TextoNormalCaracter"/>
          </w:rPr>
          <w:t>14/1992</w:t>
        </w:r>
      </w:hyperlink>
      <w:r>
        <w:t>, f. 5.</w:t>
      </w:r>
    </w:p>
    <w:p w:rsidR="00815992" w:rsidRDefault="00815992" w:rsidP="00815992">
      <w:pPr>
        <w:pStyle w:val="SangriaFrancesaArticulo"/>
      </w:pPr>
      <w:r w:rsidRPr="00815992">
        <w:rPr>
          <w:rStyle w:val="TextoNormalNegritaCaracter"/>
        </w:rPr>
        <w:t>Artículo 9.2.</w:t>
      </w:r>
      <w:r w:rsidRPr="00815992">
        <w:rPr>
          <w:rStyle w:val="TextoNormalCaracter"/>
        </w:rPr>
        <w:t>-</w:t>
      </w:r>
      <w:r>
        <w:t xml:space="preserve"> Sentencia </w:t>
      </w:r>
      <w:hyperlink w:anchor="SENTENCIA_1992_22" w:history="1">
        <w:r w:rsidRPr="00815992">
          <w:rPr>
            <w:rStyle w:val="TextoNormalCaracter"/>
          </w:rPr>
          <w:t>22/1992</w:t>
        </w:r>
      </w:hyperlink>
      <w:r>
        <w:t>, f. 1.</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 </w:t>
      </w:r>
      <w:hyperlink w:anchor="SENTENCIA_1992_16" w:history="1">
        <w:r w:rsidRPr="00815992">
          <w:rPr>
            <w:rStyle w:val="TextoNormalCaracter"/>
          </w:rPr>
          <w:t>16/1992</w:t>
        </w:r>
      </w:hyperlink>
      <w:r>
        <w:t>, f. 3.</w:t>
      </w:r>
    </w:p>
    <w:p w:rsidR="00815992" w:rsidRDefault="00815992" w:rsidP="00815992">
      <w:pPr>
        <w:pStyle w:val="SangriaFrancesaArticulo"/>
      </w:pPr>
      <w:r w:rsidRPr="00815992">
        <w:rPr>
          <w:rStyle w:val="TextoNormalNegritaCaracter"/>
        </w:rPr>
        <w:t>Artículo 10.2.</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11.2.</w:t>
      </w:r>
      <w:r w:rsidRPr="00815992">
        <w:rPr>
          <w:rStyle w:val="TextoNormalCaracter"/>
        </w:rPr>
        <w:t>-</w:t>
      </w:r>
      <w:r>
        <w:t xml:space="preserve"> Auto </w:t>
      </w:r>
      <w:hyperlink w:anchor="AUTO_1992_9" w:history="1">
        <w:r w:rsidRPr="00815992">
          <w:rPr>
            <w:rStyle w:val="TextoNormalCaracter"/>
          </w:rPr>
          <w:t>9/1992</w:t>
        </w:r>
      </w:hyperlink>
      <w:r>
        <w:t>.</w:t>
      </w:r>
    </w:p>
    <w:p w:rsidR="00815992" w:rsidRDefault="00815992" w:rsidP="00815992">
      <w:pPr>
        <w:pStyle w:val="SangriaFrancesaArticulo"/>
      </w:pPr>
      <w:r w:rsidRPr="00815992">
        <w:rPr>
          <w:rStyle w:val="TextoNormalNegritaCaracter"/>
        </w:rPr>
        <w:t>Artículo 80.</w:t>
      </w:r>
      <w:r w:rsidRPr="00815992">
        <w:rPr>
          <w:rStyle w:val="TextoNormalCaracter"/>
        </w:rPr>
        <w:t>-</w:t>
      </w:r>
      <w:r>
        <w:t xml:space="preserve"> Auto </w:t>
      </w:r>
      <w:hyperlink w:anchor="AUTO_1992_32" w:history="1">
        <w:r w:rsidRPr="00815992">
          <w:rPr>
            <w:rStyle w:val="TextoNormalCaracter"/>
          </w:rPr>
          <w:t>32/1992</w:t>
        </w:r>
      </w:hyperlink>
      <w:r>
        <w:t>.</w:t>
      </w:r>
    </w:p>
    <w:p w:rsidR="00815992" w:rsidRDefault="00815992" w:rsidP="00815992">
      <w:pPr>
        <w:pStyle w:val="SangriaFrancesaArticulo"/>
      </w:pPr>
      <w:r w:rsidRPr="00815992">
        <w:rPr>
          <w:rStyle w:val="TextoNormalNegritaCaracter"/>
        </w:rPr>
        <w:t>Artículo 269.</w:t>
      </w:r>
      <w:r w:rsidRPr="00815992">
        <w:rPr>
          <w:rStyle w:val="TextoNormalCaracter"/>
        </w:rPr>
        <w:t>-</w:t>
      </w:r>
      <w:r>
        <w:t xml:space="preserve"> Sentencia </w:t>
      </w:r>
      <w:hyperlink w:anchor="SENTENCIA_1992_22" w:history="1">
        <w:r w:rsidRPr="00815992">
          <w:rPr>
            <w:rStyle w:val="TextoNormalCaracter"/>
          </w:rPr>
          <w:t>22/1992</w:t>
        </w:r>
      </w:hyperlink>
      <w:r>
        <w:t>, f. 3.</w:t>
      </w:r>
    </w:p>
    <w:p w:rsidR="00815992" w:rsidRDefault="00815992" w:rsidP="00815992">
      <w:pPr>
        <w:pStyle w:val="SangriaFrancesaArticulo"/>
      </w:pPr>
      <w:r w:rsidRPr="00815992">
        <w:rPr>
          <w:rStyle w:val="TextoNormalNegritaCaracter"/>
        </w:rPr>
        <w:t>Artículo 270.</w:t>
      </w:r>
      <w:r w:rsidRPr="00815992">
        <w:rPr>
          <w:rStyle w:val="TextoNormalCaracter"/>
        </w:rPr>
        <w:t>-</w:t>
      </w:r>
      <w:r>
        <w:t xml:space="preserve"> Sentencia </w:t>
      </w:r>
      <w:hyperlink w:anchor="SENTENCIA_1992_22" w:history="1">
        <w:r w:rsidRPr="00815992">
          <w:rPr>
            <w:rStyle w:val="TextoNormalCaracter"/>
          </w:rPr>
          <w:t>22/1992</w:t>
        </w:r>
      </w:hyperlink>
      <w:r>
        <w:t>, f. 3.</w:t>
      </w:r>
    </w:p>
    <w:p w:rsidR="00815992" w:rsidRDefault="00815992" w:rsidP="00815992">
      <w:pPr>
        <w:pStyle w:val="SangriaFrancesaArticulo"/>
      </w:pPr>
      <w:r w:rsidRPr="00815992">
        <w:rPr>
          <w:rStyle w:val="TextoNormalNegritaCaracter"/>
        </w:rPr>
        <w:t>Artículo 272.</w:t>
      </w:r>
      <w:r w:rsidRPr="00815992">
        <w:rPr>
          <w:rStyle w:val="TextoNormalCaracter"/>
        </w:rPr>
        <w:t>-</w:t>
      </w:r>
      <w:r>
        <w:t xml:space="preserve"> Sentencia </w:t>
      </w:r>
      <w:hyperlink w:anchor="SENTENCIA_1992_14" w:history="1">
        <w:r w:rsidRPr="00815992">
          <w:rPr>
            <w:rStyle w:val="TextoNormalCaracter"/>
          </w:rPr>
          <w:t>14/1992</w:t>
        </w:r>
      </w:hyperlink>
      <w:r>
        <w:t>, f. 10.</w:t>
      </w:r>
    </w:p>
    <w:p w:rsidR="00815992" w:rsidRDefault="00815992" w:rsidP="00815992">
      <w:pPr>
        <w:pStyle w:val="SangriaFrancesaArticulo"/>
      </w:pPr>
      <w:r w:rsidRPr="00815992">
        <w:rPr>
          <w:rStyle w:val="TextoNormalNegritaCaracter"/>
        </w:rPr>
        <w:t>Artículo 363.</w:t>
      </w:r>
      <w:r w:rsidRPr="00815992">
        <w:rPr>
          <w:rStyle w:val="TextoNormalCaracter"/>
        </w:rPr>
        <w:t>-</w:t>
      </w:r>
      <w:r>
        <w:t xml:space="preserve"> Sentencia </w:t>
      </w:r>
      <w:hyperlink w:anchor="SENTENCIA_1992_27" w:history="1">
        <w:r w:rsidRPr="00815992">
          <w:rPr>
            <w:rStyle w:val="TextoNormalCaracter"/>
          </w:rPr>
          <w:t>27/1992</w:t>
        </w:r>
      </w:hyperlink>
      <w:r>
        <w:t>, f. 2.</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377.</w:t>
      </w:r>
      <w:r w:rsidRPr="00815992">
        <w:rPr>
          <w:rStyle w:val="TextoNormalCaracter"/>
        </w:rPr>
        <w:t>-</w:t>
      </w:r>
      <w:r>
        <w:t xml:space="preserve"> Sentencia </w:t>
      </w:r>
      <w:hyperlink w:anchor="SENTENCIA_1992_41" w:history="1">
        <w:r w:rsidRPr="00815992">
          <w:rPr>
            <w:rStyle w:val="TextoNormalCaracter"/>
          </w:rPr>
          <w:t>41/1992</w:t>
        </w:r>
      </w:hyperlink>
      <w:r>
        <w:t>, f. 1.</w:t>
      </w:r>
    </w:p>
    <w:p w:rsidR="00815992" w:rsidRDefault="00815992" w:rsidP="00815992">
      <w:pPr>
        <w:pStyle w:val="SangriaFrancesaArticulo"/>
      </w:pPr>
      <w:r w:rsidRPr="00815992">
        <w:rPr>
          <w:rStyle w:val="TextoNormalNegritaCaracter"/>
        </w:rPr>
        <w:t>Artículo 407.</w:t>
      </w:r>
      <w:r w:rsidRPr="00815992">
        <w:rPr>
          <w:rStyle w:val="TextoNormalCaracter"/>
        </w:rPr>
        <w:t>-</w:t>
      </w:r>
      <w:r>
        <w:t xml:space="preserve"> Sentencia </w:t>
      </w:r>
      <w:hyperlink w:anchor="SENTENCIA_1992_31" w:history="1">
        <w:r w:rsidRPr="00815992">
          <w:rPr>
            <w:rStyle w:val="TextoNormalCaracter"/>
          </w:rPr>
          <w:t>31/1992</w:t>
        </w:r>
      </w:hyperlink>
      <w:r>
        <w:t>, f. 1.</w:t>
      </w:r>
    </w:p>
    <w:p w:rsidR="00815992" w:rsidRDefault="00815992" w:rsidP="00815992">
      <w:pPr>
        <w:pStyle w:val="SangriaFrancesaArticulo"/>
      </w:pPr>
      <w:r w:rsidRPr="00815992">
        <w:rPr>
          <w:rStyle w:val="TextoNormalNegritaCaracter"/>
        </w:rPr>
        <w:t>Artículo 489.12.</w:t>
      </w:r>
      <w:r w:rsidRPr="00815992">
        <w:rPr>
          <w:rStyle w:val="TextoNormalCaracter"/>
        </w:rPr>
        <w:t>-</w:t>
      </w:r>
      <w:r>
        <w:t xml:space="preserve"> Sentencia </w:t>
      </w:r>
      <w:hyperlink w:anchor="SENTENCIA_1992_55" w:history="1">
        <w:r w:rsidRPr="00815992">
          <w:rPr>
            <w:rStyle w:val="TextoNormalCaracter"/>
          </w:rPr>
          <w:t>55/1992</w:t>
        </w:r>
      </w:hyperlink>
      <w:r>
        <w:t>, f. 1.</w:t>
      </w:r>
    </w:p>
    <w:p w:rsidR="00815992" w:rsidRDefault="00815992" w:rsidP="00815992">
      <w:pPr>
        <w:pStyle w:val="SangriaFrancesaArticulo"/>
      </w:pPr>
      <w:r w:rsidRPr="00815992">
        <w:rPr>
          <w:rStyle w:val="TextoNormalNegritaCaracter"/>
        </w:rPr>
        <w:t>Artículo 489.17.</w:t>
      </w:r>
      <w:r w:rsidRPr="00815992">
        <w:rPr>
          <w:rStyle w:val="TextoNormalCaracter"/>
        </w:rPr>
        <w:t>-</w:t>
      </w:r>
      <w:r>
        <w:t xml:space="preserve"> Sentencias </w:t>
      </w:r>
      <w:hyperlink w:anchor="SENTENCIA_1992_55" w:history="1">
        <w:r w:rsidRPr="00815992">
          <w:rPr>
            <w:rStyle w:val="TextoNormalCaracter"/>
          </w:rPr>
          <w:t>55/1992</w:t>
        </w:r>
      </w:hyperlink>
      <w:r>
        <w:t xml:space="preserve">, ff. 1 a 3; </w:t>
      </w:r>
      <w:hyperlink w:anchor="SENTENCIA_1992_63" w:history="1">
        <w:r w:rsidRPr="00815992">
          <w:rPr>
            <w:rStyle w:val="TextoNormalCaracter"/>
          </w:rPr>
          <w:t>63/1992</w:t>
        </w:r>
      </w:hyperlink>
      <w:r>
        <w:t>, f. 3.</w:t>
      </w:r>
    </w:p>
    <w:p w:rsidR="00815992" w:rsidRDefault="00815992" w:rsidP="00815992">
      <w:pPr>
        <w:pStyle w:val="SangriaFrancesaArticulo"/>
      </w:pPr>
      <w:r w:rsidRPr="00815992">
        <w:rPr>
          <w:rStyle w:val="TextoNormalNegritaCaracter"/>
        </w:rPr>
        <w:t>Artículo 506.</w:t>
      </w:r>
      <w:r w:rsidRPr="00815992">
        <w:rPr>
          <w:rStyle w:val="TextoNormalCaracter"/>
        </w:rPr>
        <w:t>-</w:t>
      </w:r>
      <w:r>
        <w:t xml:space="preserve"> 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511.</w:t>
      </w:r>
      <w:r w:rsidRPr="00815992">
        <w:rPr>
          <w:rStyle w:val="TextoNormalCaracter"/>
        </w:rPr>
        <w:t>-</w:t>
      </w:r>
      <w:r>
        <w:t xml:space="preserve"> Sentencia </w:t>
      </w:r>
      <w:hyperlink w:anchor="SENTENCIA_1992_43" w:history="1">
        <w:r w:rsidRPr="00815992">
          <w:rPr>
            <w:rStyle w:val="TextoNormalCaracter"/>
          </w:rPr>
          <w:t>43/1992</w:t>
        </w:r>
      </w:hyperlink>
      <w:r>
        <w:t>, f. 2.</w:t>
      </w:r>
    </w:p>
    <w:p w:rsidR="00815992" w:rsidRDefault="00815992" w:rsidP="00815992">
      <w:pPr>
        <w:pStyle w:val="SangriaFrancesaArticulo"/>
      </w:pPr>
      <w:r w:rsidRPr="00815992">
        <w:rPr>
          <w:rStyle w:val="TextoNormalNegritaCaracter"/>
        </w:rPr>
        <w:t>Artículo 514.</w:t>
      </w:r>
      <w:r w:rsidRPr="00815992">
        <w:rPr>
          <w:rStyle w:val="TextoNormalCaracter"/>
        </w:rPr>
        <w:t>-</w:t>
      </w:r>
      <w:r>
        <w:t xml:space="preserve"> Sentencia </w:t>
      </w:r>
      <w:hyperlink w:anchor="SENTENCIA_1992_43" w:history="1">
        <w:r w:rsidRPr="00815992">
          <w:rPr>
            <w:rStyle w:val="TextoNormalCaracter"/>
          </w:rPr>
          <w:t>43/1992</w:t>
        </w:r>
      </w:hyperlink>
      <w:r>
        <w:t>, f. 2.</w:t>
      </w:r>
    </w:p>
    <w:p w:rsidR="00815992" w:rsidRDefault="00815992" w:rsidP="00815992">
      <w:pPr>
        <w:pStyle w:val="SangriaIzquierdaArticulo"/>
      </w:pPr>
      <w:r>
        <w:t xml:space="preserve">Auto </w:t>
      </w:r>
      <w:hyperlink w:anchor="AUTO_1992_59" w:history="1">
        <w:r w:rsidRPr="00815992">
          <w:rPr>
            <w:rStyle w:val="TextoNormalCaracter"/>
          </w:rPr>
          <w:t>59/1992</w:t>
        </w:r>
      </w:hyperlink>
      <w:r>
        <w:t>.</w:t>
      </w:r>
    </w:p>
    <w:p w:rsidR="00815992" w:rsidRDefault="00815992" w:rsidP="00815992">
      <w:pPr>
        <w:pStyle w:val="SangriaFrancesaArticulo"/>
      </w:pPr>
      <w:r w:rsidRPr="00815992">
        <w:rPr>
          <w:rStyle w:val="TextoNormalNegritaCaracter"/>
        </w:rPr>
        <w:t>Artículo 550.</w:t>
      </w:r>
      <w:r w:rsidRPr="00815992">
        <w:rPr>
          <w:rStyle w:val="TextoNormalCaracter"/>
        </w:rPr>
        <w:t>-</w:t>
      </w:r>
      <w:r>
        <w:t xml:space="preserve"> Sentencia </w:t>
      </w:r>
      <w:hyperlink w:anchor="SENTENCIA_1992_14" w:history="1">
        <w:r w:rsidRPr="00815992">
          <w:rPr>
            <w:rStyle w:val="TextoNormalCaracter"/>
          </w:rPr>
          <w:t>14/1992</w:t>
        </w:r>
      </w:hyperlink>
      <w:r>
        <w:t>, f. 3.</w:t>
      </w:r>
    </w:p>
    <w:p w:rsidR="00815992" w:rsidRDefault="00815992" w:rsidP="00815992">
      <w:pPr>
        <w:pStyle w:val="SangriaFrancesaArticulo"/>
      </w:pPr>
      <w:r w:rsidRPr="00815992">
        <w:rPr>
          <w:rStyle w:val="TextoNormalNegritaCaracter"/>
        </w:rPr>
        <w:t>Artículo 567.</w:t>
      </w:r>
      <w:r w:rsidRPr="00815992">
        <w:rPr>
          <w:rStyle w:val="TextoNormalCaracter"/>
        </w:rPr>
        <w:t>-</w:t>
      </w:r>
      <w:r>
        <w:t xml:space="preserve"> Sentencia </w:t>
      </w:r>
      <w:hyperlink w:anchor="SENTENCIA_1992_41" w:history="1">
        <w:r w:rsidRPr="00815992">
          <w:rPr>
            <w:rStyle w:val="TextoNormalCaracter"/>
          </w:rPr>
          <w:t>41/1992</w:t>
        </w:r>
      </w:hyperlink>
      <w:r>
        <w:t>, f. 1.</w:t>
      </w:r>
    </w:p>
    <w:p w:rsidR="00815992" w:rsidRDefault="00815992" w:rsidP="00815992">
      <w:pPr>
        <w:pStyle w:val="SangriaFrancesaArticulo"/>
      </w:pPr>
      <w:r w:rsidRPr="00815992">
        <w:rPr>
          <w:rStyle w:val="TextoNormalNegritaCaracter"/>
        </w:rPr>
        <w:t>Artículo 567.2.</w:t>
      </w:r>
      <w:r w:rsidRPr="00815992">
        <w:rPr>
          <w:rStyle w:val="TextoNormalCaracter"/>
        </w:rPr>
        <w:t>-</w:t>
      </w:r>
      <w:r>
        <w:t xml:space="preserve"> Sentencia </w:t>
      </w:r>
      <w:hyperlink w:anchor="SENTENCIA_1992_41" w:history="1">
        <w:r w:rsidRPr="00815992">
          <w:rPr>
            <w:rStyle w:val="TextoNormalCaracter"/>
          </w:rPr>
          <w:t>41/1992</w:t>
        </w:r>
      </w:hyperlink>
      <w:r>
        <w:t>, f. 6.</w:t>
      </w:r>
    </w:p>
    <w:p w:rsidR="00815992" w:rsidRDefault="00815992" w:rsidP="00815992">
      <w:pPr>
        <w:pStyle w:val="SangriaFrancesaArticulo"/>
      </w:pPr>
      <w:r w:rsidRPr="00815992">
        <w:rPr>
          <w:rStyle w:val="TextoNormalNegritaCaracter"/>
        </w:rPr>
        <w:lastRenderedPageBreak/>
        <w:t>Artículo 593.</w:t>
      </w:r>
      <w:r w:rsidRPr="00815992">
        <w:rPr>
          <w:rStyle w:val="TextoNormalCaracter"/>
        </w:rPr>
        <w:t>-</w:t>
      </w:r>
      <w:r>
        <w:t xml:space="preserve"> Sentencia </w:t>
      </w:r>
      <w:hyperlink w:anchor="SENTENCIA_1992_14" w:history="1">
        <w:r w:rsidRPr="00815992">
          <w:rPr>
            <w:rStyle w:val="TextoNormalCaracter"/>
          </w:rPr>
          <w:t>14/1992</w:t>
        </w:r>
      </w:hyperlink>
      <w:r>
        <w:t>, f. 4.</w:t>
      </w:r>
    </w:p>
    <w:p w:rsidR="00815992" w:rsidRDefault="00815992" w:rsidP="00815992">
      <w:pPr>
        <w:pStyle w:val="SangriaFrancesaArticulo"/>
      </w:pPr>
      <w:r w:rsidRPr="00815992">
        <w:rPr>
          <w:rStyle w:val="TextoNormalNegritaCaracter"/>
        </w:rPr>
        <w:t>Artículo 598.</w:t>
      </w:r>
      <w:r w:rsidRPr="00815992">
        <w:rPr>
          <w:rStyle w:val="TextoNormalCaracter"/>
        </w:rPr>
        <w:t>-</w:t>
      </w:r>
      <w:r>
        <w:t xml:space="preserve"> Sentencia </w:t>
      </w:r>
      <w:hyperlink w:anchor="SENTENCIA_1992_43" w:history="1">
        <w:r w:rsidRPr="00815992">
          <w:rPr>
            <w:rStyle w:val="TextoNormalCaracter"/>
          </w:rPr>
          <w:t>43/1992</w:t>
        </w:r>
      </w:hyperlink>
      <w:r>
        <w:t>, f. 2.</w:t>
      </w:r>
    </w:p>
    <w:p w:rsidR="00815992" w:rsidRDefault="00815992" w:rsidP="00815992">
      <w:pPr>
        <w:pStyle w:val="SangriaFrancesaArticulo"/>
      </w:pPr>
      <w:r w:rsidRPr="00815992">
        <w:rPr>
          <w:rStyle w:val="TextoNormalNegritaCaracter"/>
        </w:rPr>
        <w:t>Artículo 606.</w:t>
      </w:r>
      <w:r w:rsidRPr="00815992">
        <w:rPr>
          <w:rStyle w:val="TextoNormalCaracter"/>
        </w:rPr>
        <w:t>-</w:t>
      </w:r>
      <w:r>
        <w:t xml:space="preserve"> Sentencia </w:t>
      </w:r>
      <w:hyperlink w:anchor="SENTENCIA_1992_43" w:history="1">
        <w:r w:rsidRPr="00815992">
          <w:rPr>
            <w:rStyle w:val="TextoNormalCaracter"/>
          </w:rPr>
          <w:t>43/1992</w:t>
        </w:r>
      </w:hyperlink>
      <w:r>
        <w:t>, f. 2.</w:t>
      </w:r>
    </w:p>
    <w:p w:rsidR="00815992" w:rsidRDefault="00815992" w:rsidP="00815992">
      <w:pPr>
        <w:pStyle w:val="SangriaFrancesaArticulo"/>
      </w:pPr>
      <w:r w:rsidRPr="00815992">
        <w:rPr>
          <w:rStyle w:val="TextoNormalNegritaCaracter"/>
        </w:rPr>
        <w:t>Artículo 681.</w:t>
      </w:r>
      <w:r w:rsidRPr="00815992">
        <w:rPr>
          <w:rStyle w:val="TextoNormalCaracter"/>
        </w:rPr>
        <w:t>-</w:t>
      </w:r>
      <w:r>
        <w:t xml:space="preserve"> Sentencia </w:t>
      </w:r>
      <w:hyperlink w:anchor="SENTENCIA_1992_14" w:history="1">
        <w:r w:rsidRPr="00815992">
          <w:rPr>
            <w:rStyle w:val="TextoNormalCaracter"/>
          </w:rPr>
          <w:t>14/1992</w:t>
        </w:r>
      </w:hyperlink>
      <w:r>
        <w:t>, f. 10.</w:t>
      </w:r>
    </w:p>
    <w:p w:rsidR="00815992" w:rsidRDefault="00815992" w:rsidP="00815992">
      <w:pPr>
        <w:pStyle w:val="SangriaFrancesaArticulo"/>
      </w:pPr>
      <w:r w:rsidRPr="00815992">
        <w:rPr>
          <w:rStyle w:val="TextoNormalNegritaCaracter"/>
        </w:rPr>
        <w:t>Artículo 707.</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726.</w:t>
      </w:r>
      <w:r w:rsidRPr="00815992">
        <w:rPr>
          <w:rStyle w:val="TextoNormalCaracter"/>
        </w:rPr>
        <w:t>-</w:t>
      </w:r>
      <w:r>
        <w:t xml:space="preserve"> Sentencia </w:t>
      </w:r>
      <w:hyperlink w:anchor="SENTENCIA_1992_14" w:history="1">
        <w:r w:rsidRPr="00815992">
          <w:rPr>
            <w:rStyle w:val="TextoNormalCaracter"/>
          </w:rPr>
          <w:t>14/1992</w:t>
        </w:r>
      </w:hyperlink>
      <w:r>
        <w:t>, f. 10.</w:t>
      </w:r>
    </w:p>
    <w:p w:rsidR="00815992" w:rsidRDefault="00815992" w:rsidP="00815992">
      <w:pPr>
        <w:pStyle w:val="SangriaFrancesaArticulo"/>
      </w:pPr>
      <w:r w:rsidRPr="00815992">
        <w:rPr>
          <w:rStyle w:val="TextoNormalNegritaCaracter"/>
        </w:rPr>
        <w:t>Artículo 734.</w:t>
      </w:r>
      <w:r w:rsidRPr="00815992">
        <w:rPr>
          <w:rStyle w:val="TextoNormalCaracter"/>
        </w:rPr>
        <w:t>-</w:t>
      </w:r>
      <w:r>
        <w:t xml:space="preserve"> Sentencia </w:t>
      </w:r>
      <w:hyperlink w:anchor="SENTENCIA_1992_23" w:history="1">
        <w:r w:rsidRPr="00815992">
          <w:rPr>
            <w:rStyle w:val="TextoNormalCaracter"/>
          </w:rPr>
          <w:t>23/1992</w:t>
        </w:r>
      </w:hyperlink>
      <w:r>
        <w:t>, f. 1.</w:t>
      </w:r>
    </w:p>
    <w:p w:rsidR="00815992" w:rsidRDefault="00815992" w:rsidP="00815992">
      <w:pPr>
        <w:pStyle w:val="SangriaFrancesaArticulo"/>
      </w:pPr>
      <w:r w:rsidRPr="00815992">
        <w:rPr>
          <w:rStyle w:val="TextoNormalNegritaCaracter"/>
        </w:rPr>
        <w:t>Artículo 767.</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860.</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862.</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862.1.</w:t>
      </w:r>
      <w:r w:rsidRPr="00815992">
        <w:rPr>
          <w:rStyle w:val="TextoNormalCaracter"/>
        </w:rPr>
        <w:t>-</w:t>
      </w:r>
      <w:r>
        <w:t xml:space="preserve"> Sentencia </w:t>
      </w:r>
      <w:hyperlink w:anchor="SENTENCIA_1992_1" w:history="1">
        <w:r w:rsidRPr="00815992">
          <w:rPr>
            <w:rStyle w:val="TextoNormalCaracter"/>
          </w:rPr>
          <w:t>1/1992</w:t>
        </w:r>
      </w:hyperlink>
      <w:r>
        <w:t>, f. 3.</w:t>
      </w:r>
    </w:p>
    <w:p w:rsidR="00815992" w:rsidRDefault="00815992" w:rsidP="00815992">
      <w:pPr>
        <w:pStyle w:val="SangriaFrancesaArticulo"/>
      </w:pPr>
      <w:r w:rsidRPr="00815992">
        <w:rPr>
          <w:rStyle w:val="TextoNormalNegritaCaracter"/>
        </w:rPr>
        <w:t>Artículo 862.4.</w:t>
      </w:r>
      <w:r w:rsidRPr="00815992">
        <w:rPr>
          <w:rStyle w:val="TextoNormalCaracter"/>
        </w:rPr>
        <w:t>-</w:t>
      </w:r>
      <w:r>
        <w:t xml:space="preserve"> 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862.5.</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863.</w:t>
      </w:r>
      <w:r w:rsidRPr="00815992">
        <w:rPr>
          <w:rStyle w:val="TextoNormalCaracter"/>
        </w:rPr>
        <w:t>-</w:t>
      </w:r>
      <w:r>
        <w:t xml:space="preserve"> Sentencia </w:t>
      </w:r>
      <w:hyperlink w:anchor="SENTENCIA_1992_1" w:history="1">
        <w:r w:rsidRPr="00815992">
          <w:rPr>
            <w:rStyle w:val="TextoNormalCaracter"/>
          </w:rPr>
          <w:t>1/1992</w:t>
        </w:r>
      </w:hyperlink>
      <w:r>
        <w:t>, ff. 4, 5.</w:t>
      </w:r>
    </w:p>
    <w:p w:rsidR="00815992" w:rsidRDefault="00815992" w:rsidP="00815992">
      <w:pPr>
        <w:pStyle w:val="SangriaFrancesaArticulo"/>
      </w:pPr>
      <w:r w:rsidRPr="00815992">
        <w:rPr>
          <w:rStyle w:val="TextoNormalNegritaCaracter"/>
        </w:rPr>
        <w:t>Artículo 863.2.</w:t>
      </w:r>
      <w:r w:rsidRPr="00815992">
        <w:rPr>
          <w:rStyle w:val="TextoNormalCaracter"/>
        </w:rPr>
        <w:t>-</w:t>
      </w:r>
      <w:r>
        <w:t xml:space="preserve"> Sentencia </w:t>
      </w:r>
      <w:hyperlink w:anchor="SENTENCIA_1992_1" w:history="1">
        <w:r w:rsidRPr="00815992">
          <w:rPr>
            <w:rStyle w:val="TextoNormalCaracter"/>
          </w:rPr>
          <w:t>1/1992</w:t>
        </w:r>
      </w:hyperlink>
      <w:r>
        <w:t>, f. 5.</w:t>
      </w:r>
    </w:p>
    <w:p w:rsidR="00815992" w:rsidRDefault="00815992" w:rsidP="00815992">
      <w:pPr>
        <w:pStyle w:val="SangriaIzquierdaArticulo"/>
      </w:pPr>
      <w:r>
        <w:t xml:space="preserve">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893.</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899.</w:t>
      </w:r>
      <w:r w:rsidRPr="00815992">
        <w:rPr>
          <w:rStyle w:val="TextoNormalCaracter"/>
        </w:rPr>
        <w:t>-</w:t>
      </w:r>
      <w:r>
        <w:t xml:space="preserve"> Sentencia </w:t>
      </w:r>
      <w:hyperlink w:anchor="SENTENCIA_1992_1" w:history="1">
        <w:r w:rsidRPr="00815992">
          <w:rPr>
            <w:rStyle w:val="TextoNormalCaracter"/>
          </w:rPr>
          <w:t>1/1992</w:t>
        </w:r>
      </w:hyperlink>
      <w:r>
        <w:t>, f. 4.</w:t>
      </w:r>
    </w:p>
    <w:p w:rsidR="00815992" w:rsidRDefault="00815992" w:rsidP="00815992">
      <w:pPr>
        <w:pStyle w:val="SangriaFrancesaArticulo"/>
      </w:pPr>
      <w:r w:rsidRPr="00815992">
        <w:rPr>
          <w:rStyle w:val="TextoNormalNegritaCaracter"/>
        </w:rPr>
        <w:t>Artículo 1400.</w:t>
      </w:r>
      <w:r w:rsidRPr="00815992">
        <w:rPr>
          <w:rStyle w:val="TextoNormalCaracter"/>
        </w:rPr>
        <w:t>-</w:t>
      </w:r>
      <w:r>
        <w:t xml:space="preserve"> Sentencia </w:t>
      </w:r>
      <w:hyperlink w:anchor="SENTENCIA_1992_14" w:history="1">
        <w:r w:rsidRPr="00815992">
          <w:rPr>
            <w:rStyle w:val="TextoNormalCaracter"/>
          </w:rPr>
          <w:t>14/1992</w:t>
        </w:r>
      </w:hyperlink>
      <w:r>
        <w:t>, f. 7.</w:t>
      </w:r>
    </w:p>
    <w:p w:rsidR="00815992" w:rsidRDefault="00815992" w:rsidP="00815992">
      <w:pPr>
        <w:pStyle w:val="SangriaFrancesaArticulo"/>
      </w:pPr>
      <w:r w:rsidRPr="00815992">
        <w:rPr>
          <w:rStyle w:val="TextoNormalNegritaCaracter"/>
        </w:rPr>
        <w:t>Artículo 1401.</w:t>
      </w:r>
      <w:r w:rsidRPr="00815992">
        <w:rPr>
          <w:rStyle w:val="TextoNormalCaracter"/>
        </w:rPr>
        <w:t>-</w:t>
      </w:r>
      <w:r>
        <w:t xml:space="preserve"> Sentencia </w:t>
      </w:r>
      <w:hyperlink w:anchor="SENTENCIA_1992_14" w:history="1">
        <w:r w:rsidRPr="00815992">
          <w:rPr>
            <w:rStyle w:val="TextoNormalCaracter"/>
          </w:rPr>
          <w:t>14/1992</w:t>
        </w:r>
      </w:hyperlink>
      <w:r>
        <w:t>, f. 7.</w:t>
      </w:r>
    </w:p>
    <w:p w:rsidR="00815992" w:rsidRDefault="00815992" w:rsidP="00815992">
      <w:pPr>
        <w:pStyle w:val="SangriaFrancesaArticulo"/>
      </w:pPr>
      <w:r w:rsidRPr="00815992">
        <w:rPr>
          <w:rStyle w:val="TextoNormalNegritaCaracter"/>
        </w:rPr>
        <w:t>Artículo 1413.</w:t>
      </w:r>
      <w:r w:rsidRPr="00815992">
        <w:rPr>
          <w:rStyle w:val="TextoNormalCaracter"/>
        </w:rPr>
        <w:t>-</w:t>
      </w:r>
      <w:r>
        <w:t xml:space="preserve"> Sentencia </w:t>
      </w:r>
      <w:hyperlink w:anchor="SENTENCIA_1992_14" w:history="1">
        <w:r w:rsidRPr="00815992">
          <w:rPr>
            <w:rStyle w:val="TextoNormalCaracter"/>
          </w:rPr>
          <w:t>14/1992</w:t>
        </w:r>
      </w:hyperlink>
      <w:r>
        <w:t>, f. 7.</w:t>
      </w:r>
    </w:p>
    <w:p w:rsidR="00815992" w:rsidRDefault="00815992" w:rsidP="00815992">
      <w:pPr>
        <w:pStyle w:val="SangriaFrancesaArticulo"/>
      </w:pPr>
      <w:r w:rsidRPr="00815992">
        <w:rPr>
          <w:rStyle w:val="TextoNormalNegritaCaracter"/>
        </w:rPr>
        <w:t>Artículo 1418.</w:t>
      </w:r>
      <w:r w:rsidRPr="00815992">
        <w:rPr>
          <w:rStyle w:val="TextoNormalCaracter"/>
        </w:rPr>
        <w:t>-</w:t>
      </w:r>
      <w:r>
        <w:t xml:space="preserve"> Sentencia </w:t>
      </w:r>
      <w:hyperlink w:anchor="SENTENCIA_1992_14" w:history="1">
        <w:r w:rsidRPr="00815992">
          <w:rPr>
            <w:rStyle w:val="TextoNormalCaracter"/>
          </w:rPr>
          <w:t>14/1992</w:t>
        </w:r>
      </w:hyperlink>
      <w:r>
        <w:t>, f. 7.</w:t>
      </w:r>
    </w:p>
    <w:p w:rsidR="00815992" w:rsidRDefault="00815992" w:rsidP="00815992">
      <w:pPr>
        <w:pStyle w:val="SangriaFrancesaArticulo"/>
      </w:pPr>
      <w:r w:rsidRPr="00815992">
        <w:rPr>
          <w:rStyle w:val="TextoNormalNegritaCaracter"/>
        </w:rPr>
        <w:t>Artículo 1429.</w:t>
      </w:r>
      <w:r w:rsidRPr="00815992">
        <w:rPr>
          <w:rStyle w:val="TextoNormalCaracter"/>
        </w:rPr>
        <w:t>-</w:t>
      </w:r>
      <w:r>
        <w:t xml:space="preserve"> Sentencias </w:t>
      </w:r>
      <w:hyperlink w:anchor="SENTENCIA_1992_14" w:history="1">
        <w:r w:rsidRPr="00815992">
          <w:rPr>
            <w:rStyle w:val="TextoNormalCaracter"/>
          </w:rPr>
          <w:t>14/1992</w:t>
        </w:r>
      </w:hyperlink>
      <w:r>
        <w:t xml:space="preserve">, ff. 1, 5, 7; </w:t>
      </w:r>
      <w:hyperlink w:anchor="SENTENCIA_1992_47" w:history="1">
        <w:r w:rsidRPr="00815992">
          <w:rPr>
            <w:rStyle w:val="TextoNormalCaracter"/>
          </w:rPr>
          <w:t>47/1992</w:t>
        </w:r>
      </w:hyperlink>
      <w:r>
        <w:t>, f. 1.</w:t>
      </w:r>
    </w:p>
    <w:p w:rsidR="00815992" w:rsidRDefault="00815992" w:rsidP="00815992">
      <w:pPr>
        <w:pStyle w:val="SangriaFrancesaArticulo"/>
      </w:pPr>
      <w:r w:rsidRPr="00815992">
        <w:rPr>
          <w:rStyle w:val="TextoNormalNegritaCaracter"/>
        </w:rPr>
        <w:t>Artículo 1429.6.</w:t>
      </w:r>
      <w:r w:rsidRPr="00815992">
        <w:rPr>
          <w:rStyle w:val="TextoNormalCaracter"/>
        </w:rPr>
        <w:t>-</w:t>
      </w:r>
      <w:r>
        <w:t xml:space="preserve"> Sentencias </w:t>
      </w:r>
      <w:hyperlink w:anchor="SENTENCIA_1992_14" w:history="1">
        <w:r w:rsidRPr="00815992">
          <w:rPr>
            <w:rStyle w:val="TextoNormalCaracter"/>
          </w:rPr>
          <w:t>14/1992</w:t>
        </w:r>
      </w:hyperlink>
      <w:r>
        <w:t xml:space="preserve">, f. 1, VP; </w:t>
      </w:r>
      <w:hyperlink w:anchor="SENTENCIA_1992_47" w:history="1">
        <w:r w:rsidRPr="00815992">
          <w:rPr>
            <w:rStyle w:val="TextoNormalCaracter"/>
          </w:rPr>
          <w:t>47/1992</w:t>
        </w:r>
      </w:hyperlink>
      <w:r>
        <w:t>, f. 4.</w:t>
      </w:r>
    </w:p>
    <w:p w:rsidR="00815992" w:rsidRDefault="00815992" w:rsidP="00815992">
      <w:pPr>
        <w:pStyle w:val="SangriaFrancesaArticulo"/>
      </w:pPr>
      <w:r w:rsidRPr="00815992">
        <w:rPr>
          <w:rStyle w:val="TextoNormalNegritaCaracter"/>
        </w:rPr>
        <w:t>Artículo 1430.</w:t>
      </w:r>
      <w:r w:rsidRPr="00815992">
        <w:rPr>
          <w:rStyle w:val="TextoNormalCaracter"/>
        </w:rPr>
        <w:t>-</w:t>
      </w:r>
      <w:r>
        <w:t xml:space="preserve"> Sentencia </w:t>
      </w:r>
      <w:hyperlink w:anchor="SENTENCIA_1992_14" w:history="1">
        <w:r w:rsidRPr="00815992">
          <w:rPr>
            <w:rStyle w:val="TextoNormalCaracter"/>
          </w:rPr>
          <w:t>14/1992</w:t>
        </w:r>
      </w:hyperlink>
      <w:r>
        <w:t>, VP.</w:t>
      </w:r>
    </w:p>
    <w:p w:rsidR="00815992" w:rsidRDefault="00815992" w:rsidP="00815992">
      <w:pPr>
        <w:pStyle w:val="SangriaFrancesaArticulo"/>
      </w:pPr>
      <w:r w:rsidRPr="00815992">
        <w:rPr>
          <w:rStyle w:val="TextoNormalNegritaCaracter"/>
        </w:rPr>
        <w:t>Artículo 1435.</w:t>
      </w:r>
      <w:r w:rsidRPr="00815992">
        <w:rPr>
          <w:rStyle w:val="TextoNormalCaracter"/>
        </w:rPr>
        <w:t>-</w:t>
      </w:r>
      <w:r>
        <w:t xml:space="preserve"> Sentencias </w:t>
      </w:r>
      <w:hyperlink w:anchor="SENTENCIA_1992_14" w:history="1">
        <w:r w:rsidRPr="00815992">
          <w:rPr>
            <w:rStyle w:val="TextoNormalCaracter"/>
          </w:rPr>
          <w:t>14/1992</w:t>
        </w:r>
      </w:hyperlink>
      <w:r>
        <w:t xml:space="preserve">, ff. 1 a 5, 8, 9, 12, VP; </w:t>
      </w:r>
      <w:hyperlink w:anchor="SENTENCIA_1992_26" w:history="1">
        <w:r w:rsidRPr="00815992">
          <w:rPr>
            <w:rStyle w:val="TextoNormalCaracter"/>
          </w:rPr>
          <w:t>26/1992</w:t>
        </w:r>
      </w:hyperlink>
      <w:r>
        <w:t xml:space="preserve">, f. 1; </w:t>
      </w:r>
      <w:hyperlink w:anchor="SENTENCIA_1992_47" w:history="1">
        <w:r w:rsidRPr="00815992">
          <w:rPr>
            <w:rStyle w:val="TextoNormalCaracter"/>
          </w:rPr>
          <w:t>47/1992</w:t>
        </w:r>
      </w:hyperlink>
      <w:r>
        <w:t>, f. 3.</w:t>
      </w:r>
    </w:p>
    <w:p w:rsidR="00815992" w:rsidRDefault="00815992" w:rsidP="00815992">
      <w:pPr>
        <w:pStyle w:val="SangriaFrancesaArticulo"/>
      </w:pPr>
      <w:r w:rsidRPr="00815992">
        <w:rPr>
          <w:rStyle w:val="TextoNormalNegritaCaracter"/>
        </w:rPr>
        <w:t>Artículo 1435.4.</w:t>
      </w:r>
      <w:r w:rsidRPr="00815992">
        <w:rPr>
          <w:rStyle w:val="TextoNormalCaracter"/>
        </w:rPr>
        <w:t>-</w:t>
      </w:r>
      <w:r>
        <w:t xml:space="preserve"> Sentencias </w:t>
      </w:r>
      <w:hyperlink w:anchor="SENTENCIA_1992_14" w:history="1">
        <w:r w:rsidRPr="00815992">
          <w:rPr>
            <w:rStyle w:val="TextoNormalCaracter"/>
          </w:rPr>
          <w:t>14/1992</w:t>
        </w:r>
      </w:hyperlink>
      <w:r>
        <w:t xml:space="preserve">, ff. 1, 3, 5, 6, 9, 10, 12, VP; </w:t>
      </w:r>
      <w:hyperlink w:anchor="SENTENCIA_1992_47" w:history="1">
        <w:r w:rsidRPr="00815992">
          <w:rPr>
            <w:rStyle w:val="TextoNormalCaracter"/>
          </w:rPr>
          <w:t>47/1992</w:t>
        </w:r>
      </w:hyperlink>
      <w:r>
        <w:t>, f. 3.</w:t>
      </w:r>
    </w:p>
    <w:p w:rsidR="00815992" w:rsidRDefault="00815992" w:rsidP="00815992">
      <w:pPr>
        <w:pStyle w:val="SangriaFrancesaArticulo"/>
      </w:pPr>
      <w:r w:rsidRPr="00815992">
        <w:rPr>
          <w:rStyle w:val="TextoNormalNegritaCaracter"/>
        </w:rPr>
        <w:t>Artículo 1440.</w:t>
      </w:r>
      <w:r w:rsidRPr="00815992">
        <w:rPr>
          <w:rStyle w:val="TextoNormalCaracter"/>
        </w:rPr>
        <w:t>-</w:t>
      </w:r>
      <w:r>
        <w:t xml:space="preserve"> Sentencia </w:t>
      </w:r>
      <w:hyperlink w:anchor="SENTENCIA_1992_14" w:history="1">
        <w:r w:rsidRPr="00815992">
          <w:rPr>
            <w:rStyle w:val="TextoNormalCaracter"/>
          </w:rPr>
          <w:t>14/1992</w:t>
        </w:r>
      </w:hyperlink>
      <w:r>
        <w:t>, ff. 1, 6, 8, 12, VP.</w:t>
      </w:r>
    </w:p>
    <w:p w:rsidR="00815992" w:rsidRDefault="00815992" w:rsidP="00815992">
      <w:pPr>
        <w:pStyle w:val="SangriaFrancesaArticulo"/>
      </w:pPr>
      <w:r w:rsidRPr="00815992">
        <w:rPr>
          <w:rStyle w:val="TextoNormalNegritaCaracter"/>
        </w:rPr>
        <w:t>Artículo 1442.</w:t>
      </w:r>
      <w:r w:rsidRPr="00815992">
        <w:rPr>
          <w:rStyle w:val="TextoNormalCaracter"/>
        </w:rPr>
        <w:t>-</w:t>
      </w:r>
      <w:r>
        <w:t xml:space="preserve"> Sentencia </w:t>
      </w:r>
      <w:hyperlink w:anchor="SENTENCIA_1992_14" w:history="1">
        <w:r w:rsidRPr="00815992">
          <w:rPr>
            <w:rStyle w:val="TextoNormalCaracter"/>
          </w:rPr>
          <w:t>14/1992</w:t>
        </w:r>
      </w:hyperlink>
      <w:r>
        <w:t>, f. 1.</w:t>
      </w:r>
    </w:p>
    <w:p w:rsidR="00815992" w:rsidRDefault="00815992" w:rsidP="00815992">
      <w:pPr>
        <w:pStyle w:val="SangriaFrancesaArticulo"/>
      </w:pPr>
      <w:r w:rsidRPr="00815992">
        <w:rPr>
          <w:rStyle w:val="TextoNormalNegritaCaracter"/>
        </w:rPr>
        <w:t>Artículo 1444.</w:t>
      </w:r>
      <w:r w:rsidRPr="00815992">
        <w:rPr>
          <w:rStyle w:val="TextoNormalCaracter"/>
        </w:rPr>
        <w:t>-</w:t>
      </w:r>
      <w:r>
        <w:t xml:space="preserve"> Sentencia </w:t>
      </w:r>
      <w:hyperlink w:anchor="SENTENCIA_1992_14" w:history="1">
        <w:r w:rsidRPr="00815992">
          <w:rPr>
            <w:rStyle w:val="TextoNormalCaracter"/>
          </w:rPr>
          <w:t>14/1992</w:t>
        </w:r>
      </w:hyperlink>
      <w:r>
        <w:t>, f. 10.</w:t>
      </w:r>
    </w:p>
    <w:p w:rsidR="00815992" w:rsidRDefault="00815992" w:rsidP="00815992">
      <w:pPr>
        <w:pStyle w:val="SangriaFrancesaArticulo"/>
      </w:pPr>
      <w:r w:rsidRPr="00815992">
        <w:rPr>
          <w:rStyle w:val="TextoNormalNegritaCaracter"/>
        </w:rPr>
        <w:t>Artículo 1446.</w:t>
      </w:r>
      <w:r w:rsidRPr="00815992">
        <w:rPr>
          <w:rStyle w:val="TextoNormalCaracter"/>
        </w:rPr>
        <w:t>-</w:t>
      </w:r>
      <w:r>
        <w:t xml:space="preserve"> Sentencia </w:t>
      </w:r>
      <w:hyperlink w:anchor="SENTENCIA_1992_14" w:history="1">
        <w:r w:rsidRPr="00815992">
          <w:rPr>
            <w:rStyle w:val="TextoNormalCaracter"/>
          </w:rPr>
          <w:t>14/1992</w:t>
        </w:r>
      </w:hyperlink>
      <w:r>
        <w:t>, f. 1.</w:t>
      </w:r>
    </w:p>
    <w:p w:rsidR="00815992" w:rsidRDefault="00815992" w:rsidP="00815992">
      <w:pPr>
        <w:pStyle w:val="SangriaFrancesaArticulo"/>
      </w:pPr>
      <w:r w:rsidRPr="00815992">
        <w:rPr>
          <w:rStyle w:val="TextoNormalNegritaCaracter"/>
        </w:rPr>
        <w:t>Artículo 1459.</w:t>
      </w:r>
      <w:r w:rsidRPr="00815992">
        <w:rPr>
          <w:rStyle w:val="TextoNormalCaracter"/>
        </w:rPr>
        <w:t>-</w:t>
      </w:r>
      <w:r>
        <w:t xml:space="preserve"> Sentencia </w:t>
      </w:r>
      <w:hyperlink w:anchor="SENTENCIA_1992_14" w:history="1">
        <w:r w:rsidRPr="00815992">
          <w:rPr>
            <w:rStyle w:val="TextoNormalCaracter"/>
          </w:rPr>
          <w:t>14/1992</w:t>
        </w:r>
      </w:hyperlink>
      <w:r>
        <w:t>, ff. 1, 9, 10.</w:t>
      </w:r>
    </w:p>
    <w:p w:rsidR="00815992" w:rsidRDefault="00815992" w:rsidP="00815992">
      <w:pPr>
        <w:pStyle w:val="SangriaFrancesaArticulo"/>
      </w:pPr>
      <w:r w:rsidRPr="00815992">
        <w:rPr>
          <w:rStyle w:val="TextoNormalNegritaCaracter"/>
        </w:rPr>
        <w:t>Artículo 1460.</w:t>
      </w:r>
      <w:r w:rsidRPr="00815992">
        <w:rPr>
          <w:rStyle w:val="TextoNormalCaracter"/>
        </w:rPr>
        <w:t>-</w:t>
      </w:r>
      <w:r>
        <w:t xml:space="preserve"> Sentencia </w:t>
      </w:r>
      <w:hyperlink w:anchor="SENTENCIA_1992_14" w:history="1">
        <w:r w:rsidRPr="00815992">
          <w:rPr>
            <w:rStyle w:val="TextoNormalCaracter"/>
          </w:rPr>
          <w:t>14/1992</w:t>
        </w:r>
      </w:hyperlink>
      <w:r>
        <w:t>, ff. 1, 10.</w:t>
      </w:r>
    </w:p>
    <w:p w:rsidR="00815992" w:rsidRDefault="00815992" w:rsidP="00815992">
      <w:pPr>
        <w:pStyle w:val="SangriaFrancesaArticulo"/>
      </w:pPr>
      <w:r w:rsidRPr="00815992">
        <w:rPr>
          <w:rStyle w:val="TextoNormalNegritaCaracter"/>
        </w:rPr>
        <w:t>Artículo 1461.</w:t>
      </w:r>
      <w:r w:rsidRPr="00815992">
        <w:rPr>
          <w:rStyle w:val="TextoNormalCaracter"/>
        </w:rPr>
        <w:t>-</w:t>
      </w:r>
      <w:r>
        <w:t xml:space="preserve"> Sentencia </w:t>
      </w:r>
      <w:hyperlink w:anchor="SENTENCIA_1992_14" w:history="1">
        <w:r w:rsidRPr="00815992">
          <w:rPr>
            <w:rStyle w:val="TextoNormalCaracter"/>
          </w:rPr>
          <w:t>14/1992</w:t>
        </w:r>
      </w:hyperlink>
      <w:r>
        <w:t>, f. 10, VP.</w:t>
      </w:r>
    </w:p>
    <w:p w:rsidR="00815992" w:rsidRDefault="00815992" w:rsidP="00815992">
      <w:pPr>
        <w:pStyle w:val="SangriaFrancesaArticulo"/>
      </w:pPr>
      <w:r w:rsidRPr="00815992">
        <w:rPr>
          <w:rStyle w:val="TextoNormalNegritaCaracter"/>
        </w:rPr>
        <w:t>Artículo 1462.</w:t>
      </w:r>
      <w:r w:rsidRPr="00815992">
        <w:rPr>
          <w:rStyle w:val="TextoNormalCaracter"/>
        </w:rPr>
        <w:t>-</w:t>
      </w:r>
      <w:r>
        <w:t xml:space="preserve"> Sentencia </w:t>
      </w:r>
      <w:hyperlink w:anchor="SENTENCIA_1992_14" w:history="1">
        <w:r w:rsidRPr="00815992">
          <w:rPr>
            <w:rStyle w:val="TextoNormalCaracter"/>
          </w:rPr>
          <w:t>14/1992</w:t>
        </w:r>
      </w:hyperlink>
      <w:r>
        <w:t>, ff. 1, 4, 10.</w:t>
      </w:r>
    </w:p>
    <w:p w:rsidR="00815992" w:rsidRDefault="00815992" w:rsidP="00815992">
      <w:pPr>
        <w:pStyle w:val="SangriaFrancesaArticulo"/>
      </w:pPr>
      <w:r w:rsidRPr="00815992">
        <w:rPr>
          <w:rStyle w:val="TextoNormalNegritaCaracter"/>
        </w:rPr>
        <w:t>Artículo 1463.</w:t>
      </w:r>
      <w:r w:rsidRPr="00815992">
        <w:rPr>
          <w:rStyle w:val="TextoNormalCaracter"/>
        </w:rPr>
        <w:t>-</w:t>
      </w:r>
      <w:r>
        <w:t xml:space="preserve"> Sentencia </w:t>
      </w:r>
      <w:hyperlink w:anchor="SENTENCIA_1992_14" w:history="1">
        <w:r w:rsidRPr="00815992">
          <w:rPr>
            <w:rStyle w:val="TextoNormalCaracter"/>
          </w:rPr>
          <w:t>14/1992</w:t>
        </w:r>
      </w:hyperlink>
      <w:r>
        <w:t>, ff. 1, 4, 9.</w:t>
      </w:r>
    </w:p>
    <w:p w:rsidR="00815992" w:rsidRDefault="00815992" w:rsidP="00815992">
      <w:pPr>
        <w:pStyle w:val="SangriaFrancesaArticulo"/>
      </w:pPr>
      <w:r w:rsidRPr="00815992">
        <w:rPr>
          <w:rStyle w:val="TextoNormalNegritaCaracter"/>
        </w:rPr>
        <w:t>Artículo 1463.3.</w:t>
      </w:r>
      <w:r w:rsidRPr="00815992">
        <w:rPr>
          <w:rStyle w:val="TextoNormalCaracter"/>
        </w:rPr>
        <w:t>-</w:t>
      </w:r>
      <w:r>
        <w:t xml:space="preserve"> Sentencia </w:t>
      </w:r>
      <w:hyperlink w:anchor="SENTENCIA_1992_14" w:history="1">
        <w:r w:rsidRPr="00815992">
          <w:rPr>
            <w:rStyle w:val="TextoNormalCaracter"/>
          </w:rPr>
          <w:t>14/1992</w:t>
        </w:r>
      </w:hyperlink>
      <w:r>
        <w:t>, f. 1.</w:t>
      </w:r>
    </w:p>
    <w:p w:rsidR="00815992" w:rsidRDefault="00815992" w:rsidP="00815992">
      <w:pPr>
        <w:pStyle w:val="SangriaFrancesaArticulo"/>
      </w:pPr>
      <w:r w:rsidRPr="00815992">
        <w:rPr>
          <w:rStyle w:val="TextoNormalNegritaCaracter"/>
        </w:rPr>
        <w:t>Artículo 1464.</w:t>
      </w:r>
      <w:r w:rsidRPr="00815992">
        <w:rPr>
          <w:rStyle w:val="TextoNormalCaracter"/>
        </w:rPr>
        <w:t>-</w:t>
      </w:r>
      <w:r>
        <w:t xml:space="preserve"> Sentencia </w:t>
      </w:r>
      <w:hyperlink w:anchor="SENTENCIA_1992_14" w:history="1">
        <w:r w:rsidRPr="00815992">
          <w:rPr>
            <w:rStyle w:val="TextoNormalCaracter"/>
          </w:rPr>
          <w:t>14/1992</w:t>
        </w:r>
      </w:hyperlink>
      <w:r>
        <w:t>, f. 1, 9.</w:t>
      </w:r>
    </w:p>
    <w:p w:rsidR="00815992" w:rsidRDefault="00815992" w:rsidP="00815992">
      <w:pPr>
        <w:pStyle w:val="SangriaFrancesaArticulo"/>
      </w:pPr>
      <w:r w:rsidRPr="00815992">
        <w:rPr>
          <w:rStyle w:val="TextoNormalNegritaCaracter"/>
        </w:rPr>
        <w:t>Artículo 1464.1.</w:t>
      </w:r>
      <w:r w:rsidRPr="00815992">
        <w:rPr>
          <w:rStyle w:val="TextoNormalCaracter"/>
        </w:rPr>
        <w:t>-</w:t>
      </w:r>
      <w:r>
        <w:t xml:space="preserve"> Sentencia </w:t>
      </w:r>
      <w:hyperlink w:anchor="SENTENCIA_1992_14" w:history="1">
        <w:r w:rsidRPr="00815992">
          <w:rPr>
            <w:rStyle w:val="TextoNormalCaracter"/>
          </w:rPr>
          <w:t>14/1992</w:t>
        </w:r>
      </w:hyperlink>
      <w:r>
        <w:t>, f. 12.</w:t>
      </w:r>
    </w:p>
    <w:p w:rsidR="00815992" w:rsidRDefault="00815992" w:rsidP="00815992">
      <w:pPr>
        <w:pStyle w:val="SangriaFrancesaArticulo"/>
      </w:pPr>
      <w:r w:rsidRPr="00815992">
        <w:rPr>
          <w:rStyle w:val="TextoNormalNegritaCaracter"/>
        </w:rPr>
        <w:t>Artículo 1466.</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t>Artículo 1467.</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t>Artículo 1467.1.</w:t>
      </w:r>
      <w:r w:rsidRPr="00815992">
        <w:rPr>
          <w:rStyle w:val="TextoNormalCaracter"/>
        </w:rPr>
        <w:t>-</w:t>
      </w:r>
      <w:r>
        <w:t xml:space="preserve"> Sentencias </w:t>
      </w:r>
      <w:hyperlink w:anchor="SENTENCIA_1992_14" w:history="1">
        <w:r w:rsidRPr="00815992">
          <w:rPr>
            <w:rStyle w:val="TextoNormalCaracter"/>
          </w:rPr>
          <w:t>14/1992</w:t>
        </w:r>
      </w:hyperlink>
      <w:r>
        <w:t xml:space="preserve">, ff. 1, 12; </w:t>
      </w:r>
      <w:hyperlink w:anchor="SENTENCIA_1992_47" w:history="1">
        <w:r w:rsidRPr="00815992">
          <w:rPr>
            <w:rStyle w:val="TextoNormalCaracter"/>
          </w:rPr>
          <w:t>47/1992</w:t>
        </w:r>
      </w:hyperlink>
      <w:r>
        <w:t>, f. 4.</w:t>
      </w:r>
    </w:p>
    <w:p w:rsidR="00815992" w:rsidRDefault="00815992" w:rsidP="00815992">
      <w:pPr>
        <w:pStyle w:val="SangriaFrancesaArticulo"/>
      </w:pPr>
      <w:r w:rsidRPr="00815992">
        <w:rPr>
          <w:rStyle w:val="TextoNormalNegritaCaracter"/>
        </w:rPr>
        <w:t>Artículo 1467.2.</w:t>
      </w:r>
      <w:r w:rsidRPr="00815992">
        <w:rPr>
          <w:rStyle w:val="TextoNormalCaracter"/>
        </w:rPr>
        <w:t>-</w:t>
      </w:r>
      <w:r>
        <w:t xml:space="preserve"> Sentencia </w:t>
      </w:r>
      <w:hyperlink w:anchor="SENTENCIA_1992_14" w:history="1">
        <w:r w:rsidRPr="00815992">
          <w:rPr>
            <w:rStyle w:val="TextoNormalCaracter"/>
          </w:rPr>
          <w:t>14/1992</w:t>
        </w:r>
      </w:hyperlink>
      <w:r>
        <w:t>, ff. 1, 8, 12.</w:t>
      </w:r>
    </w:p>
    <w:p w:rsidR="00815992" w:rsidRDefault="00815992" w:rsidP="00815992">
      <w:pPr>
        <w:pStyle w:val="SangriaFrancesaArticulo"/>
      </w:pPr>
      <w:r w:rsidRPr="00815992">
        <w:rPr>
          <w:rStyle w:val="TextoNormalNegritaCaracter"/>
        </w:rPr>
        <w:t>Artículo 1468.</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t>Artículo 1469.</w:t>
      </w:r>
      <w:r w:rsidRPr="00815992">
        <w:rPr>
          <w:rStyle w:val="TextoNormalCaracter"/>
        </w:rPr>
        <w:t>-</w:t>
      </w:r>
      <w:r>
        <w:t xml:space="preserve"> Sentencia </w:t>
      </w:r>
      <w:hyperlink w:anchor="SENTENCIA_1992_14" w:history="1">
        <w:r w:rsidRPr="00815992">
          <w:rPr>
            <w:rStyle w:val="TextoNormalCaracter"/>
          </w:rPr>
          <w:t>14/1992</w:t>
        </w:r>
      </w:hyperlink>
      <w:r>
        <w:t>, ff. 1, 3, 9.</w:t>
      </w:r>
    </w:p>
    <w:p w:rsidR="00815992" w:rsidRDefault="00815992" w:rsidP="00815992">
      <w:pPr>
        <w:pStyle w:val="SangriaFrancesaArticulo"/>
      </w:pPr>
      <w:r w:rsidRPr="00815992">
        <w:rPr>
          <w:rStyle w:val="TextoNormalNegritaCaracter"/>
        </w:rPr>
        <w:t>Artículo 1470.</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t>Artículo 1471.</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t>Artículo 1472.</w:t>
      </w:r>
      <w:r w:rsidRPr="00815992">
        <w:rPr>
          <w:rStyle w:val="TextoNormalCaracter"/>
        </w:rPr>
        <w:t>-</w:t>
      </w:r>
      <w:r>
        <w:t xml:space="preserve"> Sentencia </w:t>
      </w:r>
      <w:hyperlink w:anchor="SENTENCIA_1992_14" w:history="1">
        <w:r w:rsidRPr="00815992">
          <w:rPr>
            <w:rStyle w:val="TextoNormalCaracter"/>
          </w:rPr>
          <w:t>14/1992</w:t>
        </w:r>
      </w:hyperlink>
      <w:r>
        <w:t>, ff. 1, 9.</w:t>
      </w:r>
    </w:p>
    <w:p w:rsidR="00815992" w:rsidRDefault="00815992" w:rsidP="00815992">
      <w:pPr>
        <w:pStyle w:val="SangriaFrancesaArticulo"/>
      </w:pPr>
      <w:r w:rsidRPr="00815992">
        <w:rPr>
          <w:rStyle w:val="TextoNormalNegritaCaracter"/>
        </w:rPr>
        <w:lastRenderedPageBreak/>
        <w:t>Artículo 1473.</w:t>
      </w:r>
      <w:r w:rsidRPr="00815992">
        <w:rPr>
          <w:rStyle w:val="TextoNormalCaracter"/>
        </w:rPr>
        <w:t>-</w:t>
      </w:r>
      <w:r>
        <w:t xml:space="preserve"> Sentencia </w:t>
      </w:r>
      <w:hyperlink w:anchor="SENTENCIA_1992_14" w:history="1">
        <w:r w:rsidRPr="00815992">
          <w:rPr>
            <w:rStyle w:val="TextoNormalCaracter"/>
          </w:rPr>
          <w:t>14/1992</w:t>
        </w:r>
      </w:hyperlink>
      <w:r>
        <w:t>, ff. 1, 3.</w:t>
      </w:r>
    </w:p>
    <w:p w:rsidR="00815992" w:rsidRDefault="00815992" w:rsidP="00815992">
      <w:pPr>
        <w:pStyle w:val="SangriaFrancesaArticulo"/>
      </w:pPr>
      <w:r w:rsidRPr="00815992">
        <w:rPr>
          <w:rStyle w:val="TextoNormalNegritaCaracter"/>
        </w:rPr>
        <w:t>Artículo 1473.1.</w:t>
      </w:r>
      <w:r w:rsidRPr="00815992">
        <w:rPr>
          <w:rStyle w:val="TextoNormalCaracter"/>
        </w:rPr>
        <w:t>-</w:t>
      </w:r>
      <w:r>
        <w:t xml:space="preserve"> Sentencia </w:t>
      </w:r>
      <w:hyperlink w:anchor="SENTENCIA_1992_14" w:history="1">
        <w:r w:rsidRPr="00815992">
          <w:rPr>
            <w:rStyle w:val="TextoNormalCaracter"/>
          </w:rPr>
          <w:t>14/1992</w:t>
        </w:r>
      </w:hyperlink>
      <w:r>
        <w:t>, f. 6.</w:t>
      </w:r>
    </w:p>
    <w:p w:rsidR="00815992" w:rsidRDefault="00815992" w:rsidP="00815992">
      <w:pPr>
        <w:pStyle w:val="SangriaFrancesaArticulo"/>
      </w:pPr>
      <w:r w:rsidRPr="00815992">
        <w:rPr>
          <w:rStyle w:val="TextoNormalNegritaCaracter"/>
        </w:rPr>
        <w:t>Artículo 1474.</w:t>
      </w:r>
      <w:r w:rsidRPr="00815992">
        <w:rPr>
          <w:rStyle w:val="TextoNormalCaracter"/>
        </w:rPr>
        <w:t>-</w:t>
      </w:r>
      <w:r>
        <w:t xml:space="preserve"> Sentencia </w:t>
      </w:r>
      <w:hyperlink w:anchor="SENTENCIA_1992_14" w:history="1">
        <w:r w:rsidRPr="00815992">
          <w:rPr>
            <w:rStyle w:val="TextoNormalCaracter"/>
          </w:rPr>
          <w:t>14/1992</w:t>
        </w:r>
      </w:hyperlink>
      <w:r>
        <w:t>, ff. 3, 9.</w:t>
      </w:r>
    </w:p>
    <w:p w:rsidR="00815992" w:rsidRDefault="00815992" w:rsidP="00815992">
      <w:pPr>
        <w:pStyle w:val="SangriaFrancesaArticulo"/>
      </w:pPr>
      <w:r w:rsidRPr="00815992">
        <w:rPr>
          <w:rStyle w:val="TextoNormalNegritaCaracter"/>
        </w:rPr>
        <w:t>Artículo 1474.1.</w:t>
      </w:r>
      <w:r w:rsidRPr="00815992">
        <w:rPr>
          <w:rStyle w:val="TextoNormalCaracter"/>
        </w:rPr>
        <w:t>-</w:t>
      </w:r>
      <w:r>
        <w:t xml:space="preserve"> Sentencia </w:t>
      </w:r>
      <w:hyperlink w:anchor="SENTENCIA_1992_14" w:history="1">
        <w:r w:rsidRPr="00815992">
          <w:rPr>
            <w:rStyle w:val="TextoNormalCaracter"/>
          </w:rPr>
          <w:t>14/1992</w:t>
        </w:r>
      </w:hyperlink>
      <w:r>
        <w:t>, ff. 1, 3.</w:t>
      </w:r>
    </w:p>
    <w:p w:rsidR="00815992" w:rsidRDefault="00815992" w:rsidP="00815992">
      <w:pPr>
        <w:pStyle w:val="SangriaFrancesaArticulo"/>
      </w:pPr>
      <w:r w:rsidRPr="00815992">
        <w:rPr>
          <w:rStyle w:val="TextoNormalNegritaCaracter"/>
        </w:rPr>
        <w:t>Artículo 1474.2.</w:t>
      </w:r>
      <w:r w:rsidRPr="00815992">
        <w:rPr>
          <w:rStyle w:val="TextoNormalCaracter"/>
        </w:rPr>
        <w:t>-</w:t>
      </w:r>
      <w:r>
        <w:t xml:space="preserve"> Sentencia </w:t>
      </w:r>
      <w:hyperlink w:anchor="SENTENCIA_1992_14" w:history="1">
        <w:r w:rsidRPr="00815992">
          <w:rPr>
            <w:rStyle w:val="TextoNormalCaracter"/>
          </w:rPr>
          <w:t>14/1992</w:t>
        </w:r>
      </w:hyperlink>
      <w:r>
        <w:t>, f. 7.</w:t>
      </w:r>
    </w:p>
    <w:p w:rsidR="00815992" w:rsidRDefault="00815992" w:rsidP="00815992">
      <w:pPr>
        <w:pStyle w:val="SangriaFrancesaArticulo"/>
      </w:pPr>
      <w:r w:rsidRPr="00815992">
        <w:rPr>
          <w:rStyle w:val="TextoNormalNegritaCaracter"/>
        </w:rPr>
        <w:t>Artículo 1475.2.</w:t>
      </w:r>
      <w:r w:rsidRPr="00815992">
        <w:rPr>
          <w:rStyle w:val="TextoNormalCaracter"/>
        </w:rPr>
        <w:t>-</w:t>
      </w:r>
      <w:r>
        <w:t xml:space="preserve"> Sentencia </w:t>
      </w:r>
      <w:hyperlink w:anchor="SENTENCIA_1992_14" w:history="1">
        <w:r w:rsidRPr="00815992">
          <w:rPr>
            <w:rStyle w:val="TextoNormalCaracter"/>
          </w:rPr>
          <w:t>14/1992</w:t>
        </w:r>
      </w:hyperlink>
      <w:r>
        <w:t>, f. 8.</w:t>
      </w:r>
    </w:p>
    <w:p w:rsidR="00815992" w:rsidRDefault="00815992" w:rsidP="00815992">
      <w:pPr>
        <w:pStyle w:val="SangriaFrancesaArticulo"/>
      </w:pPr>
      <w:r w:rsidRPr="00815992">
        <w:rPr>
          <w:rStyle w:val="TextoNormalNegritaCaracter"/>
        </w:rPr>
        <w:t>Artículo 1479.</w:t>
      </w:r>
      <w:r w:rsidRPr="00815992">
        <w:rPr>
          <w:rStyle w:val="TextoNormalCaracter"/>
        </w:rPr>
        <w:t>-</w:t>
      </w:r>
      <w:r>
        <w:t xml:space="preserve"> Sentencia </w:t>
      </w:r>
      <w:hyperlink w:anchor="SENTENCIA_1992_14" w:history="1">
        <w:r w:rsidRPr="00815992">
          <w:rPr>
            <w:rStyle w:val="TextoNormalCaracter"/>
          </w:rPr>
          <w:t>14/1992</w:t>
        </w:r>
      </w:hyperlink>
      <w:r>
        <w:t>, ff. 1, 4, 10.</w:t>
      </w:r>
    </w:p>
    <w:p w:rsidR="00815992" w:rsidRDefault="00815992" w:rsidP="00815992">
      <w:pPr>
        <w:pStyle w:val="SangriaFrancesaArticulo"/>
      </w:pPr>
      <w:r w:rsidRPr="00815992">
        <w:rPr>
          <w:rStyle w:val="TextoNormalNegritaCaracter"/>
        </w:rPr>
        <w:t>Artículo 1481.</w:t>
      </w:r>
      <w:r w:rsidRPr="00815992">
        <w:rPr>
          <w:rStyle w:val="TextoNormalCaracter"/>
        </w:rPr>
        <w:t>-</w:t>
      </w:r>
      <w:r>
        <w:t xml:space="preserve"> Sentencia </w:t>
      </w:r>
      <w:hyperlink w:anchor="SENTENCIA_1992_14" w:history="1">
        <w:r w:rsidRPr="00815992">
          <w:rPr>
            <w:rStyle w:val="TextoNormalCaracter"/>
          </w:rPr>
          <w:t>14/1992</w:t>
        </w:r>
      </w:hyperlink>
      <w:r>
        <w:t>, ff. 1, 6.</w:t>
      </w:r>
    </w:p>
    <w:p w:rsidR="00815992" w:rsidRDefault="00815992" w:rsidP="00815992">
      <w:pPr>
        <w:pStyle w:val="SangriaFrancesaArticulo"/>
      </w:pPr>
      <w:r w:rsidRPr="00815992">
        <w:rPr>
          <w:rStyle w:val="TextoNormalNegritaCaracter"/>
        </w:rPr>
        <w:t>Artículo 1567.</w:t>
      </w:r>
      <w:r w:rsidRPr="00815992">
        <w:rPr>
          <w:rStyle w:val="TextoNormalCaracter"/>
        </w:rPr>
        <w:t>-</w:t>
      </w:r>
      <w:r>
        <w:t xml:space="preserve"> Sentencia </w:t>
      </w:r>
      <w:hyperlink w:anchor="SENTENCIA_1992_31" w:history="1">
        <w:r w:rsidRPr="00815992">
          <w:rPr>
            <w:rStyle w:val="TextoNormalCaracter"/>
          </w:rPr>
          <w:t>31/1992</w:t>
        </w:r>
      </w:hyperlink>
      <w:r>
        <w:t>, f. 4.</w:t>
      </w:r>
    </w:p>
    <w:p w:rsidR="00815992" w:rsidRDefault="00815992" w:rsidP="00815992">
      <w:pPr>
        <w:pStyle w:val="SangriaFrancesaArticulo"/>
      </w:pPr>
      <w:r w:rsidRPr="00815992">
        <w:rPr>
          <w:rStyle w:val="TextoNormalNegritaCaracter"/>
        </w:rPr>
        <w:t>Artículo 1584.</w:t>
      </w:r>
      <w:r w:rsidRPr="00815992">
        <w:rPr>
          <w:rStyle w:val="TextoNormalCaracter"/>
        </w:rPr>
        <w:t>-</w:t>
      </w:r>
      <w:r>
        <w:t xml:space="preserve"> Sentencia </w:t>
      </w:r>
      <w:hyperlink w:anchor="SENTENCIA_1992_23" w:history="1">
        <w:r w:rsidRPr="00815992">
          <w:rPr>
            <w:rStyle w:val="TextoNormalCaracter"/>
          </w:rPr>
          <w:t>23/1992</w:t>
        </w:r>
      </w:hyperlink>
      <w:r>
        <w:t>, ff. 1, 4.</w:t>
      </w:r>
    </w:p>
    <w:p w:rsidR="00815992" w:rsidRDefault="00815992" w:rsidP="00815992">
      <w:pPr>
        <w:pStyle w:val="SangriaFrancesaArticulo"/>
      </w:pPr>
      <w:r w:rsidRPr="00815992">
        <w:rPr>
          <w:rStyle w:val="TextoNormalNegritaCaracter"/>
        </w:rPr>
        <w:t>Artículo 1585.</w:t>
      </w:r>
      <w:r w:rsidRPr="00815992">
        <w:rPr>
          <w:rStyle w:val="TextoNormalCaracter"/>
        </w:rPr>
        <w:t>-</w:t>
      </w:r>
      <w:r>
        <w:t xml:space="preserve"> Sentencia </w:t>
      </w:r>
      <w:hyperlink w:anchor="SENTENCIA_1992_23" w:history="1">
        <w:r w:rsidRPr="00815992">
          <w:rPr>
            <w:rStyle w:val="TextoNormalCaracter"/>
          </w:rPr>
          <w:t>23/1992</w:t>
        </w:r>
      </w:hyperlink>
      <w:r>
        <w:t>, ff. 1, 3, 4.</w:t>
      </w:r>
    </w:p>
    <w:p w:rsidR="00815992" w:rsidRDefault="00815992" w:rsidP="00815992">
      <w:pPr>
        <w:pStyle w:val="SangriaFrancesaArticulo"/>
      </w:pPr>
      <w:r w:rsidRPr="00815992">
        <w:rPr>
          <w:rStyle w:val="TextoNormalNegritaCaracter"/>
        </w:rPr>
        <w:t>Artículo 1618.2.</w:t>
      </w:r>
      <w:r w:rsidRPr="00815992">
        <w:rPr>
          <w:rStyle w:val="TextoNormalCaracter"/>
        </w:rPr>
        <w:t>-</w:t>
      </w:r>
      <w:r>
        <w:t xml:space="preserve"> Sentencia </w:t>
      </w:r>
      <w:hyperlink w:anchor="SENTENCIA_1992_12" w:history="1">
        <w:r w:rsidRPr="00815992">
          <w:rPr>
            <w:rStyle w:val="TextoNormalCaracter"/>
          </w:rPr>
          <w:t>12/1992</w:t>
        </w:r>
      </w:hyperlink>
      <w:r>
        <w:t>, ff. 4 a 6.</w:t>
      </w:r>
    </w:p>
    <w:p w:rsidR="00815992" w:rsidRDefault="00815992" w:rsidP="00815992">
      <w:pPr>
        <w:pStyle w:val="SangriaFrancesaArticulo"/>
      </w:pPr>
      <w:r w:rsidRPr="00815992">
        <w:rPr>
          <w:rStyle w:val="TextoNormalNegritaCaracter"/>
        </w:rPr>
        <w:t>Artículo 1687.</w:t>
      </w:r>
      <w:r w:rsidRPr="00815992">
        <w:rPr>
          <w:rStyle w:val="TextoNormalCaracter"/>
        </w:rPr>
        <w:t>-</w:t>
      </w:r>
      <w:r>
        <w:t xml:space="preserve"> Sentencia </w:t>
      </w:r>
      <w:hyperlink w:anchor="SENTENCIA_1992_63" w:history="1">
        <w:r w:rsidRPr="00815992">
          <w:rPr>
            <w:rStyle w:val="TextoNormalCaracter"/>
          </w:rPr>
          <w:t>63/1992</w:t>
        </w:r>
      </w:hyperlink>
      <w:r>
        <w:t>, f. 3.</w:t>
      </w:r>
    </w:p>
    <w:p w:rsidR="00815992" w:rsidRDefault="00815992" w:rsidP="00815992">
      <w:pPr>
        <w:pStyle w:val="SangriaFrancesaArticulo"/>
      </w:pPr>
      <w:r w:rsidRPr="00815992">
        <w:rPr>
          <w:rStyle w:val="TextoNormalNegritaCaracter"/>
        </w:rPr>
        <w:t>Artículo 1687.1.</w:t>
      </w:r>
      <w:r w:rsidRPr="00815992">
        <w:rPr>
          <w:rStyle w:val="TextoNormalCaracter"/>
        </w:rPr>
        <w:t>-</w:t>
      </w:r>
      <w:r>
        <w:t xml:space="preserve"> Sentencias </w:t>
      </w:r>
      <w:hyperlink w:anchor="SENTENCIA_1992_55" w:history="1">
        <w:r w:rsidRPr="00815992">
          <w:rPr>
            <w:rStyle w:val="TextoNormalCaracter"/>
          </w:rPr>
          <w:t>55/1992</w:t>
        </w:r>
      </w:hyperlink>
      <w:r>
        <w:t xml:space="preserve">, ff. 1, 2; </w:t>
      </w:r>
      <w:hyperlink w:anchor="SENTENCIA_1992_63" w:history="1">
        <w:r w:rsidRPr="00815992">
          <w:rPr>
            <w:rStyle w:val="TextoNormalCaracter"/>
          </w:rPr>
          <w:t>63/1992</w:t>
        </w:r>
      </w:hyperlink>
      <w:r>
        <w:t>, ff. 2, 3.</w:t>
      </w:r>
    </w:p>
    <w:p w:rsidR="00815992" w:rsidRDefault="00815992" w:rsidP="00815992">
      <w:pPr>
        <w:pStyle w:val="SangriaFrancesaArticulo"/>
      </w:pPr>
      <w:r w:rsidRPr="00815992">
        <w:rPr>
          <w:rStyle w:val="TextoNormalNegritaCaracter"/>
        </w:rPr>
        <w:t>Artículo 1692.</w:t>
      </w:r>
      <w:r w:rsidRPr="00815992">
        <w:rPr>
          <w:rStyle w:val="TextoNormalCaracter"/>
        </w:rPr>
        <w:t>-</w:t>
      </w:r>
      <w:r>
        <w:t xml:space="preserve"> Sentencia </w:t>
      </w:r>
      <w:hyperlink w:anchor="SENTENCIA_1992_16" w:history="1">
        <w:r w:rsidRPr="00815992">
          <w:rPr>
            <w:rStyle w:val="TextoNormalCaracter"/>
          </w:rPr>
          <w:t>16/1992</w:t>
        </w:r>
      </w:hyperlink>
      <w:r>
        <w:t>, f. 4.</w:t>
      </w:r>
    </w:p>
    <w:p w:rsidR="00815992" w:rsidRDefault="00815992" w:rsidP="00815992">
      <w:pPr>
        <w:pStyle w:val="SangriaIzquierdaArticulo"/>
      </w:pPr>
      <w:r>
        <w:t xml:space="preserve">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1692.1.</w:t>
      </w:r>
      <w:r w:rsidRPr="00815992">
        <w:rPr>
          <w:rStyle w:val="TextoNormalCaracter"/>
        </w:rPr>
        <w:t>-</w:t>
      </w:r>
      <w:r>
        <w:t xml:space="preserve"> Auto </w:t>
      </w:r>
      <w:hyperlink w:anchor="AUTO_1992_114" w:history="1">
        <w:r w:rsidRPr="00815992">
          <w:rPr>
            <w:rStyle w:val="TextoNormalCaracter"/>
          </w:rPr>
          <w:t>114/1992</w:t>
        </w:r>
      </w:hyperlink>
      <w:r>
        <w:t>.</w:t>
      </w:r>
    </w:p>
    <w:p w:rsidR="00815992" w:rsidRDefault="00815992" w:rsidP="00815992">
      <w:pPr>
        <w:pStyle w:val="SangriaFrancesaArticulo"/>
      </w:pPr>
      <w:r w:rsidRPr="00815992">
        <w:rPr>
          <w:rStyle w:val="TextoNormalNegritaCaracter"/>
        </w:rPr>
        <w:t>Artículo 1692.4.</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1692.5.</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1694.</w:t>
      </w:r>
      <w:r w:rsidRPr="00815992">
        <w:rPr>
          <w:rStyle w:val="TextoNormalCaracter"/>
        </w:rPr>
        <w:t>-</w:t>
      </w:r>
      <w:r>
        <w:t xml:space="preserve"> Sentencia </w:t>
      </w:r>
      <w:hyperlink w:anchor="SENTENCIA_1992_16" w:history="1">
        <w:r w:rsidRPr="00815992">
          <w:rPr>
            <w:rStyle w:val="TextoNormalCaracter"/>
          </w:rPr>
          <w:t>16/1992</w:t>
        </w:r>
      </w:hyperlink>
      <w:r>
        <w:t>, ff. 1, 2, 4.</w:t>
      </w:r>
    </w:p>
    <w:p w:rsidR="00815992" w:rsidRDefault="00815992" w:rsidP="00815992">
      <w:pPr>
        <w:pStyle w:val="SangriaFrancesaArticulo"/>
      </w:pPr>
      <w:r w:rsidRPr="00815992">
        <w:rPr>
          <w:rStyle w:val="TextoNormalNegritaCaracter"/>
        </w:rPr>
        <w:t>Artículo 1695.</w:t>
      </w:r>
      <w:r w:rsidRPr="00815992">
        <w:rPr>
          <w:rStyle w:val="TextoNormalCaracter"/>
        </w:rPr>
        <w:t>-</w:t>
      </w:r>
      <w:r>
        <w:t xml:space="preserve"> Sentencia </w:t>
      </w:r>
      <w:hyperlink w:anchor="SENTENCIA_1992_16" w:history="1">
        <w:r w:rsidRPr="00815992">
          <w:rPr>
            <w:rStyle w:val="TextoNormalCaracter"/>
          </w:rPr>
          <w:t>16/1992</w:t>
        </w:r>
      </w:hyperlink>
      <w:r>
        <w:t>, ff. 1, 3, 4.</w:t>
      </w:r>
    </w:p>
    <w:p w:rsidR="00815992" w:rsidRDefault="00815992" w:rsidP="00815992">
      <w:pPr>
        <w:pStyle w:val="SangriaFrancesaArticulo"/>
      </w:pPr>
      <w:r w:rsidRPr="00815992">
        <w:rPr>
          <w:rStyle w:val="TextoNormalNegritaCaracter"/>
        </w:rPr>
        <w:t>Artículo 1697.</w:t>
      </w:r>
      <w:r w:rsidRPr="00815992">
        <w:rPr>
          <w:rStyle w:val="TextoNormalCaracter"/>
        </w:rPr>
        <w:t>-</w:t>
      </w:r>
      <w:r>
        <w:t xml:space="preserve"> Sentencias </w:t>
      </w:r>
      <w:hyperlink w:anchor="SENTENCIA_1992_55" w:history="1">
        <w:r w:rsidRPr="00815992">
          <w:rPr>
            <w:rStyle w:val="TextoNormalCaracter"/>
          </w:rPr>
          <w:t>55/1992</w:t>
        </w:r>
      </w:hyperlink>
      <w:r>
        <w:t xml:space="preserve">, f. 2; </w:t>
      </w:r>
      <w:hyperlink w:anchor="SENTENCIA_1992_63" w:history="1">
        <w:r w:rsidRPr="00815992">
          <w:rPr>
            <w:rStyle w:val="TextoNormalCaracter"/>
          </w:rPr>
          <w:t>63/1992</w:t>
        </w:r>
      </w:hyperlink>
      <w:r>
        <w:t>, ff. 2, 3.</w:t>
      </w:r>
    </w:p>
    <w:p w:rsidR="00815992" w:rsidRDefault="00815992" w:rsidP="00815992">
      <w:pPr>
        <w:pStyle w:val="SangriaFrancesaArticulo"/>
      </w:pPr>
      <w:r w:rsidRPr="00815992">
        <w:rPr>
          <w:rStyle w:val="TextoNormalNegritaCaracter"/>
        </w:rPr>
        <w:t>Artículo 1707.</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1710.</w:t>
      </w:r>
      <w:r w:rsidRPr="00815992">
        <w:rPr>
          <w:rStyle w:val="TextoNormalCaracter"/>
        </w:rPr>
        <w:t>-</w:t>
      </w:r>
      <w:r>
        <w:t xml:space="preserve"> Sentencias </w:t>
      </w:r>
      <w:hyperlink w:anchor="SENTENCIA_1992_16" w:history="1">
        <w:r w:rsidRPr="00815992">
          <w:rPr>
            <w:rStyle w:val="TextoNormalCaracter"/>
          </w:rPr>
          <w:t>16/1992</w:t>
        </w:r>
      </w:hyperlink>
      <w:r>
        <w:t xml:space="preserve">, f. 3; </w:t>
      </w:r>
      <w:hyperlink w:anchor="SENTENCIA_1992_55" w:history="1">
        <w:r w:rsidRPr="00815992">
          <w:rPr>
            <w:rStyle w:val="TextoNormalCaracter"/>
          </w:rPr>
          <w:t>55/1992</w:t>
        </w:r>
      </w:hyperlink>
      <w:r>
        <w:t>, f. 1.</w:t>
      </w:r>
    </w:p>
    <w:p w:rsidR="00815992" w:rsidRDefault="00815992" w:rsidP="00815992">
      <w:pPr>
        <w:pStyle w:val="SangriaFrancesaArticulo"/>
      </w:pPr>
      <w:r w:rsidRPr="00815992">
        <w:rPr>
          <w:rStyle w:val="TextoNormalNegritaCaracter"/>
        </w:rPr>
        <w:t>Artículo 1710.2.</w:t>
      </w:r>
      <w:r w:rsidRPr="00815992">
        <w:rPr>
          <w:rStyle w:val="TextoNormalCaracter"/>
        </w:rPr>
        <w:t>-</w:t>
      </w:r>
      <w:r>
        <w:t xml:space="preserve"> Sentencias </w:t>
      </w:r>
      <w:hyperlink w:anchor="SENTENCIA_1992_55" w:history="1">
        <w:r w:rsidRPr="00815992">
          <w:rPr>
            <w:rStyle w:val="TextoNormalCaracter"/>
          </w:rPr>
          <w:t>55/1992</w:t>
        </w:r>
      </w:hyperlink>
      <w:r>
        <w:t xml:space="preserve">, f. 2; </w:t>
      </w:r>
      <w:hyperlink w:anchor="SENTENCIA_1992_63" w:history="1">
        <w:r w:rsidRPr="00815992">
          <w:rPr>
            <w:rStyle w:val="TextoNormalCaracter"/>
          </w:rPr>
          <w:t>63/1992</w:t>
        </w:r>
      </w:hyperlink>
      <w:r>
        <w:t>, ff. 2, 3.</w:t>
      </w:r>
    </w:p>
    <w:p w:rsidR="00815992" w:rsidRDefault="00815992" w:rsidP="00815992">
      <w:pPr>
        <w:pStyle w:val="SangriaFrancesaArticulo"/>
      </w:pPr>
      <w:r w:rsidRPr="00815992">
        <w:rPr>
          <w:rStyle w:val="TextoNormalNegritaCaracter"/>
        </w:rPr>
        <w:t>Artículo 1720.</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1729.4.</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1962.</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p>
    <w:p w:rsidR="00815992" w:rsidRDefault="00815992" w:rsidP="00815992">
      <w:pPr>
        <w:pStyle w:val="TextoNormalNegritaCursivandice"/>
      </w:pPr>
      <w:r>
        <w:t>Real Decreto de 14 de septiembre de 1882. Ley de enjuiciamiento criminal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17" w:history="1">
        <w:r w:rsidRPr="00815992">
          <w:rPr>
            <w:rStyle w:val="TextoNormalCaracter"/>
          </w:rPr>
          <w:t>17/1992</w:t>
        </w:r>
      </w:hyperlink>
      <w:r>
        <w:t xml:space="preserve">, f. 2; </w:t>
      </w:r>
      <w:hyperlink w:anchor="SENTENCIA_1992_33" w:history="1">
        <w:r w:rsidRPr="00815992">
          <w:rPr>
            <w:rStyle w:val="TextoNormalCaracter"/>
          </w:rPr>
          <w:t>33/1992</w:t>
        </w:r>
      </w:hyperlink>
      <w:r>
        <w:t>, f. 5.</w:t>
      </w:r>
    </w:p>
    <w:p w:rsidR="00815992" w:rsidRDefault="00815992" w:rsidP="00815992">
      <w:pPr>
        <w:pStyle w:val="SangriaIzquierdaArticulo"/>
      </w:pPr>
      <w:r>
        <w:t xml:space="preserve">Autos </w:t>
      </w:r>
      <w:hyperlink w:anchor="AUTO_1992_50" w:history="1">
        <w:r w:rsidRPr="00815992">
          <w:rPr>
            <w:rStyle w:val="TextoNormalCaracter"/>
          </w:rPr>
          <w:t>50/1992</w:t>
        </w:r>
      </w:hyperlink>
      <w:r>
        <w:t xml:space="preserve">;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Libro II.</w:t>
      </w:r>
      <w:r w:rsidRPr="00815992">
        <w:rPr>
          <w:rStyle w:val="TextoNormalCaracter"/>
        </w:rPr>
        <w:t>-</w:t>
      </w:r>
      <w:r>
        <w:t xml:space="preserve"> Sentencia </w:t>
      </w:r>
      <w:hyperlink w:anchor="SENTENCIA_1992_3" w:history="1">
        <w:r w:rsidRPr="00815992">
          <w:rPr>
            <w:rStyle w:val="TextoNormalCaracter"/>
          </w:rPr>
          <w:t>3/1992</w:t>
        </w:r>
      </w:hyperlink>
      <w:r>
        <w:t>, f. 2.</w:t>
      </w:r>
    </w:p>
    <w:p w:rsidR="00815992" w:rsidRDefault="00815992" w:rsidP="00815992">
      <w:pPr>
        <w:pStyle w:val="SangriaFrancesaArticulo"/>
      </w:pPr>
      <w:r w:rsidRPr="00815992">
        <w:rPr>
          <w:rStyle w:val="TextoNormalNegritaCaracter"/>
        </w:rPr>
        <w:t>Libro IV, título III.</w:t>
      </w:r>
      <w:r w:rsidRPr="00815992">
        <w:rPr>
          <w:rStyle w:val="TextoNormalCaracter"/>
        </w:rPr>
        <w:t>-</w:t>
      </w:r>
      <w:r>
        <w:t xml:space="preserve"> Sentencia </w:t>
      </w:r>
      <w:hyperlink w:anchor="SENTENCIA_1992_3" w:history="1">
        <w:r w:rsidRPr="00815992">
          <w:rPr>
            <w:rStyle w:val="TextoNormalCaracter"/>
          </w:rPr>
          <w:t>3/1992</w:t>
        </w:r>
      </w:hyperlink>
      <w:r>
        <w:t>, ff. 2, 4.</w:t>
      </w:r>
    </w:p>
    <w:p w:rsidR="00815992" w:rsidRDefault="00815992" w:rsidP="00815992">
      <w:pPr>
        <w:pStyle w:val="SangriaFrancesaArticulo"/>
      </w:pPr>
      <w:r w:rsidRPr="00815992">
        <w:rPr>
          <w:rStyle w:val="TextoNormalNegritaCaracter"/>
        </w:rPr>
        <w:t>Artículo 14.</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100.</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107.</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108.</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109.</w:t>
      </w:r>
      <w:r w:rsidRPr="00815992">
        <w:rPr>
          <w:rStyle w:val="TextoNormalCaracter"/>
        </w:rPr>
        <w:t>-</w:t>
      </w:r>
      <w:r>
        <w:t xml:space="preserve"> Sentencia </w:t>
      </w:r>
      <w:hyperlink w:anchor="SENTENCIA_1992_66" w:history="1">
        <w:r w:rsidRPr="00815992">
          <w:rPr>
            <w:rStyle w:val="TextoNormalCaracter"/>
          </w:rPr>
          <w:t>66/1992</w:t>
        </w:r>
      </w:hyperlink>
      <w:r>
        <w:t>, f. 1.</w:t>
      </w:r>
    </w:p>
    <w:p w:rsidR="00815992" w:rsidRDefault="00815992" w:rsidP="00815992">
      <w:pPr>
        <w:pStyle w:val="SangriaIzquierdaArticulo"/>
      </w:pPr>
      <w:r>
        <w:t xml:space="preserve">Auto </w:t>
      </w:r>
      <w:hyperlink w:anchor="AUTO_1992_72" w:history="1">
        <w:r w:rsidRPr="00815992">
          <w:rPr>
            <w:rStyle w:val="TextoNormalCaracter"/>
          </w:rPr>
          <w:t>72/1992</w:t>
        </w:r>
      </w:hyperlink>
      <w:r>
        <w:t>.</w:t>
      </w:r>
    </w:p>
    <w:p w:rsidR="00815992" w:rsidRDefault="00815992" w:rsidP="00815992">
      <w:pPr>
        <w:pStyle w:val="SangriaFrancesaArticulo"/>
      </w:pPr>
      <w:r w:rsidRPr="00815992">
        <w:rPr>
          <w:rStyle w:val="TextoNormalNegritaCaracter"/>
        </w:rPr>
        <w:t>Artículo 110.</w:t>
      </w:r>
      <w:r w:rsidRPr="00815992">
        <w:rPr>
          <w:rStyle w:val="TextoNormalCaracter"/>
        </w:rPr>
        <w:t>-</w:t>
      </w:r>
      <w:r>
        <w:t xml:space="preserve"> Sentencias </w:t>
      </w:r>
      <w:hyperlink w:anchor="SENTENCIA_1992_19" w:history="1">
        <w:r w:rsidRPr="00815992">
          <w:rPr>
            <w:rStyle w:val="TextoNormalCaracter"/>
          </w:rPr>
          <w:t>19/1992</w:t>
        </w:r>
      </w:hyperlink>
      <w:r>
        <w:t xml:space="preserve">, f. 4; </w:t>
      </w:r>
      <w:hyperlink w:anchor="SENTENCIA_1992_33" w:history="1">
        <w:r w:rsidRPr="00815992">
          <w:rPr>
            <w:rStyle w:val="TextoNormalCaracter"/>
          </w:rPr>
          <w:t>33/1992</w:t>
        </w:r>
      </w:hyperlink>
      <w:r>
        <w:t xml:space="preserve">, f. 2; </w:t>
      </w:r>
      <w:hyperlink w:anchor="SENTENCIA_1992_66" w:history="1">
        <w:r w:rsidRPr="00815992">
          <w:rPr>
            <w:rStyle w:val="TextoNormalCaracter"/>
          </w:rPr>
          <w:t>66/1992</w:t>
        </w:r>
      </w:hyperlink>
      <w:r>
        <w:t>, ff. 1, 2.</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112.</w:t>
      </w:r>
      <w:r w:rsidRPr="00815992">
        <w:rPr>
          <w:rStyle w:val="TextoNormalCaracter"/>
        </w:rPr>
        <w:t>-</w:t>
      </w:r>
      <w:r>
        <w:t xml:space="preserve"> Sentencias </w:t>
      </w:r>
      <w:hyperlink w:anchor="SENTENCIA_1992_19" w:history="1">
        <w:r w:rsidRPr="00815992">
          <w:rPr>
            <w:rStyle w:val="TextoNormalCaracter"/>
          </w:rPr>
          <w:t>19/1992</w:t>
        </w:r>
      </w:hyperlink>
      <w:r>
        <w:t xml:space="preserve">, f. 4;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118.2.</w:t>
      </w:r>
      <w:r w:rsidRPr="00815992">
        <w:rPr>
          <w:rStyle w:val="TextoNormalCaracter"/>
        </w:rPr>
        <w:t>-</w:t>
      </w:r>
      <w:r>
        <w:t xml:space="preserve"> Auto </w:t>
      </w:r>
      <w:hyperlink w:anchor="AUTO_1992_83" w:history="1">
        <w:r w:rsidRPr="00815992">
          <w:rPr>
            <w:rStyle w:val="TextoNormalCaracter"/>
          </w:rPr>
          <w:t>83/1992</w:t>
        </w:r>
      </w:hyperlink>
      <w:r>
        <w:t>.</w:t>
      </w:r>
    </w:p>
    <w:p w:rsidR="00815992" w:rsidRDefault="00815992" w:rsidP="00815992">
      <w:pPr>
        <w:pStyle w:val="SangriaFrancesaArticulo"/>
      </w:pPr>
      <w:r w:rsidRPr="00815992">
        <w:rPr>
          <w:rStyle w:val="TextoNormalNegritaCaracter"/>
        </w:rPr>
        <w:t>Artículo 161.</w:t>
      </w:r>
      <w:r w:rsidRPr="00815992">
        <w:rPr>
          <w:rStyle w:val="TextoNormalCaracter"/>
        </w:rPr>
        <w:t>-</w:t>
      </w:r>
      <w:r>
        <w:t xml:space="preserve"> Sentencia </w:t>
      </w:r>
      <w:hyperlink w:anchor="SENTENCIA_1992_50" w:history="1">
        <w:r w:rsidRPr="00815992">
          <w:rPr>
            <w:rStyle w:val="TextoNormalCaracter"/>
          </w:rPr>
          <w:t>50/1992</w:t>
        </w:r>
      </w:hyperlink>
      <w:r>
        <w:t>, f. 1.</w:t>
      </w:r>
    </w:p>
    <w:p w:rsidR="00815992" w:rsidRDefault="00815992" w:rsidP="00815992">
      <w:pPr>
        <w:pStyle w:val="SangriaFrancesaArticulo"/>
      </w:pPr>
      <w:r w:rsidRPr="00815992">
        <w:rPr>
          <w:rStyle w:val="TextoNormalNegritaCaracter"/>
        </w:rPr>
        <w:t>Artículo 166.</w:t>
      </w:r>
      <w:r w:rsidRPr="00815992">
        <w:rPr>
          <w:rStyle w:val="TextoNormalCaracter"/>
        </w:rPr>
        <w:t>-</w:t>
      </w:r>
      <w:r>
        <w:t xml:space="preserve"> Sentencia </w:t>
      </w:r>
      <w:hyperlink w:anchor="SENTENCIA_1992_17" w:history="1">
        <w:r w:rsidRPr="00815992">
          <w:rPr>
            <w:rStyle w:val="TextoNormalCaracter"/>
          </w:rPr>
          <w:t>17/1992</w:t>
        </w:r>
      </w:hyperlink>
      <w:r>
        <w:t>, f. 2.</w:t>
      </w:r>
    </w:p>
    <w:p w:rsidR="00815992" w:rsidRDefault="00815992" w:rsidP="00815992">
      <w:pPr>
        <w:pStyle w:val="SangriaIzquierdaArticulo"/>
      </w:pPr>
      <w:r>
        <w:t xml:space="preserve">Auto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Artículos 166 a 182.</w:t>
      </w:r>
      <w:r w:rsidRPr="00815992">
        <w:rPr>
          <w:rStyle w:val="TextoNormalCaracter"/>
        </w:rPr>
        <w:t>-</w:t>
      </w:r>
      <w:r>
        <w:t xml:space="preserve"> Sentencia </w:t>
      </w:r>
      <w:hyperlink w:anchor="SENTENCIA_1992_17" w:history="1">
        <w:r w:rsidRPr="00815992">
          <w:rPr>
            <w:rStyle w:val="TextoNormalCaracter"/>
          </w:rPr>
          <w:t>17/1992</w:t>
        </w:r>
      </w:hyperlink>
      <w:r>
        <w:t>, f. 4.</w:t>
      </w:r>
    </w:p>
    <w:p w:rsidR="00815992" w:rsidRDefault="00815992" w:rsidP="00815992">
      <w:pPr>
        <w:pStyle w:val="SangriaFrancesaArticulo"/>
      </w:pPr>
      <w:r w:rsidRPr="00815992">
        <w:rPr>
          <w:rStyle w:val="TextoNormalNegritaCaracter"/>
        </w:rPr>
        <w:lastRenderedPageBreak/>
        <w:t>Artículo 236.</w:t>
      </w:r>
      <w:r w:rsidRPr="00815992">
        <w:rPr>
          <w:rStyle w:val="TextoNormalCaracter"/>
        </w:rPr>
        <w:t>-</w:t>
      </w:r>
      <w:r>
        <w:t xml:space="preserve"> Sentencia </w:t>
      </w:r>
      <w:hyperlink w:anchor="SENTENCIA_1992_3" w:history="1">
        <w:r w:rsidRPr="00815992">
          <w:rPr>
            <w:rStyle w:val="TextoNormalCaracter"/>
          </w:rPr>
          <w:t>3/1992</w:t>
        </w:r>
      </w:hyperlink>
      <w:r>
        <w:t>, f. 3.</w:t>
      </w:r>
    </w:p>
    <w:p w:rsidR="00815992" w:rsidRDefault="00815992" w:rsidP="00815992">
      <w:pPr>
        <w:pStyle w:val="SangriaFrancesaArticulo"/>
      </w:pPr>
      <w:r w:rsidRPr="00815992">
        <w:rPr>
          <w:rStyle w:val="TextoNormalNegritaCaracter"/>
        </w:rPr>
        <w:t>Artículo 334.</w:t>
      </w:r>
      <w:r w:rsidRPr="00815992">
        <w:rPr>
          <w:rStyle w:val="TextoNormalCaracter"/>
        </w:rPr>
        <w:t>-</w:t>
      </w:r>
      <w:r>
        <w:t xml:space="preserve"> Sentencia </w:t>
      </w:r>
      <w:hyperlink w:anchor="SENTENCIA_1992_33" w:history="1">
        <w:r w:rsidRPr="00815992">
          <w:rPr>
            <w:rStyle w:val="TextoNormalCaracter"/>
          </w:rPr>
          <w:t>33/1992</w:t>
        </w:r>
      </w:hyperlink>
      <w:r>
        <w:t>, f. 3.</w:t>
      </w:r>
    </w:p>
    <w:p w:rsidR="00815992" w:rsidRDefault="00815992" w:rsidP="00815992">
      <w:pPr>
        <w:pStyle w:val="SangriaFrancesaArticulo"/>
      </w:pPr>
      <w:r w:rsidRPr="00815992">
        <w:rPr>
          <w:rStyle w:val="TextoNormalNegritaCaracter"/>
        </w:rPr>
        <w:t>Artículo 368.</w:t>
      </w:r>
      <w:r w:rsidRPr="00815992">
        <w:rPr>
          <w:rStyle w:val="TextoNormalCaracter"/>
        </w:rPr>
        <w:t>-</w:t>
      </w:r>
      <w:r>
        <w:t xml:space="preserve"> Sentencia </w:t>
      </w:r>
      <w:hyperlink w:anchor="SENTENCIA_1992_10" w:history="1">
        <w:r w:rsidRPr="00815992">
          <w:rPr>
            <w:rStyle w:val="TextoNormalCaracter"/>
          </w:rPr>
          <w:t>10/1992</w:t>
        </w:r>
      </w:hyperlink>
      <w:r>
        <w:t>, f. 4.</w:t>
      </w:r>
    </w:p>
    <w:p w:rsidR="00815992" w:rsidRDefault="00815992" w:rsidP="00815992">
      <w:pPr>
        <w:pStyle w:val="SangriaFrancesaArticulo"/>
      </w:pPr>
      <w:r w:rsidRPr="00815992">
        <w:rPr>
          <w:rStyle w:val="TextoNormalNegritaCaracter"/>
        </w:rPr>
        <w:t>Artículo 369.</w:t>
      </w:r>
      <w:r w:rsidRPr="00815992">
        <w:rPr>
          <w:rStyle w:val="TextoNormalCaracter"/>
        </w:rPr>
        <w:t>-</w:t>
      </w:r>
      <w:r>
        <w:t xml:space="preserve"> Sentencia </w:t>
      </w:r>
      <w:hyperlink w:anchor="SENTENCIA_1992_10" w:history="1">
        <w:r w:rsidRPr="00815992">
          <w:rPr>
            <w:rStyle w:val="TextoNormalCaracter"/>
          </w:rPr>
          <w:t>10/1992</w:t>
        </w:r>
      </w:hyperlink>
      <w:r>
        <w:t>, f. 4.</w:t>
      </w:r>
    </w:p>
    <w:p w:rsidR="00815992" w:rsidRDefault="00815992" w:rsidP="00815992">
      <w:pPr>
        <w:pStyle w:val="SangriaFrancesaArticulo"/>
      </w:pPr>
      <w:r w:rsidRPr="00815992">
        <w:rPr>
          <w:rStyle w:val="TextoNormalNegritaCaracter"/>
        </w:rPr>
        <w:t>Artículo 456.</w:t>
      </w:r>
      <w:r w:rsidRPr="00815992">
        <w:rPr>
          <w:rStyle w:val="TextoNormalCaracter"/>
        </w:rPr>
        <w:t>-</w:t>
      </w:r>
      <w:r>
        <w:t xml:space="preserve"> Sentencia </w:t>
      </w:r>
      <w:hyperlink w:anchor="SENTENCIA_1992_33" w:history="1">
        <w:r w:rsidRPr="00815992">
          <w:rPr>
            <w:rStyle w:val="TextoNormalCaracter"/>
          </w:rPr>
          <w:t>33/1992</w:t>
        </w:r>
      </w:hyperlink>
      <w:r>
        <w:t>, f. 4.</w:t>
      </w:r>
    </w:p>
    <w:p w:rsidR="00815992" w:rsidRDefault="00815992" w:rsidP="00815992">
      <w:pPr>
        <w:pStyle w:val="SangriaFrancesaArticulo"/>
      </w:pPr>
      <w:r w:rsidRPr="00815992">
        <w:rPr>
          <w:rStyle w:val="TextoNormalNegritaCaracter"/>
        </w:rPr>
        <w:t>Artículo 503.</w:t>
      </w:r>
      <w:r w:rsidRPr="00815992">
        <w:rPr>
          <w:rStyle w:val="TextoNormalCaracter"/>
        </w:rPr>
        <w:t>-</w:t>
      </w:r>
      <w:r>
        <w:t xml:space="preserve"> Sentencia </w:t>
      </w:r>
      <w:hyperlink w:anchor="SENTENCIA_1992_3" w:history="1">
        <w:r w:rsidRPr="00815992">
          <w:rPr>
            <w:rStyle w:val="TextoNormalCaracter"/>
          </w:rPr>
          <w:t>3/1992</w:t>
        </w:r>
      </w:hyperlink>
      <w:r>
        <w:t>, ff. 2, 4.</w:t>
      </w:r>
    </w:p>
    <w:p w:rsidR="00815992" w:rsidRDefault="00815992" w:rsidP="00815992">
      <w:pPr>
        <w:pStyle w:val="SangriaIzquierdaArticulo"/>
      </w:pPr>
      <w:r>
        <w:t xml:space="preserve">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503.1.</w:t>
      </w:r>
      <w:r w:rsidRPr="00815992">
        <w:rPr>
          <w:rStyle w:val="TextoNormalCaracter"/>
        </w:rPr>
        <w:t>-</w:t>
      </w:r>
      <w:r>
        <w:t xml:space="preserve"> Sentencia </w:t>
      </w:r>
      <w:hyperlink w:anchor="SENTENCIA_1992_3" w:history="1">
        <w:r w:rsidRPr="00815992">
          <w:rPr>
            <w:rStyle w:val="TextoNormalCaracter"/>
          </w:rPr>
          <w:t>3/1992</w:t>
        </w:r>
      </w:hyperlink>
      <w:r>
        <w:t>, f. 2.</w:t>
      </w:r>
    </w:p>
    <w:p w:rsidR="00815992" w:rsidRDefault="00815992" w:rsidP="00815992">
      <w:pPr>
        <w:pStyle w:val="SangriaIzquierdaArticulo"/>
      </w:pPr>
      <w:r>
        <w:t xml:space="preserve">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503.2.</w:t>
      </w:r>
      <w:r w:rsidRPr="00815992">
        <w:rPr>
          <w:rStyle w:val="TextoNormalCaracter"/>
        </w:rPr>
        <w:t>-</w:t>
      </w:r>
      <w:r>
        <w:t xml:space="preserve"> Sentencia </w:t>
      </w:r>
      <w:hyperlink w:anchor="SENTENCIA_1992_3" w:history="1">
        <w:r w:rsidRPr="00815992">
          <w:rPr>
            <w:rStyle w:val="TextoNormalCaracter"/>
          </w:rPr>
          <w:t>3/1992</w:t>
        </w:r>
      </w:hyperlink>
      <w:r>
        <w:t>, f. 5.</w:t>
      </w:r>
    </w:p>
    <w:p w:rsidR="00815992" w:rsidRDefault="00815992" w:rsidP="00815992">
      <w:pPr>
        <w:pStyle w:val="SangriaIzquierdaArticulo"/>
      </w:pPr>
      <w:r>
        <w:t xml:space="preserve">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503.3.</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504.</w:t>
      </w:r>
      <w:r w:rsidRPr="00815992">
        <w:rPr>
          <w:rStyle w:val="TextoNormalCaracter"/>
        </w:rPr>
        <w:t>-</w:t>
      </w:r>
      <w:r>
        <w:t xml:space="preserve"> Sentencia </w:t>
      </w:r>
      <w:hyperlink w:anchor="SENTENCIA_1992_3" w:history="1">
        <w:r w:rsidRPr="00815992">
          <w:rPr>
            <w:rStyle w:val="TextoNormalCaracter"/>
          </w:rPr>
          <w:t>3/1992</w:t>
        </w:r>
      </w:hyperlink>
      <w:r>
        <w:t>, f. 2.</w:t>
      </w:r>
    </w:p>
    <w:p w:rsidR="00815992" w:rsidRDefault="00815992" w:rsidP="00815992">
      <w:pPr>
        <w:pStyle w:val="SangriaIzquierdaArticulo"/>
      </w:pPr>
      <w:r>
        <w:t xml:space="preserve">Autos </w:t>
      </w:r>
      <w:hyperlink w:anchor="AUTO_1992_50" w:history="1">
        <w:r w:rsidRPr="00815992">
          <w:rPr>
            <w:rStyle w:val="TextoNormalCaracter"/>
          </w:rPr>
          <w:t>50/1992</w:t>
        </w:r>
      </w:hyperlink>
      <w:r>
        <w:t xml:space="preserve">; </w:t>
      </w:r>
      <w:hyperlink w:anchor="AUTO_1992_84" w:history="1">
        <w:r w:rsidRPr="00815992">
          <w:rPr>
            <w:rStyle w:val="TextoNormalCaracter"/>
          </w:rPr>
          <w:t>84/1992</w:t>
        </w:r>
      </w:hyperlink>
      <w:r>
        <w:t>.</w:t>
      </w:r>
    </w:p>
    <w:p w:rsidR="00815992" w:rsidRDefault="00815992" w:rsidP="00815992">
      <w:pPr>
        <w:pStyle w:val="SangriaFrancesaArticulo"/>
      </w:pPr>
      <w:r w:rsidRPr="00815992">
        <w:rPr>
          <w:rStyle w:val="TextoNormalNegritaCaracter"/>
        </w:rPr>
        <w:t>Artículo 504.1.</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504.4.</w:t>
      </w:r>
      <w:r w:rsidRPr="00815992">
        <w:rPr>
          <w:rStyle w:val="TextoNormalCaracter"/>
        </w:rPr>
        <w:t>-</w:t>
      </w:r>
      <w:r>
        <w:t xml:space="preserve"> Autos </w:t>
      </w:r>
      <w:hyperlink w:anchor="AUTO_1992_50" w:history="1">
        <w:r w:rsidRPr="00815992">
          <w:rPr>
            <w:rStyle w:val="TextoNormalCaracter"/>
          </w:rPr>
          <w:t>50/1992</w:t>
        </w:r>
      </w:hyperlink>
      <w:r>
        <w:t xml:space="preserve">; </w:t>
      </w:r>
      <w:hyperlink w:anchor="AUTO_1992_84" w:history="1">
        <w:r w:rsidRPr="00815992">
          <w:rPr>
            <w:rStyle w:val="TextoNormalCaracter"/>
          </w:rPr>
          <w:t>84/1992</w:t>
        </w:r>
      </w:hyperlink>
      <w:r>
        <w:t>.</w:t>
      </w:r>
    </w:p>
    <w:p w:rsidR="00815992" w:rsidRDefault="00815992" w:rsidP="00815992">
      <w:pPr>
        <w:pStyle w:val="SangriaFrancesaArticulo"/>
      </w:pPr>
      <w:r w:rsidRPr="00815992">
        <w:rPr>
          <w:rStyle w:val="TextoNormalNegritaCaracter"/>
        </w:rPr>
        <w:t>Artículo 504.5.</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517.</w:t>
      </w:r>
      <w:r w:rsidRPr="00815992">
        <w:rPr>
          <w:rStyle w:val="TextoNormalCaracter"/>
        </w:rPr>
        <w:t>-</w:t>
      </w:r>
      <w:r>
        <w:t xml:space="preserve"> Sentencia </w:t>
      </w:r>
      <w:hyperlink w:anchor="SENTENCIA_1992_3" w:history="1">
        <w:r w:rsidRPr="00815992">
          <w:rPr>
            <w:rStyle w:val="TextoNormalCaracter"/>
          </w:rPr>
          <w:t>3/1992</w:t>
        </w:r>
      </w:hyperlink>
      <w:r>
        <w:t>, f. 2.</w:t>
      </w:r>
    </w:p>
    <w:p w:rsidR="00815992" w:rsidRDefault="00815992" w:rsidP="00815992">
      <w:pPr>
        <w:pStyle w:val="SangriaFrancesaArticulo"/>
      </w:pPr>
      <w:r w:rsidRPr="00815992">
        <w:rPr>
          <w:rStyle w:val="TextoNormalNegritaCaracter"/>
        </w:rPr>
        <w:t>Artículo 539.</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566.</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569.</w:t>
      </w:r>
      <w:r w:rsidRPr="00815992">
        <w:rPr>
          <w:rStyle w:val="TextoNormalCaracter"/>
        </w:rPr>
        <w:t>-</w:t>
      </w:r>
      <w:r>
        <w:t xml:space="preserve"> Auto </w:t>
      </w:r>
      <w:hyperlink w:anchor="AUTO_1992_58" w:history="1">
        <w:r w:rsidRPr="00815992">
          <w:rPr>
            <w:rStyle w:val="TextoNormalCaracter"/>
          </w:rPr>
          <w:t>58/1992</w:t>
        </w:r>
      </w:hyperlink>
      <w:r>
        <w:t>.</w:t>
      </w:r>
    </w:p>
    <w:p w:rsidR="00815992" w:rsidRDefault="00815992" w:rsidP="00815992">
      <w:pPr>
        <w:pStyle w:val="SangriaFrancesaArticulo"/>
      </w:pPr>
      <w:r w:rsidRPr="00815992">
        <w:rPr>
          <w:rStyle w:val="TextoNormalNegritaCaracter"/>
        </w:rPr>
        <w:t>Artículo 614.</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615.</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627.</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649.</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652.</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655.</w:t>
      </w:r>
      <w:r w:rsidRPr="00815992">
        <w:rPr>
          <w:rStyle w:val="TextoNormalCaracter"/>
        </w:rPr>
        <w:t>-</w:t>
      </w:r>
      <w:r>
        <w:t xml:space="preserve"> Auto </w:t>
      </w:r>
      <w:hyperlink w:anchor="AUTO_1992_72" w:history="1">
        <w:r w:rsidRPr="00815992">
          <w:rPr>
            <w:rStyle w:val="TextoNormalCaracter"/>
          </w:rPr>
          <w:t>72/1992</w:t>
        </w:r>
      </w:hyperlink>
      <w:r>
        <w:t>.</w:t>
      </w:r>
    </w:p>
    <w:p w:rsidR="00815992" w:rsidRDefault="00815992" w:rsidP="00815992">
      <w:pPr>
        <w:pStyle w:val="SangriaFrancesaArticulo"/>
      </w:pPr>
      <w:r w:rsidRPr="00815992">
        <w:rPr>
          <w:rStyle w:val="TextoNormalNegritaCaracter"/>
        </w:rPr>
        <w:t>Artículo 656.</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680.</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t>Artículo 728.</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729.</w:t>
      </w:r>
      <w:r w:rsidRPr="00815992">
        <w:rPr>
          <w:rStyle w:val="TextoNormalCaracter"/>
        </w:rPr>
        <w:t>-</w:t>
      </w:r>
      <w:r>
        <w:t xml:space="preserve"> Sentencia </w:t>
      </w:r>
      <w:hyperlink w:anchor="SENTENCIA_1992_33" w:history="1">
        <w:r w:rsidRPr="00815992">
          <w:rPr>
            <w:rStyle w:val="TextoNormalCaracter"/>
          </w:rPr>
          <w:t>33/1992</w:t>
        </w:r>
      </w:hyperlink>
      <w:r>
        <w:t>, ff. 5, 6.</w:t>
      </w:r>
    </w:p>
    <w:p w:rsidR="00815992" w:rsidRDefault="00815992" w:rsidP="00815992">
      <w:pPr>
        <w:pStyle w:val="SangriaFrancesaArticulo"/>
      </w:pPr>
      <w:r w:rsidRPr="00815992">
        <w:rPr>
          <w:rStyle w:val="TextoNormalNegritaCaracter"/>
        </w:rPr>
        <w:t>Artículo 730.</w:t>
      </w:r>
      <w:r w:rsidRPr="00815992">
        <w:rPr>
          <w:rStyle w:val="TextoNormalCaracter"/>
        </w:rPr>
        <w:t>-</w:t>
      </w:r>
      <w:r>
        <w:t xml:space="preserve"> Sentencia </w:t>
      </w:r>
      <w:hyperlink w:anchor="SENTENCIA_1992_10" w:history="1">
        <w:r w:rsidRPr="00815992">
          <w:rPr>
            <w:rStyle w:val="TextoNormalCaracter"/>
          </w:rPr>
          <w:t>10/1992</w:t>
        </w:r>
      </w:hyperlink>
      <w:r>
        <w:t>, f. 2.</w:t>
      </w:r>
    </w:p>
    <w:p w:rsidR="00815992" w:rsidRDefault="00815992" w:rsidP="00815992">
      <w:pPr>
        <w:pStyle w:val="SangriaFrancesaArticulo"/>
      </w:pPr>
      <w:r w:rsidRPr="00815992">
        <w:rPr>
          <w:rStyle w:val="TextoNormalNegritaCaracter"/>
        </w:rPr>
        <w:t>Artículo 741.</w:t>
      </w:r>
      <w:r w:rsidRPr="00815992">
        <w:rPr>
          <w:rStyle w:val="TextoNormalCaracter"/>
        </w:rPr>
        <w:t>-</w:t>
      </w:r>
      <w:r>
        <w:t xml:space="preserve"> Sentencias </w:t>
      </w:r>
      <w:hyperlink w:anchor="SENTENCIA_1992_10" w:history="1">
        <w:r w:rsidRPr="00815992">
          <w:rPr>
            <w:rStyle w:val="TextoNormalCaracter"/>
          </w:rPr>
          <w:t>10/1992</w:t>
        </w:r>
      </w:hyperlink>
      <w:r>
        <w:t xml:space="preserve">, f. 2; </w:t>
      </w:r>
      <w:hyperlink w:anchor="SENTENCIA_1992_33" w:history="1">
        <w:r w:rsidRPr="00815992">
          <w:rPr>
            <w:rStyle w:val="TextoNormalCaracter"/>
          </w:rPr>
          <w:t>33/1992</w:t>
        </w:r>
      </w:hyperlink>
      <w:r>
        <w:t>, f. 4.</w:t>
      </w:r>
    </w:p>
    <w:p w:rsidR="00815992" w:rsidRDefault="00815992" w:rsidP="00815992">
      <w:pPr>
        <w:pStyle w:val="SangriaFrancesaArticulo"/>
      </w:pPr>
      <w:r w:rsidRPr="00815992">
        <w:rPr>
          <w:rStyle w:val="TextoNormalNegritaCaracter"/>
        </w:rPr>
        <w:t>Artículo 746.3.</w:t>
      </w:r>
      <w:r w:rsidRPr="00815992">
        <w:rPr>
          <w:rStyle w:val="TextoNormalCaracter"/>
        </w:rPr>
        <w:t>-</w:t>
      </w:r>
      <w:r>
        <w:t xml:space="preserve"> Sentencias </w:t>
      </w:r>
      <w:hyperlink w:anchor="SENTENCIA_1992_10" w:history="1">
        <w:r w:rsidRPr="00815992">
          <w:rPr>
            <w:rStyle w:val="TextoNormalCaracter"/>
          </w:rPr>
          <w:t>10/1992</w:t>
        </w:r>
      </w:hyperlink>
      <w:r>
        <w:t xml:space="preserve">, f. 4; </w:t>
      </w:r>
      <w:hyperlink w:anchor="SENTENCIA_1992_65" w:history="1">
        <w:r w:rsidRPr="00815992">
          <w:rPr>
            <w:rStyle w:val="TextoNormalCaracter"/>
          </w:rPr>
          <w:t>65/1992</w:t>
        </w:r>
      </w:hyperlink>
      <w:r>
        <w:t>, f. 4.</w:t>
      </w:r>
    </w:p>
    <w:p w:rsidR="00815992" w:rsidRDefault="00815992" w:rsidP="00815992">
      <w:pPr>
        <w:pStyle w:val="SangriaFrancesaArticulo"/>
      </w:pPr>
      <w:r w:rsidRPr="00815992">
        <w:rPr>
          <w:rStyle w:val="TextoNormalNegritaCaracter"/>
        </w:rPr>
        <w:t>Artículo 780.</w:t>
      </w:r>
      <w:r w:rsidRPr="00815992">
        <w:rPr>
          <w:rStyle w:val="TextoNormalCaracter"/>
        </w:rPr>
        <w:t>-</w:t>
      </w:r>
      <w:r>
        <w:t xml:space="preserve"> Sentencias </w:t>
      </w:r>
      <w:hyperlink w:anchor="SENTENCIA_1992_3" w:history="1">
        <w:r w:rsidRPr="00815992">
          <w:rPr>
            <w:rStyle w:val="TextoNormalCaracter"/>
          </w:rPr>
          <w:t>3/1992</w:t>
        </w:r>
      </w:hyperlink>
      <w:r>
        <w:t xml:space="preserve">, f. 4; </w:t>
      </w:r>
      <w:hyperlink w:anchor="SENTENCIA_1992_33" w:history="1">
        <w:r w:rsidRPr="00815992">
          <w:rPr>
            <w:rStyle w:val="TextoNormalCaracter"/>
          </w:rPr>
          <w:t>33/1992</w:t>
        </w:r>
      </w:hyperlink>
      <w:r>
        <w:t>, ff. 5, 6.</w:t>
      </w:r>
    </w:p>
    <w:p w:rsidR="00815992" w:rsidRDefault="00815992" w:rsidP="00815992">
      <w:pPr>
        <w:pStyle w:val="SangriaFrancesaArticulo"/>
      </w:pPr>
      <w:r w:rsidRPr="00815992">
        <w:rPr>
          <w:rStyle w:val="TextoNormalNegritaCaracter"/>
        </w:rPr>
        <w:t>Artículo 790.</w:t>
      </w:r>
      <w:r w:rsidRPr="00815992">
        <w:rPr>
          <w:rStyle w:val="TextoNormalCaracter"/>
        </w:rPr>
        <w:t>-</w:t>
      </w:r>
      <w:r>
        <w:t xml:space="preserve"> Auto </w:t>
      </w:r>
      <w:hyperlink w:anchor="AUTO_1992_17" w:history="1">
        <w:r w:rsidRPr="00815992">
          <w:rPr>
            <w:rStyle w:val="TextoNormalCaracter"/>
          </w:rPr>
          <w:t>17/1992</w:t>
        </w:r>
      </w:hyperlink>
      <w:r>
        <w:t>.</w:t>
      </w:r>
    </w:p>
    <w:p w:rsidR="00815992" w:rsidRDefault="00815992" w:rsidP="00815992">
      <w:pPr>
        <w:pStyle w:val="SangriaFrancesaArticulo"/>
      </w:pPr>
      <w:r w:rsidRPr="00815992">
        <w:rPr>
          <w:rStyle w:val="TextoNormalNegritaCaracter"/>
        </w:rPr>
        <w:t>Artículo 790.1.</w:t>
      </w:r>
      <w:r w:rsidRPr="00815992">
        <w:rPr>
          <w:rStyle w:val="TextoNormalCaracter"/>
        </w:rPr>
        <w:t>-</w:t>
      </w:r>
      <w:r>
        <w:t xml:space="preserve"> Auto </w:t>
      </w:r>
      <w:hyperlink w:anchor="AUTO_1992_16" w:history="1">
        <w:r w:rsidRPr="00815992">
          <w:rPr>
            <w:rStyle w:val="TextoNormalCaracter"/>
          </w:rPr>
          <w:t>16/1992</w:t>
        </w:r>
      </w:hyperlink>
      <w:r>
        <w:t>.</w:t>
      </w:r>
    </w:p>
    <w:p w:rsidR="00815992" w:rsidRDefault="00815992" w:rsidP="00815992">
      <w:pPr>
        <w:pStyle w:val="SangriaFrancesaArticulo"/>
      </w:pPr>
      <w:r w:rsidRPr="00815992">
        <w:rPr>
          <w:rStyle w:val="TextoNormalNegritaCaracter"/>
        </w:rPr>
        <w:t>Artículo 790.6.</w:t>
      </w:r>
      <w:r w:rsidRPr="00815992">
        <w:rPr>
          <w:rStyle w:val="TextoNormalCaracter"/>
        </w:rPr>
        <w:t>-</w:t>
      </w:r>
      <w:r>
        <w:t xml:space="preserve"> Auto </w:t>
      </w:r>
      <w:hyperlink w:anchor="AUTO_1992_17" w:history="1">
        <w:r w:rsidRPr="00815992">
          <w:rPr>
            <w:rStyle w:val="TextoNormalCaracter"/>
          </w:rPr>
          <w:t>17/1992</w:t>
        </w:r>
      </w:hyperlink>
      <w:r>
        <w:t>.</w:t>
      </w:r>
    </w:p>
    <w:p w:rsidR="00815992" w:rsidRDefault="00815992" w:rsidP="00815992">
      <w:pPr>
        <w:pStyle w:val="SangriaFrancesaArticulo"/>
      </w:pPr>
      <w:r w:rsidRPr="00815992">
        <w:rPr>
          <w:rStyle w:val="TextoNormalNegritaCaracter"/>
        </w:rPr>
        <w:t>Artículo 791.</w:t>
      </w:r>
      <w:r w:rsidRPr="00815992">
        <w:rPr>
          <w:rStyle w:val="TextoNormalCaracter"/>
        </w:rPr>
        <w:t>-</w:t>
      </w:r>
      <w:r>
        <w:t xml:space="preserve"> Auto </w:t>
      </w:r>
      <w:hyperlink w:anchor="AUTO_1992_17" w:history="1">
        <w:r w:rsidRPr="00815992">
          <w:rPr>
            <w:rStyle w:val="TextoNormalCaracter"/>
          </w:rPr>
          <w:t>17/1992</w:t>
        </w:r>
      </w:hyperlink>
      <w:r>
        <w:t>.</w:t>
      </w:r>
    </w:p>
    <w:p w:rsidR="00815992" w:rsidRDefault="00815992" w:rsidP="00815992">
      <w:pPr>
        <w:pStyle w:val="SangriaFrancesaArticulo"/>
      </w:pPr>
      <w:r w:rsidRPr="00815992">
        <w:rPr>
          <w:rStyle w:val="TextoNormalNegritaCaracter"/>
        </w:rPr>
        <w:t>Artículo 791.1.</w:t>
      </w:r>
      <w:r w:rsidRPr="00815992">
        <w:rPr>
          <w:rStyle w:val="TextoNormalCaracter"/>
        </w:rPr>
        <w:t>-</w:t>
      </w:r>
      <w:r>
        <w:t xml:space="preserve"> Auto </w:t>
      </w:r>
      <w:hyperlink w:anchor="AUTO_1992_16" w:history="1">
        <w:r w:rsidRPr="00815992">
          <w:rPr>
            <w:rStyle w:val="TextoNormalCaracter"/>
          </w:rPr>
          <w:t>16/1992</w:t>
        </w:r>
      </w:hyperlink>
      <w:r>
        <w:t>.</w:t>
      </w:r>
    </w:p>
    <w:p w:rsidR="00815992" w:rsidRDefault="00815992" w:rsidP="00815992">
      <w:pPr>
        <w:pStyle w:val="SangriaFrancesaArticulo"/>
      </w:pPr>
      <w:r w:rsidRPr="00815992">
        <w:rPr>
          <w:rStyle w:val="TextoNormalNegritaCaracter"/>
        </w:rPr>
        <w:t>Artículo 791.8.</w:t>
      </w:r>
      <w:r w:rsidRPr="00815992">
        <w:rPr>
          <w:rStyle w:val="TextoNormalCaracter"/>
        </w:rPr>
        <w:t>-</w:t>
      </w:r>
      <w:r>
        <w:t xml:space="preserve"> Auto </w:t>
      </w:r>
      <w:hyperlink w:anchor="AUTO_1992_72" w:history="1">
        <w:r w:rsidRPr="00815992">
          <w:rPr>
            <w:rStyle w:val="TextoNormalCaracter"/>
          </w:rPr>
          <w:t>72/1992</w:t>
        </w:r>
      </w:hyperlink>
      <w:r>
        <w:t>.</w:t>
      </w:r>
    </w:p>
    <w:p w:rsidR="00815992" w:rsidRDefault="00815992" w:rsidP="00815992">
      <w:pPr>
        <w:pStyle w:val="SangriaFrancesaArticulo"/>
      </w:pPr>
      <w:r w:rsidRPr="00815992">
        <w:rPr>
          <w:rStyle w:val="TextoNormalNegritaCaracter"/>
        </w:rPr>
        <w:t>Artículo 797.</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798.</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IzquierdaArticulo"/>
      </w:pPr>
      <w:r>
        <w:t xml:space="preserve">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800.</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r w:rsidRPr="00815992">
        <w:rPr>
          <w:rStyle w:val="TextoNormalNegritaCaracter"/>
        </w:rPr>
        <w:t>Artículo 801.</w:t>
      </w:r>
      <w:r w:rsidRPr="00815992">
        <w:rPr>
          <w:rStyle w:val="TextoNormalCaracter"/>
        </w:rPr>
        <w:t>-</w:t>
      </w:r>
      <w:r>
        <w:t xml:space="preserve"> Sentencia </w:t>
      </w:r>
      <w:hyperlink w:anchor="SENTENCIA_1992_10" w:history="1">
        <w:r w:rsidRPr="00815992">
          <w:rPr>
            <w:rStyle w:val="TextoNormalCaracter"/>
          </w:rPr>
          <w:t>10/1992</w:t>
        </w:r>
      </w:hyperlink>
      <w:r>
        <w:t>, f. 4.</w:t>
      </w:r>
    </w:p>
    <w:p w:rsidR="00815992" w:rsidRDefault="00815992" w:rsidP="00815992">
      <w:pPr>
        <w:pStyle w:val="SangriaFrancesaArticulo"/>
      </w:pPr>
      <w:r w:rsidRPr="00815992">
        <w:rPr>
          <w:rStyle w:val="TextoNormalNegritaCaracter"/>
        </w:rPr>
        <w:t>Artículo 849.</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861 bis a).</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lastRenderedPageBreak/>
        <w:t>Artículo 903.</w:t>
      </w:r>
      <w:r w:rsidRPr="00815992">
        <w:rPr>
          <w:rStyle w:val="TextoNormalCaracter"/>
        </w:rPr>
        <w:t>-</w:t>
      </w:r>
      <w:r>
        <w:t xml:space="preserve"> Sentencia </w:t>
      </w:r>
      <w:hyperlink w:anchor="SENTENCIA_1992_11" w:history="1">
        <w:r w:rsidRPr="00815992">
          <w:rPr>
            <w:rStyle w:val="TextoNormalCaracter"/>
          </w:rPr>
          <w:t>11/1992</w:t>
        </w:r>
      </w:hyperlink>
      <w:r>
        <w:t>, f. 2.</w:t>
      </w:r>
    </w:p>
    <w:p w:rsidR="00815992" w:rsidRDefault="00815992" w:rsidP="00815992">
      <w:pPr>
        <w:pStyle w:val="SangriaFrancesaArticulo"/>
      </w:pPr>
      <w:r w:rsidRPr="00815992">
        <w:rPr>
          <w:rStyle w:val="TextoNormalNegritaCaracter"/>
        </w:rPr>
        <w:t>Artículo 965.</w:t>
      </w:r>
      <w:r w:rsidRPr="00815992">
        <w:rPr>
          <w:rStyle w:val="TextoNormalCaracter"/>
        </w:rPr>
        <w:t>-</w:t>
      </w:r>
      <w:r>
        <w:t xml:space="preserve"> Sentencia </w:t>
      </w:r>
      <w:hyperlink w:anchor="SENTENCIA_1992_17" w:history="1">
        <w:r w:rsidRPr="00815992">
          <w:rPr>
            <w:rStyle w:val="TextoNormalCaracter"/>
          </w:rPr>
          <w:t>17/1992</w:t>
        </w:r>
      </w:hyperlink>
      <w:r>
        <w:t>, f. 4.</w:t>
      </w:r>
    </w:p>
    <w:p w:rsidR="00815992" w:rsidRDefault="00815992" w:rsidP="00815992">
      <w:pPr>
        <w:pStyle w:val="SangriaFrancesaArticulo"/>
      </w:pPr>
      <w:r w:rsidRPr="00815992">
        <w:rPr>
          <w:rStyle w:val="TextoNormalNegritaCaracter"/>
        </w:rPr>
        <w:t>Artículo 979.</w:t>
      </w:r>
      <w:r w:rsidRPr="00815992">
        <w:rPr>
          <w:rStyle w:val="TextoNormalCaracter"/>
        </w:rPr>
        <w:t>-</w:t>
      </w:r>
      <w:r>
        <w:t xml:space="preserve"> Auto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Artículo 988.2.</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989.</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990.2.</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p>
    <w:p w:rsidR="00815992" w:rsidRDefault="00815992" w:rsidP="00815992">
      <w:pPr>
        <w:pStyle w:val="TextoNormalNegritaCursivandice"/>
      </w:pPr>
      <w:r>
        <w:t>Real Decreto de 22 de agosto de 1885. Código de comercio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7" w:history="1">
        <w:r w:rsidRPr="00815992">
          <w:rPr>
            <w:rStyle w:val="TextoNormalCaracter"/>
          </w:rPr>
          <w:t>47/1992</w:t>
        </w:r>
      </w:hyperlink>
      <w:r>
        <w:t>, f. 3.</w:t>
      </w:r>
    </w:p>
    <w:p w:rsidR="00815992" w:rsidRDefault="00815992" w:rsidP="00815992">
      <w:pPr>
        <w:pStyle w:val="SangriaFrancesaArticulo"/>
      </w:pPr>
      <w:r w:rsidRPr="00815992">
        <w:rPr>
          <w:rStyle w:val="TextoNormalNegritaCaracter"/>
        </w:rPr>
        <w:t>Artículo 31.</w:t>
      </w:r>
      <w:r w:rsidRPr="00815992">
        <w:rPr>
          <w:rStyle w:val="TextoNormalCaracter"/>
        </w:rPr>
        <w:t>-</w:t>
      </w:r>
      <w:r>
        <w:t xml:space="preserve"> Sentencia </w:t>
      </w:r>
      <w:hyperlink w:anchor="SENTENCIA_1992_14" w:history="1">
        <w:r w:rsidRPr="00815992">
          <w:rPr>
            <w:rStyle w:val="TextoNormalCaracter"/>
          </w:rPr>
          <w:t>14/1992</w:t>
        </w:r>
      </w:hyperlink>
      <w:r>
        <w:t>, f. 2.</w:t>
      </w:r>
    </w:p>
    <w:p w:rsidR="00815992" w:rsidRDefault="00815992" w:rsidP="00815992">
      <w:pPr>
        <w:pStyle w:val="SangriaFrancesaArticulo"/>
      </w:pPr>
      <w:r w:rsidRPr="00815992">
        <w:rPr>
          <w:rStyle w:val="TextoNormalNegritaCaracter"/>
        </w:rPr>
        <w:t>Artículo 47.</w:t>
      </w:r>
      <w:r w:rsidRPr="00815992">
        <w:rPr>
          <w:rStyle w:val="TextoNormalCaracter"/>
        </w:rPr>
        <w:t>-</w:t>
      </w:r>
      <w:r>
        <w:t xml:space="preserve"> Sentencia </w:t>
      </w:r>
      <w:hyperlink w:anchor="SENTENCIA_1992_14" w:history="1">
        <w:r w:rsidRPr="00815992">
          <w:rPr>
            <w:rStyle w:val="TextoNormalCaracter"/>
          </w:rPr>
          <w:t>14/1992</w:t>
        </w:r>
      </w:hyperlink>
      <w:r>
        <w:t>, f. 2.</w:t>
      </w:r>
    </w:p>
    <w:p w:rsidR="00815992" w:rsidRDefault="00815992" w:rsidP="00815992">
      <w:pPr>
        <w:pStyle w:val="SangriaFrancesaArticulo"/>
      </w:pPr>
    </w:p>
    <w:p w:rsidR="00815992" w:rsidRDefault="00815992" w:rsidP="00815992">
      <w:pPr>
        <w:pStyle w:val="TextoNormalNegritaCursivandice"/>
      </w:pPr>
      <w:r>
        <w:t>Real Decreto de 24 de julio de 1889. Código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7" w:history="1">
        <w:r w:rsidRPr="00815992">
          <w:rPr>
            <w:rStyle w:val="TextoNormalCaracter"/>
          </w:rPr>
          <w:t>47/1992</w:t>
        </w:r>
      </w:hyperlink>
      <w:r>
        <w:t>, f. 3.</w:t>
      </w:r>
    </w:p>
    <w:p w:rsidR="00815992" w:rsidRDefault="00815992" w:rsidP="00815992">
      <w:pPr>
        <w:pStyle w:val="SangriaIzquierdaArticulo"/>
      </w:pPr>
      <w:r>
        <w:t xml:space="preserve">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7.1.</w:t>
      </w:r>
      <w:r w:rsidRPr="00815992">
        <w:rPr>
          <w:rStyle w:val="TextoNormalCaracter"/>
        </w:rPr>
        <w:t>-</w:t>
      </w:r>
      <w:r>
        <w:t xml:space="preserve"> Sentencia </w:t>
      </w:r>
      <w:hyperlink w:anchor="SENTENCIA_1992_61" w:history="1">
        <w:r w:rsidRPr="00815992">
          <w:rPr>
            <w:rStyle w:val="TextoNormalCaracter"/>
          </w:rPr>
          <w:t>61/1992</w:t>
        </w:r>
      </w:hyperlink>
      <w:r>
        <w:t>, f. 4.</w:t>
      </w:r>
    </w:p>
    <w:p w:rsidR="00815992" w:rsidRDefault="00815992" w:rsidP="00815992">
      <w:pPr>
        <w:pStyle w:val="SangriaFrancesaArticulo"/>
      </w:pPr>
      <w:r w:rsidRPr="00815992">
        <w:rPr>
          <w:rStyle w:val="TextoNormalNegritaCaracter"/>
        </w:rPr>
        <w:t>Artículo 108.</w:t>
      </w:r>
      <w:r w:rsidRPr="00815992">
        <w:rPr>
          <w:rStyle w:val="TextoNormalCaracter"/>
        </w:rPr>
        <w:t>-</w:t>
      </w:r>
      <w:r>
        <w:t xml:space="preserve"> Auto </w:t>
      </w:r>
      <w:hyperlink w:anchor="AUTO_1992_22" w:history="1">
        <w:r w:rsidRPr="00815992">
          <w:rPr>
            <w:rStyle w:val="TextoNormalCaracter"/>
          </w:rPr>
          <w:t>22/1992</w:t>
        </w:r>
      </w:hyperlink>
      <w:r>
        <w:t>.</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117.</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127.</w:t>
      </w:r>
      <w:r w:rsidRPr="00815992">
        <w:rPr>
          <w:rStyle w:val="TextoNormalCaracter"/>
        </w:rPr>
        <w:t>-</w:t>
      </w:r>
      <w:r>
        <w:t xml:space="preserve"> 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135.</w:t>
      </w:r>
      <w:r w:rsidRPr="00815992">
        <w:rPr>
          <w:rStyle w:val="TextoNormalCaracter"/>
        </w:rPr>
        <w:t>-</w:t>
      </w:r>
      <w:r>
        <w:t xml:space="preserve"> Auto </w:t>
      </w:r>
      <w:hyperlink w:anchor="AUTO_1992_27" w:history="1">
        <w:r w:rsidRPr="00815992">
          <w:rPr>
            <w:rStyle w:val="TextoNormalCaracter"/>
          </w:rPr>
          <w:t>27/1992</w:t>
        </w:r>
      </w:hyperlink>
      <w:r>
        <w:t>.</w:t>
      </w:r>
    </w:p>
    <w:p w:rsidR="00815992" w:rsidRDefault="00815992" w:rsidP="00815992">
      <w:pPr>
        <w:pStyle w:val="SangriaFrancesaArticulo"/>
      </w:pPr>
      <w:r w:rsidRPr="00815992">
        <w:rPr>
          <w:rStyle w:val="TextoNormalNegritaCaracter"/>
        </w:rPr>
        <w:t>Artículo 176.</w:t>
      </w:r>
      <w:r w:rsidRPr="00815992">
        <w:rPr>
          <w:rStyle w:val="TextoNormalCaracter"/>
        </w:rPr>
        <w:t>-</w:t>
      </w:r>
      <w:r>
        <w:t xml:space="preserve"> Auto </w:t>
      </w:r>
      <w:hyperlink w:anchor="AUTO_1992_22" w:history="1">
        <w:r w:rsidRPr="00815992">
          <w:rPr>
            <w:rStyle w:val="TextoNormalCaracter"/>
          </w:rPr>
          <w:t>22/1992</w:t>
        </w:r>
      </w:hyperlink>
      <w:r>
        <w:t>.</w:t>
      </w:r>
    </w:p>
    <w:p w:rsidR="00815992" w:rsidRDefault="00815992" w:rsidP="00815992">
      <w:pPr>
        <w:pStyle w:val="SangriaFrancesaArticulo"/>
      </w:pPr>
      <w:r w:rsidRPr="00815992">
        <w:rPr>
          <w:rStyle w:val="TextoNormalNegritaCaracter"/>
        </w:rPr>
        <w:t>Artículo 657.</w:t>
      </w:r>
      <w:r w:rsidRPr="00815992">
        <w:rPr>
          <w:rStyle w:val="TextoNormalCaracter"/>
        </w:rPr>
        <w:t>-</w:t>
      </w:r>
      <w:r>
        <w:t xml:space="preserve"> Auto </w:t>
      </w:r>
      <w:hyperlink w:anchor="AUTO_1992_22" w:history="1">
        <w:r w:rsidRPr="00815992">
          <w:rPr>
            <w:rStyle w:val="TextoNormalCaracter"/>
          </w:rPr>
          <w:t>22/1992</w:t>
        </w:r>
      </w:hyperlink>
      <w:r>
        <w:t>.</w:t>
      </w:r>
    </w:p>
    <w:p w:rsidR="00815992" w:rsidRDefault="00815992" w:rsidP="00815992">
      <w:pPr>
        <w:pStyle w:val="SangriaFrancesaArticulo"/>
      </w:pPr>
      <w:r w:rsidRPr="00815992">
        <w:rPr>
          <w:rStyle w:val="TextoNormalNegritaCaracter"/>
        </w:rPr>
        <w:t>Artículo 758.</w:t>
      </w:r>
      <w:r w:rsidRPr="00815992">
        <w:rPr>
          <w:rStyle w:val="TextoNormalCaracter"/>
        </w:rPr>
        <w:t>-</w:t>
      </w:r>
      <w:r>
        <w:t xml:space="preserve"> Auto </w:t>
      </w:r>
      <w:hyperlink w:anchor="AUTO_1992_22" w:history="1">
        <w:r w:rsidRPr="00815992">
          <w:rPr>
            <w:rStyle w:val="TextoNormalCaracter"/>
          </w:rPr>
          <w:t>22/1992</w:t>
        </w:r>
      </w:hyperlink>
      <w:r>
        <w:t>.</w:t>
      </w:r>
    </w:p>
    <w:p w:rsidR="00815992" w:rsidRDefault="00815992" w:rsidP="00815992">
      <w:pPr>
        <w:pStyle w:val="SangriaFrancesaArticulo"/>
      </w:pPr>
      <w:r w:rsidRPr="00815992">
        <w:rPr>
          <w:rStyle w:val="TextoNormalNegritaCaracter"/>
        </w:rPr>
        <w:t>Artículo 1107.</w:t>
      </w:r>
      <w:r w:rsidRPr="00815992">
        <w:rPr>
          <w:rStyle w:val="TextoNormalCaracter"/>
        </w:rPr>
        <w:t>-</w:t>
      </w:r>
      <w:r>
        <w:t xml:space="preserve"> Sentencia </w:t>
      </w:r>
      <w:hyperlink w:anchor="SENTENCIA_1992_14" w:history="1">
        <w:r w:rsidRPr="00815992">
          <w:rPr>
            <w:rStyle w:val="TextoNormalCaracter"/>
          </w:rPr>
          <w:t>14/1992</w:t>
        </w:r>
      </w:hyperlink>
      <w:r>
        <w:t>, f. 8.</w:t>
      </w:r>
    </w:p>
    <w:p w:rsidR="00815992" w:rsidRDefault="00815992" w:rsidP="00815992">
      <w:pPr>
        <w:pStyle w:val="SangriaFrancesaArticulo"/>
      </w:pPr>
      <w:r w:rsidRPr="00815992">
        <w:rPr>
          <w:rStyle w:val="TextoNormalNegritaCaracter"/>
        </w:rPr>
        <w:t>Artículo 1144.</w:t>
      </w:r>
      <w:r w:rsidRPr="00815992">
        <w:rPr>
          <w:rStyle w:val="TextoNormalCaracter"/>
        </w:rPr>
        <w:t>-</w:t>
      </w:r>
      <w:r>
        <w:t xml:space="preserve"> Sentencia </w:t>
      </w:r>
      <w:hyperlink w:anchor="SENTENCIA_1992_20" w:history="1">
        <w:r w:rsidRPr="00815992">
          <w:rPr>
            <w:rStyle w:val="TextoNormalCaracter"/>
          </w:rPr>
          <w:t>20/1992</w:t>
        </w:r>
      </w:hyperlink>
      <w:r>
        <w:t>, f. 1.</w:t>
      </w:r>
    </w:p>
    <w:p w:rsidR="00815992" w:rsidRDefault="00815992" w:rsidP="00815992">
      <w:pPr>
        <w:pStyle w:val="SangriaFrancesaArticulo"/>
      </w:pPr>
      <w:r w:rsidRPr="00815992">
        <w:rPr>
          <w:rStyle w:val="TextoNormalNegritaCaracter"/>
        </w:rPr>
        <w:t>Artículo 1214.</w:t>
      </w:r>
      <w:r w:rsidRPr="00815992">
        <w:rPr>
          <w:rStyle w:val="TextoNormalCaracter"/>
        </w:rPr>
        <w:t>-</w:t>
      </w:r>
      <w:r>
        <w:t xml:space="preserve"> Sentencia </w:t>
      </w:r>
      <w:hyperlink w:anchor="SENTENCIA_1992_14" w:history="1">
        <w:r w:rsidRPr="00815992">
          <w:rPr>
            <w:rStyle w:val="TextoNormalCaracter"/>
          </w:rPr>
          <w:t>14/1992</w:t>
        </w:r>
      </w:hyperlink>
      <w:r>
        <w:t>, ff. 2, 3.</w:t>
      </w:r>
    </w:p>
    <w:p w:rsidR="00815992" w:rsidRDefault="00815992" w:rsidP="00815992">
      <w:pPr>
        <w:pStyle w:val="SangriaFrancesaArticulo"/>
      </w:pPr>
      <w:r w:rsidRPr="00815992">
        <w:rPr>
          <w:rStyle w:val="TextoNormalNegritaCaracter"/>
        </w:rPr>
        <w:t>Artículo 1228.</w:t>
      </w:r>
      <w:r w:rsidRPr="00815992">
        <w:rPr>
          <w:rStyle w:val="TextoNormalCaracter"/>
        </w:rPr>
        <w:t>-</w:t>
      </w:r>
      <w:r>
        <w:t xml:space="preserve"> Sentencia </w:t>
      </w:r>
      <w:hyperlink w:anchor="SENTENCIA_1992_14" w:history="1">
        <w:r w:rsidRPr="00815992">
          <w:rPr>
            <w:rStyle w:val="TextoNormalCaracter"/>
          </w:rPr>
          <w:t>14/1992</w:t>
        </w:r>
      </w:hyperlink>
      <w:r>
        <w:t>, f. 2.</w:t>
      </w:r>
    </w:p>
    <w:p w:rsidR="00815992" w:rsidRDefault="00815992" w:rsidP="00815992">
      <w:pPr>
        <w:pStyle w:val="SangriaFrancesaArticulo"/>
      </w:pPr>
      <w:r w:rsidRPr="00815992">
        <w:rPr>
          <w:rStyle w:val="TextoNormalNegritaCaracter"/>
        </w:rPr>
        <w:t>Artículo 1236.</w:t>
      </w:r>
      <w:r w:rsidRPr="00815992">
        <w:rPr>
          <w:rStyle w:val="TextoNormalCaracter"/>
        </w:rPr>
        <w:t>-</w:t>
      </w:r>
      <w:r>
        <w:t xml:space="preserve"> Sentencia </w:t>
      </w:r>
      <w:hyperlink w:anchor="SENTENCIA_1992_14" w:history="1">
        <w:r w:rsidRPr="00815992">
          <w:rPr>
            <w:rStyle w:val="TextoNormalCaracter"/>
          </w:rPr>
          <w:t>14/1992</w:t>
        </w:r>
      </w:hyperlink>
      <w:r>
        <w:t>, f. 4.</w:t>
      </w:r>
    </w:p>
    <w:p w:rsidR="00815992" w:rsidRDefault="00815992" w:rsidP="00815992">
      <w:pPr>
        <w:pStyle w:val="SangriaFrancesaArticulo"/>
      </w:pPr>
      <w:r w:rsidRPr="00815992">
        <w:rPr>
          <w:rStyle w:val="TextoNormalNegritaCaracter"/>
        </w:rPr>
        <w:t>Artículo 1249.</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1253.</w:t>
      </w:r>
      <w:r w:rsidRPr="00815992">
        <w:rPr>
          <w:rStyle w:val="TextoNormalCaracter"/>
        </w:rPr>
        <w:t>-</w:t>
      </w:r>
      <w:r>
        <w:t xml:space="preserve"> Auto </w:t>
      </w:r>
      <w:hyperlink w:anchor="AUTO_1992_62" w:history="1">
        <w:r w:rsidRPr="00815992">
          <w:rPr>
            <w:rStyle w:val="TextoNormalCaracter"/>
          </w:rPr>
          <w:t>62/1992</w:t>
        </w:r>
      </w:hyperlink>
      <w:r>
        <w:t>.</w:t>
      </w:r>
    </w:p>
    <w:p w:rsidR="00815992" w:rsidRDefault="00815992" w:rsidP="00815992">
      <w:pPr>
        <w:pStyle w:val="SangriaFrancesaArticulo"/>
      </w:pPr>
      <w:r w:rsidRPr="00815992">
        <w:rPr>
          <w:rStyle w:val="TextoNormalNegritaCaracter"/>
        </w:rPr>
        <w:t>Artículo 1518.</w:t>
      </w:r>
      <w:r w:rsidRPr="00815992">
        <w:rPr>
          <w:rStyle w:val="TextoNormalCaracter"/>
        </w:rPr>
        <w:t>-</w:t>
      </w:r>
      <w:r>
        <w:t xml:space="preserve"> Sentencia </w:t>
      </w:r>
      <w:hyperlink w:anchor="SENTENCIA_1992_12" w:history="1">
        <w:r w:rsidRPr="00815992">
          <w:rPr>
            <w:rStyle w:val="TextoNormalCaracter"/>
          </w:rPr>
          <w:t>12/1992</w:t>
        </w:r>
      </w:hyperlink>
      <w:r>
        <w:t>, ff. 4, 6.</w:t>
      </w:r>
    </w:p>
    <w:p w:rsidR="00815992" w:rsidRDefault="00815992" w:rsidP="00815992">
      <w:pPr>
        <w:pStyle w:val="SangriaFrancesaArticulo"/>
      </w:pPr>
      <w:r w:rsidRPr="00815992">
        <w:rPr>
          <w:rStyle w:val="TextoNormalNegritaCaracter"/>
        </w:rPr>
        <w:t>Artículo 1524.</w:t>
      </w:r>
      <w:r w:rsidRPr="00815992">
        <w:rPr>
          <w:rStyle w:val="TextoNormalCaracter"/>
        </w:rPr>
        <w:t>-</w:t>
      </w:r>
      <w:r>
        <w:t xml:space="preserve"> Sentencia </w:t>
      </w:r>
      <w:hyperlink w:anchor="SENTENCIA_1992_12" w:history="1">
        <w:r w:rsidRPr="00815992">
          <w:rPr>
            <w:rStyle w:val="TextoNormalCaracter"/>
          </w:rPr>
          <w:t>12/1992</w:t>
        </w:r>
      </w:hyperlink>
      <w:r>
        <w:t>, f. 6.</w:t>
      </w:r>
    </w:p>
    <w:p w:rsidR="00815992" w:rsidRDefault="00815992" w:rsidP="00815992">
      <w:pPr>
        <w:pStyle w:val="SangriaFrancesaArticulo"/>
      </w:pPr>
    </w:p>
    <w:p w:rsidR="00815992" w:rsidRDefault="00815992" w:rsidP="00815992">
      <w:pPr>
        <w:pStyle w:val="TextoNormalNegritaCursivandice"/>
      </w:pPr>
      <w:r>
        <w:t>Ley de 16 de mayo de 1902. Propiedad Industrial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r w:rsidRPr="00815992">
        <w:rPr>
          <w:rStyle w:val="TextoNormalNegritaCaracter"/>
        </w:rPr>
        <w:t>Artículo 134.</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r w:rsidRPr="00815992">
        <w:rPr>
          <w:rStyle w:val="TextoNormalNegritaCaracter"/>
        </w:rPr>
        <w:t>Artículo 138.</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p>
    <w:p w:rsidR="00815992" w:rsidRDefault="00815992" w:rsidP="00815992">
      <w:pPr>
        <w:pStyle w:val="TextoNormalNegritaCursivandice"/>
      </w:pPr>
      <w:r>
        <w:t>Real Decreto-ley de 26 de julio de 1929. Texto refundido aprobado por Real Orden de 30 de abril de 1930, del Estatuto sobre Propiedad  industrial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p>
    <w:p w:rsidR="00815992" w:rsidRDefault="00815992" w:rsidP="00815992">
      <w:pPr>
        <w:pStyle w:val="TextoNormalNegritaCursivandice"/>
      </w:pPr>
      <w:r>
        <w:t>Decreto de 22 de mayo de 1931. Anula disposiciones penales relativas a delitos contra la propiedad industrial contenidas en los artículos 233 a 243 del Estatuto de la Propiedad Industrial y pone en vigor los artículos 133 a 145 de la Ley de 16 de mayo de 1902</w:t>
      </w:r>
    </w:p>
    <w:p w:rsidR="00815992" w:rsidRDefault="00815992" w:rsidP="00815992">
      <w:pPr>
        <w:pStyle w:val="SangriaFrancesaArticulo"/>
      </w:pPr>
      <w:r w:rsidRPr="00815992">
        <w:rPr>
          <w:rStyle w:val="TextoNormalNegritaCaracter"/>
        </w:rPr>
        <w:lastRenderedPageBreak/>
        <w:t>En general.</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p>
    <w:p w:rsidR="00815992" w:rsidRDefault="00815992" w:rsidP="00815992">
      <w:pPr>
        <w:pStyle w:val="TextoNormalNegritaCursivandice"/>
      </w:pPr>
      <w:r>
        <w:t>Decreto de 25 de septiembre de 1934. Código de la circulación</w:t>
      </w:r>
    </w:p>
    <w:p w:rsidR="00815992" w:rsidRDefault="00815992" w:rsidP="00815992">
      <w:pPr>
        <w:pStyle w:val="SangriaFrancesaArticulo"/>
      </w:pPr>
      <w:r w:rsidRPr="00815992">
        <w:rPr>
          <w:rStyle w:val="TextoNormalNegritaCaracter"/>
        </w:rPr>
        <w:t>Artículo 29.III b).</w:t>
      </w:r>
      <w:r w:rsidRPr="00815992">
        <w:rPr>
          <w:rStyle w:val="TextoNormalCaracter"/>
        </w:rPr>
        <w:t>-</w:t>
      </w:r>
      <w:r>
        <w:t xml:space="preserve"> Auto </w:t>
      </w:r>
      <w:hyperlink w:anchor="AUTO_1992_105" w:history="1">
        <w:r w:rsidRPr="00815992">
          <w:rPr>
            <w:rStyle w:val="TextoNormalCaracter"/>
          </w:rPr>
          <w:t>105/1992</w:t>
        </w:r>
      </w:hyperlink>
      <w:r>
        <w:t>.</w:t>
      </w:r>
    </w:p>
    <w:p w:rsidR="00815992" w:rsidRDefault="00815992" w:rsidP="00815992">
      <w:pPr>
        <w:pStyle w:val="SangriaFrancesaArticulo"/>
      </w:pPr>
    </w:p>
    <w:p w:rsidR="00815992" w:rsidRDefault="00815992" w:rsidP="00815992">
      <w:pPr>
        <w:pStyle w:val="TextoNormalNegritaCursivandice"/>
      </w:pPr>
      <w:r>
        <w:t>Orden del Ministerio de la Gobernación, de 14 de mayo de 1943. Reglamento para el Servicio del Cuerpo de la Guardia Civil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p>
    <w:p w:rsidR="00815992" w:rsidRDefault="00815992" w:rsidP="00815992">
      <w:pPr>
        <w:pStyle w:val="TextoNormalNegritaCursivandice"/>
      </w:pPr>
      <w:r>
        <w:t>Decreto de 8 de febrero de 1946. Texto refundido de la Ley hipotecaria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6" w:history="1">
        <w:r w:rsidRPr="00815992">
          <w:rPr>
            <w:rStyle w:val="TextoNormalCaracter"/>
          </w:rPr>
          <w:t>6/1992</w:t>
        </w:r>
      </w:hyperlink>
      <w:r>
        <w:t>, f. 6.</w:t>
      </w:r>
    </w:p>
    <w:p w:rsidR="00815992" w:rsidRDefault="00815992" w:rsidP="00815992">
      <w:pPr>
        <w:pStyle w:val="SangriaIzquierdaArticulo"/>
      </w:pPr>
      <w:r>
        <w:t xml:space="preserve">Auto </w:t>
      </w:r>
      <w:hyperlink w:anchor="AUTO_1992_37" w:history="1">
        <w:r w:rsidRPr="00815992">
          <w:rPr>
            <w:rStyle w:val="TextoNormalCaracter"/>
          </w:rPr>
          <w:t>37/1992</w:t>
        </w:r>
      </w:hyperlink>
      <w:r>
        <w:t>.</w:t>
      </w:r>
    </w:p>
    <w:p w:rsidR="00815992" w:rsidRDefault="00815992" w:rsidP="00815992">
      <w:pPr>
        <w:pStyle w:val="SangriaFrancesaArticulo"/>
      </w:pPr>
      <w:r w:rsidRPr="00815992">
        <w:rPr>
          <w:rStyle w:val="TextoNormalNegritaCaracter"/>
        </w:rPr>
        <w:t>Artículo 15.</w:t>
      </w:r>
      <w:r w:rsidRPr="00815992">
        <w:rPr>
          <w:rStyle w:val="TextoNormalCaracter"/>
        </w:rPr>
        <w:t>-</w:t>
      </w:r>
      <w:r>
        <w:t xml:space="preserve"> Sentencia </w:t>
      </w:r>
      <w:hyperlink w:anchor="SENTENCIA_1992_14" w:history="1">
        <w:r w:rsidRPr="00815992">
          <w:rPr>
            <w:rStyle w:val="TextoNormalCaracter"/>
          </w:rPr>
          <w:t>14/1992</w:t>
        </w:r>
      </w:hyperlink>
      <w:r>
        <w:t>, VP.</w:t>
      </w:r>
    </w:p>
    <w:p w:rsidR="00815992" w:rsidRDefault="00815992" w:rsidP="00815992">
      <w:pPr>
        <w:pStyle w:val="SangriaFrancesaArticulo"/>
      </w:pPr>
      <w:r w:rsidRPr="00815992">
        <w:rPr>
          <w:rStyle w:val="TextoNormalNegritaCaracter"/>
        </w:rPr>
        <w:t>Artículo 131.</w:t>
      </w:r>
      <w:r w:rsidRPr="00815992">
        <w:rPr>
          <w:rStyle w:val="TextoNormalCaracter"/>
        </w:rPr>
        <w:t>-</w:t>
      </w:r>
      <w:r>
        <w:t xml:space="preserve"> Sentencias </w:t>
      </w:r>
      <w:hyperlink w:anchor="SENTENCIA_1992_6" w:history="1">
        <w:r w:rsidRPr="00815992">
          <w:rPr>
            <w:rStyle w:val="TextoNormalCaracter"/>
          </w:rPr>
          <w:t>6/1992</w:t>
        </w:r>
      </w:hyperlink>
      <w:r>
        <w:t xml:space="preserve">, ff. 1, 3, 7; </w:t>
      </w:r>
      <w:hyperlink w:anchor="SENTENCIA_1992_14" w:history="1">
        <w:r w:rsidRPr="00815992">
          <w:rPr>
            <w:rStyle w:val="TextoNormalCaracter"/>
          </w:rPr>
          <w:t>14/1992</w:t>
        </w:r>
      </w:hyperlink>
      <w:r>
        <w:t>, f. 9.</w:t>
      </w:r>
    </w:p>
    <w:p w:rsidR="00815992" w:rsidRDefault="00815992" w:rsidP="00815992">
      <w:pPr>
        <w:pStyle w:val="SangriaIzquierdaArticulo"/>
      </w:pPr>
      <w:r>
        <w:t xml:space="preserve">Autos </w:t>
      </w:r>
      <w:hyperlink w:anchor="AUTO_1992_6" w:history="1">
        <w:r w:rsidRPr="00815992">
          <w:rPr>
            <w:rStyle w:val="TextoNormalCaracter"/>
          </w:rPr>
          <w:t>6/1992</w:t>
        </w:r>
      </w:hyperlink>
      <w:r>
        <w:t xml:space="preserve">; </w:t>
      </w:r>
      <w:hyperlink w:anchor="AUTO_1992_13" w:history="1">
        <w:r w:rsidRPr="00815992">
          <w:rPr>
            <w:rStyle w:val="TextoNormalCaracter"/>
          </w:rPr>
          <w:t>13/1992</w:t>
        </w:r>
      </w:hyperlink>
      <w:r>
        <w:t>.</w:t>
      </w:r>
    </w:p>
    <w:p w:rsidR="00815992" w:rsidRDefault="00815992" w:rsidP="00815992">
      <w:pPr>
        <w:pStyle w:val="SangriaFrancesaArticulo"/>
      </w:pPr>
      <w:r w:rsidRPr="00815992">
        <w:rPr>
          <w:rStyle w:val="TextoNormalNegritaCaracter"/>
        </w:rPr>
        <w:t>Artículo 131.15.</w:t>
      </w:r>
      <w:r w:rsidRPr="00815992">
        <w:rPr>
          <w:rStyle w:val="TextoNormalCaracter"/>
        </w:rPr>
        <w:t>-</w:t>
      </w:r>
      <w:r>
        <w:t xml:space="preserve"> Auto </w:t>
      </w:r>
      <w:hyperlink w:anchor="AUTO_1992_6" w:history="1">
        <w:r w:rsidRPr="00815992">
          <w:rPr>
            <w:rStyle w:val="TextoNormalCaracter"/>
          </w:rPr>
          <w:t>6/1992</w:t>
        </w:r>
      </w:hyperlink>
      <w:r>
        <w:t>.</w:t>
      </w:r>
    </w:p>
    <w:p w:rsidR="00815992" w:rsidRDefault="00815992" w:rsidP="00815992">
      <w:pPr>
        <w:pStyle w:val="SangriaFrancesaArticulo"/>
      </w:pPr>
      <w:r w:rsidRPr="00815992">
        <w:rPr>
          <w:rStyle w:val="TextoNormalNegritaCaracter"/>
        </w:rPr>
        <w:t>Artículo 132.</w:t>
      </w:r>
      <w:r w:rsidRPr="00815992">
        <w:rPr>
          <w:rStyle w:val="TextoNormalCaracter"/>
        </w:rPr>
        <w:t>-</w:t>
      </w:r>
      <w:r>
        <w:t xml:space="preserve"> Sentencia </w:t>
      </w:r>
      <w:hyperlink w:anchor="SENTENCIA_1992_6" w:history="1">
        <w:r w:rsidRPr="00815992">
          <w:rPr>
            <w:rStyle w:val="TextoNormalCaracter"/>
          </w:rPr>
          <w:t>6/1992</w:t>
        </w:r>
      </w:hyperlink>
      <w:r>
        <w:t>, ff. 3, 6.</w:t>
      </w:r>
    </w:p>
    <w:p w:rsidR="00815992" w:rsidRDefault="00815992" w:rsidP="00815992">
      <w:pPr>
        <w:pStyle w:val="SangriaIzquierdaArticulo"/>
      </w:pPr>
      <w:r>
        <w:t xml:space="preserve">Auto </w:t>
      </w:r>
      <w:hyperlink w:anchor="AUTO_1992_6" w:history="1">
        <w:r w:rsidRPr="00815992">
          <w:rPr>
            <w:rStyle w:val="TextoNormalCaracter"/>
          </w:rPr>
          <w:t>6/1992</w:t>
        </w:r>
      </w:hyperlink>
      <w:r>
        <w:t>.</w:t>
      </w:r>
    </w:p>
    <w:p w:rsidR="00815992" w:rsidRDefault="00815992" w:rsidP="00815992">
      <w:pPr>
        <w:pStyle w:val="SangriaFrancesaArticulo"/>
      </w:pPr>
      <w:r w:rsidRPr="00815992">
        <w:rPr>
          <w:rStyle w:val="TextoNormalNegritaCaracter"/>
        </w:rPr>
        <w:t>Artículo 153.</w:t>
      </w:r>
      <w:r w:rsidRPr="00815992">
        <w:rPr>
          <w:rStyle w:val="TextoNormalCaracter"/>
        </w:rPr>
        <w:t>-</w:t>
      </w:r>
      <w:r>
        <w:t xml:space="preserve"> Sentencia </w:t>
      </w:r>
      <w:hyperlink w:anchor="SENTENCIA_1992_14" w:history="1">
        <w:r w:rsidRPr="00815992">
          <w:rPr>
            <w:rStyle w:val="TextoNormalCaracter"/>
          </w:rPr>
          <w:t>14/1992</w:t>
        </w:r>
      </w:hyperlink>
      <w:r>
        <w:t>, f. 9, VP.</w:t>
      </w:r>
    </w:p>
    <w:p w:rsidR="00815992" w:rsidRDefault="00815992" w:rsidP="00815992">
      <w:pPr>
        <w:pStyle w:val="SangriaFrancesaArticulo"/>
      </w:pPr>
      <w:r w:rsidRPr="00815992">
        <w:rPr>
          <w:rStyle w:val="TextoNormalNegritaCaracter"/>
        </w:rPr>
        <w:t>Artículo 153.5.</w:t>
      </w:r>
      <w:r w:rsidRPr="00815992">
        <w:rPr>
          <w:rStyle w:val="TextoNormalCaracter"/>
        </w:rPr>
        <w:t>-</w:t>
      </w:r>
      <w:r>
        <w:t xml:space="preserve"> Sentencia </w:t>
      </w:r>
      <w:hyperlink w:anchor="SENTENCIA_1992_14" w:history="1">
        <w:r w:rsidRPr="00815992">
          <w:rPr>
            <w:rStyle w:val="TextoNormalCaracter"/>
          </w:rPr>
          <w:t>14/1992</w:t>
        </w:r>
      </w:hyperlink>
      <w:r>
        <w:t>, VP.</w:t>
      </w:r>
    </w:p>
    <w:p w:rsidR="00815992" w:rsidRDefault="00815992" w:rsidP="00815992">
      <w:pPr>
        <w:pStyle w:val="SangriaFrancesaArticulo"/>
      </w:pPr>
    </w:p>
    <w:p w:rsidR="00815992" w:rsidRDefault="00815992" w:rsidP="00815992">
      <w:pPr>
        <w:pStyle w:val="TextoNormalNegritaCursivandice"/>
      </w:pPr>
      <w:r>
        <w:t>Decreto de 14 de febrero de 1947. Reglamento hipotecario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37" w:history="1">
        <w:r w:rsidRPr="00815992">
          <w:rPr>
            <w:rStyle w:val="TextoNormalCaracter"/>
          </w:rPr>
          <w:t>37/1992</w:t>
        </w:r>
      </w:hyperlink>
      <w:r>
        <w:t>.</w:t>
      </w:r>
    </w:p>
    <w:p w:rsidR="00815992" w:rsidRDefault="00815992" w:rsidP="00815992">
      <w:pPr>
        <w:pStyle w:val="SangriaFrancesaArticulo"/>
      </w:pPr>
    </w:p>
    <w:p w:rsidR="00815992" w:rsidRDefault="00815992" w:rsidP="00815992">
      <w:pPr>
        <w:pStyle w:val="TextoNormalNegritaCursivandice"/>
      </w:pPr>
      <w:r>
        <w:t>Orden del Ministerio de Justicia, de 21 de abril de 1950. Interpreta el artículo 1.435 de la Ley de Enjuiciamiento Civil</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Sentencias </w:t>
      </w:r>
      <w:hyperlink w:anchor="SENTENCIA_1992_14" w:history="1">
        <w:r w:rsidRPr="00815992">
          <w:rPr>
            <w:rStyle w:val="TextoNormalCaracter"/>
          </w:rPr>
          <w:t>14/1992</w:t>
        </w:r>
      </w:hyperlink>
      <w:r>
        <w:t xml:space="preserve">, f. 2; </w:t>
      </w:r>
      <w:hyperlink w:anchor="SENTENCIA_1992_47" w:history="1">
        <w:r w:rsidRPr="00815992">
          <w:rPr>
            <w:rStyle w:val="TextoNormalCaracter"/>
          </w:rPr>
          <w:t>47/1992</w:t>
        </w:r>
      </w:hyperlink>
      <w:r>
        <w:t>, f. 3.</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Sentencias </w:t>
      </w:r>
      <w:hyperlink w:anchor="SENTENCIA_1992_14" w:history="1">
        <w:r w:rsidRPr="00815992">
          <w:rPr>
            <w:rStyle w:val="TextoNormalCaracter"/>
          </w:rPr>
          <w:t>14/1992</w:t>
        </w:r>
      </w:hyperlink>
      <w:r>
        <w:t xml:space="preserve">, f. 2; </w:t>
      </w:r>
      <w:hyperlink w:anchor="SENTENCIA_1992_47" w:history="1">
        <w:r w:rsidRPr="00815992">
          <w:rPr>
            <w:rStyle w:val="TextoNormalCaracter"/>
          </w:rPr>
          <w:t>47/1992</w:t>
        </w:r>
      </w:hyperlink>
      <w:r>
        <w:t>, f. 3.</w:t>
      </w:r>
    </w:p>
    <w:p w:rsidR="00815992" w:rsidRDefault="00815992" w:rsidP="00815992">
      <w:pPr>
        <w:pStyle w:val="SangriaFrancesaArticulo"/>
      </w:pPr>
    </w:p>
    <w:p w:rsidR="00815992" w:rsidRDefault="00815992" w:rsidP="00815992">
      <w:pPr>
        <w:pStyle w:val="TextoNormalNegritaCursivandice"/>
      </w:pPr>
      <w:r>
        <w:t>Ley de 17 de julio de 1951. Sociedades anónimas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5" w:history="1">
        <w:r w:rsidRPr="00815992">
          <w:rPr>
            <w:rStyle w:val="TextoNormalCaracter"/>
          </w:rPr>
          <w:t>35/1992</w:t>
        </w:r>
      </w:hyperlink>
      <w:r>
        <w:t>, f. 5.</w:t>
      </w:r>
    </w:p>
    <w:p w:rsidR="00815992" w:rsidRDefault="00815992" w:rsidP="00815992">
      <w:pPr>
        <w:pStyle w:val="SangriaFrancesaArticulo"/>
      </w:pPr>
    </w:p>
    <w:p w:rsidR="00815992" w:rsidRDefault="00815992" w:rsidP="00815992">
      <w:pPr>
        <w:pStyle w:val="TextoNormalNegritaCursivandice"/>
      </w:pPr>
      <w:r>
        <w:t>Decreto de 21 de noviembre de 1952. Justicia municipal. Normas procesales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7" w:history="1">
        <w:r w:rsidRPr="00815992">
          <w:rPr>
            <w:rStyle w:val="TextoNormalCaracter"/>
          </w:rPr>
          <w:t>17/1992</w:t>
        </w:r>
      </w:hyperlink>
      <w:r>
        <w:t>, ff. 2, 4.</w:t>
      </w:r>
    </w:p>
    <w:p w:rsidR="00815992" w:rsidRDefault="00815992" w:rsidP="00815992">
      <w:pPr>
        <w:pStyle w:val="SangriaIzquierdaArticulo"/>
      </w:pPr>
      <w:r>
        <w:t xml:space="preserve">Auto </w:t>
      </w:r>
      <w:hyperlink w:anchor="AUTO_1992_104" w:history="1">
        <w:r w:rsidRPr="00815992">
          <w:rPr>
            <w:rStyle w:val="TextoNormalCaracter"/>
          </w:rPr>
          <w:t>104/1992</w:t>
        </w:r>
      </w:hyperlink>
      <w:r>
        <w:t>.</w:t>
      </w:r>
    </w:p>
    <w:p w:rsidR="00815992" w:rsidRDefault="00815992" w:rsidP="00815992">
      <w:pPr>
        <w:pStyle w:val="SangriaFrancesaArticulo"/>
      </w:pPr>
      <w:r w:rsidRPr="00815992">
        <w:rPr>
          <w:rStyle w:val="TextoNormalNegritaCaracter"/>
        </w:rPr>
        <w:t>Artículo 16.2.</w:t>
      </w:r>
      <w:r w:rsidRPr="00815992">
        <w:rPr>
          <w:rStyle w:val="TextoNormalCaracter"/>
        </w:rPr>
        <w:t>-</w:t>
      </w:r>
      <w:r>
        <w:t xml:space="preserve"> Sentencia </w:t>
      </w:r>
      <w:hyperlink w:anchor="SENTENCIA_1992_17" w:history="1">
        <w:r w:rsidRPr="00815992">
          <w:rPr>
            <w:rStyle w:val="TextoNormalCaracter"/>
          </w:rPr>
          <w:t>17/1992</w:t>
        </w:r>
      </w:hyperlink>
      <w:r>
        <w:t>, f. 4.</w:t>
      </w:r>
    </w:p>
    <w:p w:rsidR="00815992" w:rsidRDefault="00815992" w:rsidP="00815992">
      <w:pPr>
        <w:pStyle w:val="SangriaIzquierdaArticulo"/>
      </w:pPr>
      <w:r>
        <w:t xml:space="preserve">Auto </w:t>
      </w:r>
      <w:hyperlink w:anchor="AUTO_1992_104" w:history="1">
        <w:r w:rsidRPr="00815992">
          <w:rPr>
            <w:rStyle w:val="TextoNormalCaracter"/>
          </w:rPr>
          <w:t>104/1992</w:t>
        </w:r>
      </w:hyperlink>
      <w:r>
        <w:t>.</w:t>
      </w:r>
    </w:p>
    <w:p w:rsidR="00815992" w:rsidRDefault="00815992" w:rsidP="00815992">
      <w:pPr>
        <w:pStyle w:val="SangriaIzquierdaArticulo"/>
      </w:pPr>
    </w:p>
    <w:p w:rsidR="00815992" w:rsidRDefault="00815992" w:rsidP="00815992">
      <w:pPr>
        <w:pStyle w:val="TextoNormalNegritaCursivandice"/>
      </w:pPr>
      <w:r>
        <w:t>Ley de 16 de diciembre de 1954. Expropiación forzosa</w:t>
      </w:r>
    </w:p>
    <w:p w:rsidR="00815992" w:rsidRDefault="00815992" w:rsidP="00815992">
      <w:pPr>
        <w:pStyle w:val="SangriaFrancesaArticulo"/>
      </w:pPr>
      <w:r w:rsidRPr="00815992">
        <w:rPr>
          <w:rStyle w:val="TextoNormalNegritaCaracter"/>
        </w:rPr>
        <w:t>Artículo 120.</w:t>
      </w:r>
      <w:r w:rsidRPr="00815992">
        <w:rPr>
          <w:rStyle w:val="TextoNormalCaracter"/>
        </w:rPr>
        <w:t>-</w:t>
      </w:r>
      <w:r>
        <w:t xml:space="preserve"> Sentencia </w:t>
      </w:r>
      <w:hyperlink w:anchor="SENTENCIA_1992_37" w:history="1">
        <w:r w:rsidRPr="00815992">
          <w:rPr>
            <w:rStyle w:val="TextoNormalCaracter"/>
          </w:rPr>
          <w:t>37/1992</w:t>
        </w:r>
      </w:hyperlink>
      <w:r>
        <w:t>, ff. 1, 3.</w:t>
      </w:r>
    </w:p>
    <w:p w:rsidR="00815992" w:rsidRDefault="00815992" w:rsidP="00815992">
      <w:pPr>
        <w:pStyle w:val="SangriaFrancesaArticulo"/>
      </w:pPr>
    </w:p>
    <w:p w:rsidR="00815992" w:rsidRDefault="00815992" w:rsidP="00815992">
      <w:pPr>
        <w:pStyle w:val="TextoNormalNegritaCursivandice"/>
      </w:pPr>
      <w:r>
        <w:t>Ley de 20 de julio de 1955. Médicos. Enseñanza, título y ejercicio de especialidades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Autos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p>
    <w:p w:rsidR="00815992" w:rsidRDefault="00815992" w:rsidP="00815992">
      <w:pPr>
        <w:pStyle w:val="TextoNormalNegritaCursivandice"/>
      </w:pPr>
      <w:r>
        <w:t>Decreto-ley de 2 de septiembre de 1955. Seguro de vejez e invalidez</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Sentencia </w:t>
      </w:r>
      <w:hyperlink w:anchor="SENTENCIA_1992_49" w:history="1">
        <w:r w:rsidRPr="00815992">
          <w:rPr>
            <w:rStyle w:val="TextoNormalCaracter"/>
          </w:rPr>
          <w:t>49/1992</w:t>
        </w:r>
      </w:hyperlink>
      <w:r>
        <w:t>, f. 1.</w:t>
      </w:r>
    </w:p>
    <w:p w:rsidR="00815992" w:rsidRDefault="00815992" w:rsidP="00815992">
      <w:pPr>
        <w:pStyle w:val="SangriaFrancesaArticulo"/>
      </w:pPr>
      <w:r w:rsidRPr="00815992">
        <w:rPr>
          <w:rStyle w:val="TextoNormalNegritaCaracter"/>
        </w:rPr>
        <w:lastRenderedPageBreak/>
        <w:t>Artículo 6.</w:t>
      </w:r>
      <w:r w:rsidRPr="00815992">
        <w:rPr>
          <w:rStyle w:val="TextoNormalCaracter"/>
        </w:rPr>
        <w:t>-</w:t>
      </w:r>
      <w:r>
        <w:t xml:space="preserve"> Sentencia </w:t>
      </w:r>
      <w:hyperlink w:anchor="SENTENCIA_1992_49" w:history="1">
        <w:r w:rsidRPr="00815992">
          <w:rPr>
            <w:rStyle w:val="TextoNormalCaracter"/>
          </w:rPr>
          <w:t>49/1992</w:t>
        </w:r>
      </w:hyperlink>
      <w:r>
        <w:t>, f. 1.</w:t>
      </w:r>
    </w:p>
    <w:p w:rsidR="00815992" w:rsidRDefault="00815992" w:rsidP="00815992">
      <w:pPr>
        <w:pStyle w:val="SangriaFrancesaArticulo"/>
      </w:pPr>
    </w:p>
    <w:p w:rsidR="00815992" w:rsidRDefault="00815992" w:rsidP="00815992">
      <w:pPr>
        <w:pStyle w:val="TextoNormalNegritaCursivandice"/>
      </w:pPr>
      <w:r>
        <w:t>Ley de 27 de diciembre de 1956. Jurisdicción contencioso-administrativa</w:t>
      </w:r>
    </w:p>
    <w:p w:rsidR="00815992" w:rsidRDefault="00815992" w:rsidP="00815992">
      <w:pPr>
        <w:pStyle w:val="SangriaFrancesaArticulo"/>
      </w:pPr>
      <w:r w:rsidRPr="00815992">
        <w:rPr>
          <w:rStyle w:val="TextoNormalNegritaCaracter"/>
        </w:rPr>
        <w:t>Artículo 3 b).</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SangriaFrancesaArticulo"/>
      </w:pPr>
      <w:r w:rsidRPr="00815992">
        <w:rPr>
          <w:rStyle w:val="TextoNormalNegritaCaracter"/>
        </w:rPr>
        <w:t>Artículo 4.1.</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SangriaFrancesaArticulo"/>
      </w:pPr>
      <w:r w:rsidRPr="00815992">
        <w:rPr>
          <w:rStyle w:val="TextoNormalNegritaCaracter"/>
        </w:rPr>
        <w:t>Artículo 40 a).</w:t>
      </w:r>
      <w:r w:rsidRPr="00815992">
        <w:rPr>
          <w:rStyle w:val="TextoNormalCaracter"/>
        </w:rPr>
        <w:t>-</w:t>
      </w:r>
      <w:r>
        <w:t xml:space="preserve"> Sentencia </w:t>
      </w:r>
      <w:hyperlink w:anchor="SENTENCIA_1992_43" w:history="1">
        <w:r w:rsidRPr="00815992">
          <w:rPr>
            <w:rStyle w:val="TextoNormalCaracter"/>
          </w:rPr>
          <w:t>43/1992</w:t>
        </w:r>
      </w:hyperlink>
      <w:r>
        <w:t>, ff. 1, 3.</w:t>
      </w:r>
    </w:p>
    <w:p w:rsidR="00815992" w:rsidRDefault="00815992" w:rsidP="00815992">
      <w:pPr>
        <w:pStyle w:val="SangriaFrancesaArticulo"/>
      </w:pPr>
      <w:r w:rsidRPr="00815992">
        <w:rPr>
          <w:rStyle w:val="TextoNormalNegritaCaracter"/>
        </w:rPr>
        <w:t>Artículo 42.</w:t>
      </w:r>
      <w:r w:rsidRPr="00815992">
        <w:rPr>
          <w:rStyle w:val="TextoNormalCaracter"/>
        </w:rPr>
        <w:t>-</w:t>
      </w:r>
      <w:r>
        <w:t xml:space="preserve"> Sentencia </w:t>
      </w:r>
      <w:hyperlink w:anchor="SENTENCIA_1992_37" w:history="1">
        <w:r w:rsidRPr="00815992">
          <w:rPr>
            <w:rStyle w:val="TextoNormalCaracter"/>
          </w:rPr>
          <w:t>37/1992</w:t>
        </w:r>
      </w:hyperlink>
      <w:r>
        <w:t>, f. 4.</w:t>
      </w:r>
    </w:p>
    <w:p w:rsidR="00815992" w:rsidRDefault="00815992" w:rsidP="00815992">
      <w:pPr>
        <w:pStyle w:val="SangriaFrancesaArticulo"/>
      </w:pPr>
      <w:r w:rsidRPr="00815992">
        <w:rPr>
          <w:rStyle w:val="TextoNormalNegritaCaracter"/>
        </w:rPr>
        <w:t>Artículo 42.2.</w:t>
      </w:r>
      <w:r w:rsidRPr="00815992">
        <w:rPr>
          <w:rStyle w:val="TextoNormalCaracter"/>
        </w:rPr>
        <w:t>-</w:t>
      </w:r>
      <w:r>
        <w:t xml:space="preserve"> Sentencia </w:t>
      </w:r>
      <w:hyperlink w:anchor="SENTENCIA_1992_53" w:history="1">
        <w:r w:rsidRPr="00815992">
          <w:rPr>
            <w:rStyle w:val="TextoNormalCaracter"/>
          </w:rPr>
          <w:t>53/1992</w:t>
        </w:r>
      </w:hyperlink>
      <w:r>
        <w:t>, f. 1.</w:t>
      </w:r>
    </w:p>
    <w:p w:rsidR="00815992" w:rsidRDefault="00815992" w:rsidP="00815992">
      <w:pPr>
        <w:pStyle w:val="SangriaFrancesaArticulo"/>
      </w:pPr>
      <w:r w:rsidRPr="00815992">
        <w:rPr>
          <w:rStyle w:val="TextoNormalNegritaCaracter"/>
        </w:rPr>
        <w:t>Artículo 43.2.</w:t>
      </w:r>
      <w:r w:rsidRPr="00815992">
        <w:rPr>
          <w:rStyle w:val="TextoNormalCaracter"/>
        </w:rPr>
        <w:t>-</w:t>
      </w:r>
      <w:r>
        <w:t xml:space="preserve"> Sentencias </w:t>
      </w:r>
      <w:hyperlink w:anchor="SENTENCIA_1992_42" w:history="1">
        <w:r w:rsidRPr="00815992">
          <w:rPr>
            <w:rStyle w:val="TextoNormalCaracter"/>
          </w:rPr>
          <w:t>42/1992</w:t>
        </w:r>
      </w:hyperlink>
      <w:r>
        <w:t xml:space="preserve">, ff. 1, 2, 4; </w:t>
      </w:r>
      <w:hyperlink w:anchor="SENTENCIA_1992_53" w:history="1">
        <w:r w:rsidRPr="00815992">
          <w:rPr>
            <w:rStyle w:val="TextoNormalCaracter"/>
          </w:rPr>
          <w:t>53/1992</w:t>
        </w:r>
      </w:hyperlink>
      <w:r>
        <w:t>, f. 3.</w:t>
      </w:r>
    </w:p>
    <w:p w:rsidR="00815992" w:rsidRDefault="00815992" w:rsidP="00815992">
      <w:pPr>
        <w:pStyle w:val="SangriaFrancesaArticulo"/>
      </w:pPr>
      <w:r w:rsidRPr="00815992">
        <w:rPr>
          <w:rStyle w:val="TextoNormalNegritaCaracter"/>
        </w:rPr>
        <w:t>Artículo 62.2.</w:t>
      </w:r>
      <w:r w:rsidRPr="00815992">
        <w:rPr>
          <w:rStyle w:val="TextoNormalCaracter"/>
        </w:rPr>
        <w:t>-</w:t>
      </w:r>
      <w:r>
        <w:t xml:space="preserve"> Sentencia </w:t>
      </w:r>
      <w:hyperlink w:anchor="SENTENCIA_1992_53" w:history="1">
        <w:r w:rsidRPr="00815992">
          <w:rPr>
            <w:rStyle w:val="TextoNormalCaracter"/>
          </w:rPr>
          <w:t>53/1992</w:t>
        </w:r>
      </w:hyperlink>
      <w:r>
        <w:t>, ff. 1, 3.</w:t>
      </w:r>
    </w:p>
    <w:p w:rsidR="00815992" w:rsidRDefault="00815992" w:rsidP="00815992">
      <w:pPr>
        <w:pStyle w:val="SangriaFrancesaArticulo"/>
      </w:pPr>
      <w:r w:rsidRPr="00815992">
        <w:rPr>
          <w:rStyle w:val="TextoNormalNegritaCaracter"/>
        </w:rPr>
        <w:t>Artículo 74.</w:t>
      </w:r>
      <w:r w:rsidRPr="00815992">
        <w:rPr>
          <w:rStyle w:val="TextoNormalCaracter"/>
        </w:rPr>
        <w:t>-</w:t>
      </w:r>
      <w:r>
        <w:t xml:space="preserve"> Auto </w:t>
      </w:r>
      <w:hyperlink w:anchor="AUTO_1992_2" w:history="1">
        <w:r w:rsidRPr="00815992">
          <w:rPr>
            <w:rStyle w:val="TextoNormalCaracter"/>
          </w:rPr>
          <w:t>2/1992</w:t>
        </w:r>
      </w:hyperlink>
      <w:r>
        <w:t>.</w:t>
      </w:r>
    </w:p>
    <w:p w:rsidR="00815992" w:rsidRDefault="00815992" w:rsidP="00815992">
      <w:pPr>
        <w:pStyle w:val="SangriaFrancesaArticulo"/>
      </w:pPr>
      <w:r w:rsidRPr="00815992">
        <w:rPr>
          <w:rStyle w:val="TextoNormalNegritaCaracter"/>
        </w:rPr>
        <w:t>Artículo 81.1 a).</w:t>
      </w:r>
      <w:r w:rsidRPr="00815992">
        <w:rPr>
          <w:rStyle w:val="TextoNormalCaracter"/>
        </w:rPr>
        <w:t>-</w:t>
      </w:r>
      <w:r>
        <w:t xml:space="preserve"> Sentencia </w:t>
      </w:r>
      <w:hyperlink w:anchor="SENTENCIA_1992_53" w:history="1">
        <w:r w:rsidRPr="00815992">
          <w:rPr>
            <w:rStyle w:val="TextoNormalCaracter"/>
          </w:rPr>
          <w:t>53/1992</w:t>
        </w:r>
      </w:hyperlink>
      <w:r>
        <w:t>, f. 2.</w:t>
      </w:r>
    </w:p>
    <w:p w:rsidR="00815992" w:rsidRDefault="00815992" w:rsidP="00815992">
      <w:pPr>
        <w:pStyle w:val="SangriaFrancesaArticulo"/>
      </w:pPr>
      <w:r w:rsidRPr="00815992">
        <w:rPr>
          <w:rStyle w:val="TextoNormalNegritaCaracter"/>
        </w:rPr>
        <w:t>Artículo 82 c).</w:t>
      </w:r>
      <w:r w:rsidRPr="00815992">
        <w:rPr>
          <w:rStyle w:val="TextoNormalCaracter"/>
        </w:rPr>
        <w:t>-</w:t>
      </w:r>
      <w:r>
        <w:t xml:space="preserve"> Sentencias </w:t>
      </w:r>
      <w:hyperlink w:anchor="SENTENCIA_1992_43" w:history="1">
        <w:r w:rsidRPr="00815992">
          <w:rPr>
            <w:rStyle w:val="TextoNormalCaracter"/>
          </w:rPr>
          <w:t>43/1992</w:t>
        </w:r>
      </w:hyperlink>
      <w:r>
        <w:t xml:space="preserve">, ff. 1, 3; </w:t>
      </w:r>
      <w:hyperlink w:anchor="SENTENCIA_1992_53" w:history="1">
        <w:r w:rsidRPr="00815992">
          <w:rPr>
            <w:rStyle w:val="TextoNormalCaracter"/>
          </w:rPr>
          <w:t>53/1992</w:t>
        </w:r>
      </w:hyperlink>
      <w:r>
        <w:t>, f. 2.</w:t>
      </w:r>
    </w:p>
    <w:p w:rsidR="00815992" w:rsidRDefault="00815992" w:rsidP="00815992">
      <w:pPr>
        <w:pStyle w:val="SangriaFrancesaArticulo"/>
      </w:pPr>
      <w:r w:rsidRPr="00815992">
        <w:rPr>
          <w:rStyle w:val="TextoNormalNegritaCaracter"/>
        </w:rPr>
        <w:t>Artículo 86.</w:t>
      </w:r>
      <w:r w:rsidRPr="00815992">
        <w:rPr>
          <w:rStyle w:val="TextoNormalCaracter"/>
        </w:rPr>
        <w:t>-</w:t>
      </w:r>
      <w:r>
        <w:t xml:space="preserve"> Auto </w:t>
      </w:r>
      <w:hyperlink w:anchor="AUTO_1992_40" w:history="1">
        <w:r w:rsidRPr="00815992">
          <w:rPr>
            <w:rStyle w:val="TextoNormalCaracter"/>
          </w:rPr>
          <w:t>40/1992</w:t>
        </w:r>
      </w:hyperlink>
      <w:r>
        <w:t>.</w:t>
      </w:r>
    </w:p>
    <w:p w:rsidR="00815992" w:rsidRDefault="00815992" w:rsidP="00815992">
      <w:pPr>
        <w:pStyle w:val="SangriaFrancesaArticulo"/>
      </w:pPr>
      <w:r w:rsidRPr="00815992">
        <w:rPr>
          <w:rStyle w:val="TextoNormalNegritaCaracter"/>
        </w:rPr>
        <w:t>Artículo 86.1.</w:t>
      </w:r>
      <w:r w:rsidRPr="00815992">
        <w:rPr>
          <w:rStyle w:val="TextoNormalCaracter"/>
        </w:rPr>
        <w:t>-</w:t>
      </w:r>
      <w:r>
        <w:t xml:space="preserve"> Auto </w:t>
      </w:r>
      <w:hyperlink w:anchor="AUTO_1992_40" w:history="1">
        <w:r w:rsidRPr="00815992">
          <w:rPr>
            <w:rStyle w:val="TextoNormalCaracter"/>
          </w:rPr>
          <w:t>40/1992</w:t>
        </w:r>
      </w:hyperlink>
      <w:r>
        <w:t>.</w:t>
      </w:r>
    </w:p>
    <w:p w:rsidR="00815992" w:rsidRDefault="00815992" w:rsidP="00815992">
      <w:pPr>
        <w:pStyle w:val="SangriaFrancesaArticulo"/>
      </w:pPr>
      <w:r w:rsidRPr="00815992">
        <w:rPr>
          <w:rStyle w:val="TextoNormalNegritaCaracter"/>
        </w:rPr>
        <w:t>Artículo 92.</w:t>
      </w:r>
      <w:r w:rsidRPr="00815992">
        <w:rPr>
          <w:rStyle w:val="TextoNormalCaracter"/>
        </w:rPr>
        <w:t>-</w:t>
      </w:r>
      <w:r>
        <w:t xml:space="preserve"> Sentencia </w:t>
      </w:r>
      <w:hyperlink w:anchor="SENTENCIA_1992_42" w:history="1">
        <w:r w:rsidRPr="00815992">
          <w:rPr>
            <w:rStyle w:val="TextoNormalCaracter"/>
          </w:rPr>
          <w:t>42/1992</w:t>
        </w:r>
      </w:hyperlink>
      <w:r>
        <w:t>, f. 2.</w:t>
      </w:r>
    </w:p>
    <w:p w:rsidR="00815992" w:rsidRDefault="00815992" w:rsidP="00815992">
      <w:pPr>
        <w:pStyle w:val="SangriaFrancesaArticulo"/>
      </w:pPr>
      <w:r w:rsidRPr="00815992">
        <w:rPr>
          <w:rStyle w:val="TextoNormalNegritaCaracter"/>
        </w:rPr>
        <w:t>Artículo 94.1 a).</w:t>
      </w:r>
      <w:r w:rsidRPr="00815992">
        <w:rPr>
          <w:rStyle w:val="TextoNormalCaracter"/>
        </w:rPr>
        <w:t>-</w:t>
      </w:r>
      <w:r>
        <w:t xml:space="preserve"> Sentencia </w:t>
      </w:r>
      <w:hyperlink w:anchor="SENTENCIA_1992_42" w:history="1">
        <w:r w:rsidRPr="00815992">
          <w:rPr>
            <w:rStyle w:val="TextoNormalCaracter"/>
          </w:rPr>
          <w:t>42/1992</w:t>
        </w:r>
      </w:hyperlink>
      <w:r>
        <w:t>, ff. 1, 5.</w:t>
      </w:r>
    </w:p>
    <w:p w:rsidR="00815992" w:rsidRDefault="00815992" w:rsidP="00815992">
      <w:pPr>
        <w:pStyle w:val="SangriaFrancesaArticulo"/>
      </w:pPr>
      <w:r w:rsidRPr="00815992">
        <w:rPr>
          <w:rStyle w:val="TextoNormalNegritaCaracter"/>
        </w:rPr>
        <w:t>Artículo 100.</w:t>
      </w:r>
      <w:r w:rsidRPr="00815992">
        <w:rPr>
          <w:rStyle w:val="TextoNormalCaracter"/>
        </w:rPr>
        <w:t>-</w:t>
      </w:r>
      <w:r>
        <w:t xml:space="preserve"> Sentencia </w:t>
      </w:r>
      <w:hyperlink w:anchor="SENTENCIA_1992_64" w:history="1">
        <w:r w:rsidRPr="00815992">
          <w:rPr>
            <w:rStyle w:val="TextoNormalCaracter"/>
          </w:rPr>
          <w:t>64/1992</w:t>
        </w:r>
      </w:hyperlink>
      <w:r>
        <w:t>, f. 4.</w:t>
      </w:r>
    </w:p>
    <w:p w:rsidR="00815992" w:rsidRDefault="00815992" w:rsidP="00815992">
      <w:pPr>
        <w:pStyle w:val="SangriaFrancesaArticulo"/>
      </w:pPr>
      <w:r w:rsidRPr="00815992">
        <w:rPr>
          <w:rStyle w:val="TextoNormalNegritaCaracter"/>
        </w:rPr>
        <w:t>Artículo 100.2.</w:t>
      </w:r>
      <w:r w:rsidRPr="00815992">
        <w:rPr>
          <w:rStyle w:val="TextoNormalCaracter"/>
        </w:rPr>
        <w:t>-</w:t>
      </w:r>
      <w:r>
        <w:t xml:space="preserve"> Sentencia </w:t>
      </w:r>
      <w:hyperlink w:anchor="SENTENCIA_1992_42" w:history="1">
        <w:r w:rsidRPr="00815992">
          <w:rPr>
            <w:rStyle w:val="TextoNormalCaracter"/>
          </w:rPr>
          <w:t>42/1992</w:t>
        </w:r>
      </w:hyperlink>
      <w:r>
        <w:t>, f. 3.</w:t>
      </w:r>
    </w:p>
    <w:p w:rsidR="00815992" w:rsidRDefault="00815992" w:rsidP="00815992">
      <w:pPr>
        <w:pStyle w:val="SangriaFrancesaArticulo"/>
      </w:pPr>
      <w:r w:rsidRPr="00815992">
        <w:rPr>
          <w:rStyle w:val="TextoNormalNegritaCaracter"/>
        </w:rPr>
        <w:t>Artículo 102.1 b).</w:t>
      </w:r>
      <w:r w:rsidRPr="00815992">
        <w:rPr>
          <w:rStyle w:val="TextoNormalCaracter"/>
        </w:rPr>
        <w:t>-</w:t>
      </w:r>
      <w:r>
        <w:t xml:space="preserve"> Autos </w:t>
      </w:r>
      <w:hyperlink w:anchor="AUTO_1992_92" w:history="1">
        <w:r w:rsidRPr="00815992">
          <w:rPr>
            <w:rStyle w:val="TextoNormalCaracter"/>
          </w:rPr>
          <w:t>92/1992</w:t>
        </w:r>
      </w:hyperlink>
      <w:r>
        <w:t xml:space="preserve">; </w:t>
      </w:r>
      <w:hyperlink w:anchor="AUTO_1992_96" w:history="1">
        <w:r w:rsidRPr="00815992">
          <w:rPr>
            <w:rStyle w:val="TextoNormalCaracter"/>
          </w:rPr>
          <w:t>96/1992</w:t>
        </w:r>
      </w:hyperlink>
      <w:r>
        <w:t>.</w:t>
      </w:r>
    </w:p>
    <w:p w:rsidR="00815992" w:rsidRDefault="00815992" w:rsidP="00815992">
      <w:pPr>
        <w:pStyle w:val="SangriaFrancesaArticulo"/>
      </w:pPr>
      <w:r w:rsidRPr="00815992">
        <w:rPr>
          <w:rStyle w:val="TextoNormalNegritaCaracter"/>
        </w:rPr>
        <w:t>Artículo 113.</w:t>
      </w:r>
      <w:r w:rsidRPr="00815992">
        <w:rPr>
          <w:rStyle w:val="TextoNormalCaracter"/>
        </w:rPr>
        <w:t>-</w:t>
      </w:r>
      <w:r>
        <w:t xml:space="preserve"> Sentencia </w:t>
      </w:r>
      <w:hyperlink w:anchor="SENTENCIA_1992_53" w:history="1">
        <w:r w:rsidRPr="00815992">
          <w:rPr>
            <w:rStyle w:val="TextoNormalCaracter"/>
          </w:rPr>
          <w:t>53/1992</w:t>
        </w:r>
      </w:hyperlink>
      <w:r>
        <w:t>, f. 3.</w:t>
      </w:r>
    </w:p>
    <w:p w:rsidR="00815992" w:rsidRDefault="00815992" w:rsidP="00815992">
      <w:pPr>
        <w:pStyle w:val="SangriaFrancesaArticulo"/>
      </w:pPr>
      <w:r w:rsidRPr="00815992">
        <w:rPr>
          <w:rStyle w:val="TextoNormalNegritaCaracter"/>
        </w:rPr>
        <w:t>Artículo 116.</w:t>
      </w:r>
      <w:r w:rsidRPr="00815992">
        <w:rPr>
          <w:rStyle w:val="TextoNormalCaracter"/>
        </w:rPr>
        <w:t>-</w:t>
      </w:r>
      <w:r>
        <w:t xml:space="preserve"> Sentencia </w:t>
      </w:r>
      <w:hyperlink w:anchor="SENTENCIA_1992_53" w:history="1">
        <w:r w:rsidRPr="00815992">
          <w:rPr>
            <w:rStyle w:val="TextoNormalCaracter"/>
          </w:rPr>
          <w:t>53/1992</w:t>
        </w:r>
      </w:hyperlink>
      <w:r>
        <w:t>, ff. 2, 3.</w:t>
      </w:r>
    </w:p>
    <w:p w:rsidR="00815992" w:rsidRDefault="00815992" w:rsidP="00815992">
      <w:pPr>
        <w:pStyle w:val="SangriaFrancesaArticulo"/>
      </w:pPr>
      <w:r w:rsidRPr="00815992">
        <w:rPr>
          <w:rStyle w:val="TextoNormalNegritaCaracter"/>
        </w:rPr>
        <w:t>Artículo 129.</w:t>
      </w:r>
      <w:r w:rsidRPr="00815992">
        <w:rPr>
          <w:rStyle w:val="TextoNormalCaracter"/>
        </w:rPr>
        <w:t>-</w:t>
      </w:r>
      <w:r>
        <w:t xml:space="preserve"> Sentencia </w:t>
      </w:r>
      <w:hyperlink w:anchor="SENTENCIA_1992_53" w:history="1">
        <w:r w:rsidRPr="00815992">
          <w:rPr>
            <w:rStyle w:val="TextoNormalCaracter"/>
          </w:rPr>
          <w:t>53/1992</w:t>
        </w:r>
      </w:hyperlink>
      <w:r>
        <w:t>, f. 3.</w:t>
      </w:r>
    </w:p>
    <w:p w:rsidR="00815992" w:rsidRDefault="00815992" w:rsidP="00815992">
      <w:pPr>
        <w:pStyle w:val="SangriaFrancesaArticulo"/>
      </w:pPr>
      <w:r w:rsidRPr="00815992">
        <w:rPr>
          <w:rStyle w:val="TextoNormalNegritaCaracter"/>
        </w:rPr>
        <w:t>Artículo 129.2.</w:t>
      </w:r>
      <w:r w:rsidRPr="00815992">
        <w:rPr>
          <w:rStyle w:val="TextoNormalCaracter"/>
        </w:rPr>
        <w:t>-</w:t>
      </w:r>
      <w:r>
        <w:t xml:space="preserve"> Sentencia </w:t>
      </w:r>
      <w:hyperlink w:anchor="SENTENCIA_1992_53" w:history="1">
        <w:r w:rsidRPr="00815992">
          <w:rPr>
            <w:rStyle w:val="TextoNormalCaracter"/>
          </w:rPr>
          <w:t>53/1992</w:t>
        </w:r>
      </w:hyperlink>
      <w:r>
        <w:t>, f. 2.</w:t>
      </w:r>
    </w:p>
    <w:p w:rsidR="00815992" w:rsidRDefault="00815992" w:rsidP="00815992">
      <w:pPr>
        <w:pStyle w:val="SangriaFrancesaArticulo"/>
      </w:pPr>
    </w:p>
    <w:p w:rsidR="00815992" w:rsidRDefault="00815992" w:rsidP="00815992">
      <w:pPr>
        <w:pStyle w:val="TextoNormalNegritaCursivandice"/>
      </w:pPr>
      <w:r>
        <w:t>Decreto de 26 de abril de 1957. Reglamento de expropiación forzosa</w:t>
      </w:r>
    </w:p>
    <w:p w:rsidR="00815992" w:rsidRDefault="00815992" w:rsidP="00815992">
      <w:pPr>
        <w:pStyle w:val="SangriaFrancesaArticulo"/>
      </w:pPr>
      <w:r w:rsidRPr="00815992">
        <w:rPr>
          <w:rStyle w:val="TextoNormalNegritaCaracter"/>
        </w:rPr>
        <w:t>Artículo 133.</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SangriaFrancesaArticulo"/>
      </w:pPr>
      <w:r w:rsidRPr="00815992">
        <w:rPr>
          <w:rStyle w:val="TextoNormalNegritaCaracter"/>
        </w:rPr>
        <w:t>Artículo 134.</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SangriaFrancesaArticulo"/>
      </w:pPr>
      <w:r w:rsidRPr="00815992">
        <w:rPr>
          <w:rStyle w:val="TextoNormalNegritaCaracter"/>
        </w:rPr>
        <w:t>Artículo 134.1.</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SangriaFrancesaArticulo"/>
      </w:pPr>
    </w:p>
    <w:p w:rsidR="00815992" w:rsidRDefault="00815992" w:rsidP="00815992">
      <w:pPr>
        <w:pStyle w:val="TextoNormalNegritaCursivandice"/>
      </w:pPr>
      <w:r>
        <w:t>Ley de 17 de julio de 1958. Procedimiento administrativo</w:t>
      </w:r>
    </w:p>
    <w:p w:rsidR="00815992" w:rsidRDefault="00815992" w:rsidP="00815992">
      <w:pPr>
        <w:pStyle w:val="SangriaFrancesaArticulo"/>
      </w:pPr>
      <w:r w:rsidRPr="00815992">
        <w:rPr>
          <w:rStyle w:val="TextoNormalNegritaCaracter"/>
        </w:rPr>
        <w:t>Artículo 20 c).</w:t>
      </w:r>
      <w:r w:rsidRPr="00815992">
        <w:rPr>
          <w:rStyle w:val="TextoNormalCaracter"/>
        </w:rPr>
        <w:t>-</w:t>
      </w:r>
      <w:r>
        <w:t xml:space="preserve"> Sentencia </w:t>
      </w:r>
      <w:hyperlink w:anchor="SENTENCIA_1992_53" w:history="1">
        <w:r w:rsidRPr="00815992">
          <w:rPr>
            <w:rStyle w:val="TextoNormalCaracter"/>
          </w:rPr>
          <w:t>53/1992</w:t>
        </w:r>
      </w:hyperlink>
      <w:r>
        <w:t>, f. 2.</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53" w:history="1">
        <w:r w:rsidRPr="00815992">
          <w:rPr>
            <w:rStyle w:val="TextoNormalCaracter"/>
          </w:rPr>
          <w:t>53/1992</w:t>
        </w:r>
      </w:hyperlink>
      <w:r>
        <w:t>, f. 2.</w:t>
      </w:r>
    </w:p>
    <w:p w:rsidR="00815992" w:rsidRDefault="00815992" w:rsidP="00815992">
      <w:pPr>
        <w:pStyle w:val="SangriaFrancesaArticulo"/>
      </w:pPr>
      <w:r w:rsidRPr="00815992">
        <w:rPr>
          <w:rStyle w:val="TextoNormalNegritaCaracter"/>
        </w:rPr>
        <w:t>Artículo 47.1 a).</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r w:rsidRPr="00815992">
        <w:rPr>
          <w:rStyle w:val="TextoNormalNegritaCaracter"/>
        </w:rPr>
        <w:t>Artículo 88.1.</w:t>
      </w:r>
      <w:r w:rsidRPr="00815992">
        <w:rPr>
          <w:rStyle w:val="TextoNormalCaracter"/>
        </w:rPr>
        <w:t>-</w:t>
      </w:r>
      <w:r>
        <w:t xml:space="preserve"> Auto </w:t>
      </w:r>
      <w:hyperlink w:anchor="AUTO_1992_2" w:history="1">
        <w:r w:rsidRPr="00815992">
          <w:rPr>
            <w:rStyle w:val="TextoNormalCaracter"/>
          </w:rPr>
          <w:t>2/1992</w:t>
        </w:r>
      </w:hyperlink>
      <w:r>
        <w:t>.</w:t>
      </w:r>
    </w:p>
    <w:p w:rsidR="00815992" w:rsidRDefault="00815992" w:rsidP="00815992">
      <w:pPr>
        <w:pStyle w:val="SangriaFrancesaArticulo"/>
      </w:pPr>
    </w:p>
    <w:p w:rsidR="00815992" w:rsidRDefault="00815992" w:rsidP="00815992">
      <w:pPr>
        <w:pStyle w:val="TextoNormalNegritaCursivandice"/>
      </w:pPr>
      <w:r>
        <w:t>Ley 45/1960, de 21 de julio. Creación de fondos nacionales para la aplicación social del impuesto y del ahorro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p>
    <w:p w:rsidR="00815992" w:rsidRDefault="00815992" w:rsidP="00815992">
      <w:pPr>
        <w:pStyle w:val="TextoNormalNegritaCursivandice"/>
      </w:pPr>
      <w:r>
        <w:t>Ley 122/1962, de 24 de diciembre. Uso y circulación de vehículos de motor</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 </w:t>
      </w:r>
      <w:hyperlink w:anchor="SENTENCIA_1992_19" w:history="1">
        <w:r w:rsidRPr="00815992">
          <w:rPr>
            <w:rStyle w:val="TextoNormalCaracter"/>
          </w:rPr>
          <w:t>19/1992</w:t>
        </w:r>
      </w:hyperlink>
      <w:r>
        <w:t>, f. 5.</w:t>
      </w:r>
    </w:p>
    <w:p w:rsidR="00815992" w:rsidRDefault="00815992" w:rsidP="00815992">
      <w:pPr>
        <w:pStyle w:val="SangriaFrancesaArticulo"/>
      </w:pPr>
    </w:p>
    <w:p w:rsidR="00815992" w:rsidRDefault="00815992" w:rsidP="00815992">
      <w:pPr>
        <w:pStyle w:val="TextoNormalNegritaCursivandice"/>
      </w:pPr>
      <w:r>
        <w:t>Ley 230/1963, de 28 de diciembre. General tributaria</w:t>
      </w:r>
    </w:p>
    <w:p w:rsidR="00815992" w:rsidRDefault="00815992" w:rsidP="00815992">
      <w:pPr>
        <w:pStyle w:val="SangriaFrancesaArticulo"/>
      </w:pPr>
      <w:r w:rsidRPr="00815992">
        <w:rPr>
          <w:rStyle w:val="TextoNormalNegritaCaracter"/>
        </w:rPr>
        <w:t>Artículo 77.1.</w:t>
      </w:r>
      <w:r w:rsidRPr="00815992">
        <w:rPr>
          <w:rStyle w:val="TextoNormalCaracter"/>
        </w:rPr>
        <w:t>-</w:t>
      </w:r>
      <w:r>
        <w:t xml:space="preserve"> Auto </w:t>
      </w:r>
      <w:hyperlink w:anchor="AUTO_1992_3" w:history="1">
        <w:r w:rsidRPr="00815992">
          <w:rPr>
            <w:rStyle w:val="TextoNormalCaracter"/>
          </w:rPr>
          <w:t>3/1992</w:t>
        </w:r>
      </w:hyperlink>
      <w:r>
        <w:t>.</w:t>
      </w:r>
    </w:p>
    <w:p w:rsidR="00815992" w:rsidRDefault="00815992" w:rsidP="00815992">
      <w:pPr>
        <w:pStyle w:val="SangriaFrancesaArticulo"/>
      </w:pPr>
      <w:r w:rsidRPr="00815992">
        <w:rPr>
          <w:rStyle w:val="TextoNormalNegritaCaracter"/>
        </w:rPr>
        <w:t>Artículo 107.</w:t>
      </w:r>
      <w:r w:rsidRPr="00815992">
        <w:rPr>
          <w:rStyle w:val="TextoNormalCaracter"/>
        </w:rPr>
        <w:t>-</w:t>
      </w:r>
      <w:r>
        <w:t xml:space="preserve"> Auto </w:t>
      </w:r>
      <w:hyperlink w:anchor="AUTO_1992_3" w:history="1">
        <w:r w:rsidRPr="00815992">
          <w:rPr>
            <w:rStyle w:val="TextoNormalCaracter"/>
          </w:rPr>
          <w:t>3/1992</w:t>
        </w:r>
      </w:hyperlink>
      <w:r>
        <w:t>.</w:t>
      </w:r>
    </w:p>
    <w:p w:rsidR="00815992" w:rsidRDefault="00815992" w:rsidP="00815992">
      <w:pPr>
        <w:pStyle w:val="SangriaFrancesaArticulo"/>
      </w:pPr>
      <w:r w:rsidRPr="00815992">
        <w:rPr>
          <w:rStyle w:val="TextoNormalNegritaCaracter"/>
        </w:rPr>
        <w:t>Artículo 109.</w:t>
      </w:r>
      <w:r w:rsidRPr="00815992">
        <w:rPr>
          <w:rStyle w:val="TextoNormalCaracter"/>
        </w:rPr>
        <w:t>-</w:t>
      </w:r>
      <w:r>
        <w:t xml:space="preserve"> Auto </w:t>
      </w:r>
      <w:hyperlink w:anchor="AUTO_1992_52" w:history="1">
        <w:r w:rsidRPr="00815992">
          <w:rPr>
            <w:rStyle w:val="TextoNormalCaracter"/>
          </w:rPr>
          <w:t>52/1992</w:t>
        </w:r>
      </w:hyperlink>
      <w:r>
        <w:t>.</w:t>
      </w:r>
    </w:p>
    <w:p w:rsidR="00815992" w:rsidRDefault="00815992" w:rsidP="00815992">
      <w:pPr>
        <w:pStyle w:val="SangriaFrancesaArticulo"/>
      </w:pPr>
      <w:r w:rsidRPr="00815992">
        <w:rPr>
          <w:rStyle w:val="TextoNormalNegritaCaracter"/>
        </w:rPr>
        <w:t>Artículo 110.</w:t>
      </w:r>
      <w:r w:rsidRPr="00815992">
        <w:rPr>
          <w:rStyle w:val="TextoNormalCaracter"/>
        </w:rPr>
        <w:t>-</w:t>
      </w:r>
      <w:r>
        <w:t xml:space="preserve"> Auto </w:t>
      </w:r>
      <w:hyperlink w:anchor="AUTO_1992_52" w:history="1">
        <w:r w:rsidRPr="00815992">
          <w:rPr>
            <w:rStyle w:val="TextoNormalCaracter"/>
          </w:rPr>
          <w:t>52/1992</w:t>
        </w:r>
      </w:hyperlink>
      <w:r>
        <w:t>.</w:t>
      </w:r>
    </w:p>
    <w:p w:rsidR="00815992" w:rsidRDefault="00815992" w:rsidP="00815992">
      <w:pPr>
        <w:pStyle w:val="SangriaFrancesaArticulo"/>
      </w:pPr>
      <w:r w:rsidRPr="00815992">
        <w:rPr>
          <w:rStyle w:val="TextoNormalNegritaCaracter"/>
        </w:rPr>
        <w:lastRenderedPageBreak/>
        <w:t>Artículo 111.</w:t>
      </w:r>
      <w:r w:rsidRPr="00815992">
        <w:rPr>
          <w:rStyle w:val="TextoNormalCaracter"/>
        </w:rPr>
        <w:t>-</w:t>
      </w:r>
      <w:r>
        <w:t xml:space="preserve"> Auto </w:t>
      </w:r>
      <w:hyperlink w:anchor="AUTO_1992_52" w:history="1">
        <w:r w:rsidRPr="00815992">
          <w:rPr>
            <w:rStyle w:val="TextoNormalCaracter"/>
          </w:rPr>
          <w:t>52/1992</w:t>
        </w:r>
      </w:hyperlink>
      <w:r>
        <w:t>.</w:t>
      </w:r>
    </w:p>
    <w:p w:rsidR="00815992" w:rsidRDefault="00815992" w:rsidP="00815992">
      <w:pPr>
        <w:pStyle w:val="SangriaFrancesaArticulo"/>
      </w:pPr>
      <w:r w:rsidRPr="00815992">
        <w:rPr>
          <w:rStyle w:val="TextoNormalNegritaCaracter"/>
        </w:rPr>
        <w:t>Artículo 111.3.</w:t>
      </w:r>
      <w:r w:rsidRPr="00815992">
        <w:rPr>
          <w:rStyle w:val="TextoNormalCaracter"/>
        </w:rPr>
        <w:t>-</w:t>
      </w:r>
      <w:r>
        <w:t xml:space="preserve"> Auto </w:t>
      </w:r>
      <w:hyperlink w:anchor="AUTO_1992_52" w:history="1">
        <w:r w:rsidRPr="00815992">
          <w:rPr>
            <w:rStyle w:val="TextoNormalCaracter"/>
          </w:rPr>
          <w:t>52/1992</w:t>
        </w:r>
      </w:hyperlink>
      <w:r>
        <w:t>.</w:t>
      </w:r>
    </w:p>
    <w:p w:rsidR="00815992" w:rsidRDefault="00815992" w:rsidP="00815992">
      <w:pPr>
        <w:pStyle w:val="SangriaFrancesaArticulo"/>
      </w:pPr>
    </w:p>
    <w:p w:rsidR="00815992" w:rsidRDefault="00815992" w:rsidP="00815992">
      <w:pPr>
        <w:pStyle w:val="TextoNormalNegritaCursivandice"/>
      </w:pPr>
      <w:r>
        <w:t>Decreto 1022/1964, de 15 de abril. Texto articulado de la Ley de bases del patrimonio del Estado</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85" w:history="1">
        <w:r w:rsidRPr="00815992">
          <w:rPr>
            <w:rStyle w:val="TextoNormalCaracter"/>
          </w:rPr>
          <w:t>85/1992</w:t>
        </w:r>
      </w:hyperlink>
      <w:r>
        <w:t>.</w:t>
      </w:r>
    </w:p>
    <w:p w:rsidR="00815992" w:rsidRDefault="00815992" w:rsidP="00815992">
      <w:pPr>
        <w:pStyle w:val="SangriaFrancesaArticulo"/>
      </w:pPr>
    </w:p>
    <w:p w:rsidR="00815992" w:rsidRDefault="00815992" w:rsidP="00815992">
      <w:pPr>
        <w:pStyle w:val="TextoNormalNegritaCursivandice"/>
      </w:pPr>
      <w:r>
        <w:t>Decreto 4104/1964, de 24 de diciembre. Texto refundido de la Ley de arrendamientos urbanos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6" w:history="1">
        <w:r w:rsidRPr="00815992">
          <w:rPr>
            <w:rStyle w:val="TextoNormalCaracter"/>
          </w:rPr>
          <w:t>6/1992</w:t>
        </w:r>
      </w:hyperlink>
      <w:r>
        <w:t xml:space="preserve">, f. 4; </w:t>
      </w:r>
      <w:hyperlink w:anchor="SENTENCIA_1992_31" w:history="1">
        <w:r w:rsidRPr="00815992">
          <w:rPr>
            <w:rStyle w:val="TextoNormalCaracter"/>
          </w:rPr>
          <w:t>31/1992</w:t>
        </w:r>
      </w:hyperlink>
      <w:r>
        <w:t>, f. 2.</w:t>
      </w:r>
    </w:p>
    <w:p w:rsidR="00815992" w:rsidRDefault="00815992" w:rsidP="00815992">
      <w:pPr>
        <w:pStyle w:val="SangriaFrancesaArticulo"/>
      </w:pPr>
      <w:r w:rsidRPr="00815992">
        <w:rPr>
          <w:rStyle w:val="TextoNormalNegritaCaracter"/>
        </w:rPr>
        <w:t>Artículo 57.</w:t>
      </w:r>
      <w:r w:rsidRPr="00815992">
        <w:rPr>
          <w:rStyle w:val="TextoNormalCaracter"/>
        </w:rPr>
        <w:t>-</w:t>
      </w:r>
      <w:r>
        <w:t xml:space="preserve"> Sentencia </w:t>
      </w:r>
      <w:hyperlink w:anchor="SENTENCIA_1992_6" w:history="1">
        <w:r w:rsidRPr="00815992">
          <w:rPr>
            <w:rStyle w:val="TextoNormalCaracter"/>
          </w:rPr>
          <w:t>6/1992</w:t>
        </w:r>
      </w:hyperlink>
      <w:r>
        <w:t>, f. 6.</w:t>
      </w:r>
    </w:p>
    <w:p w:rsidR="00815992" w:rsidRDefault="00815992" w:rsidP="00815992">
      <w:pPr>
        <w:pStyle w:val="SangriaFrancesaArticulo"/>
      </w:pPr>
      <w:r w:rsidRPr="00815992">
        <w:rPr>
          <w:rStyle w:val="TextoNormalNegritaCaracter"/>
        </w:rPr>
        <w:t>Artículo 114.4.</w:t>
      </w:r>
      <w:r w:rsidRPr="00815992">
        <w:rPr>
          <w:rStyle w:val="TextoNormalCaracter"/>
        </w:rPr>
        <w:t>-</w:t>
      </w:r>
      <w:r>
        <w:t xml:space="preserve"> Sentencia </w:t>
      </w:r>
      <w:hyperlink w:anchor="SENTENCIA_1992_6" w:history="1">
        <w:r w:rsidRPr="00815992">
          <w:rPr>
            <w:rStyle w:val="TextoNormalCaracter"/>
          </w:rPr>
          <w:t>6/1992</w:t>
        </w:r>
      </w:hyperlink>
      <w:r>
        <w:t>, f. 6.</w:t>
      </w:r>
    </w:p>
    <w:p w:rsidR="00815992" w:rsidRDefault="00815992" w:rsidP="00815992">
      <w:pPr>
        <w:pStyle w:val="SangriaFrancesaArticulo"/>
      </w:pPr>
      <w:r w:rsidRPr="00815992">
        <w:rPr>
          <w:rStyle w:val="TextoNormalNegritaCaracter"/>
        </w:rPr>
        <w:t>Artículo 148.2.</w:t>
      </w:r>
      <w:r w:rsidRPr="00815992">
        <w:rPr>
          <w:rStyle w:val="TextoNormalCaracter"/>
        </w:rPr>
        <w:t>-</w:t>
      </w:r>
      <w:r>
        <w:t xml:space="preserve"> Sentencias </w:t>
      </w:r>
      <w:hyperlink w:anchor="SENTENCIA_1992_12" w:history="1">
        <w:r w:rsidRPr="00815992">
          <w:rPr>
            <w:rStyle w:val="TextoNormalCaracter"/>
          </w:rPr>
          <w:t>12/1992</w:t>
        </w:r>
      </w:hyperlink>
      <w:r>
        <w:t xml:space="preserve">, ff. 5, 6; </w:t>
      </w:r>
      <w:hyperlink w:anchor="SENTENCIA_1992_51" w:history="1">
        <w:r w:rsidRPr="00815992">
          <w:rPr>
            <w:rStyle w:val="TextoNormalCaracter"/>
          </w:rPr>
          <w:t>51/1992</w:t>
        </w:r>
      </w:hyperlink>
      <w:r>
        <w:t>, ff. 1 a 3.</w:t>
      </w:r>
    </w:p>
    <w:p w:rsidR="00815992" w:rsidRDefault="00815992" w:rsidP="00815992">
      <w:pPr>
        <w:pStyle w:val="SangriaFrancesaArticulo"/>
      </w:pPr>
      <w:r w:rsidRPr="00815992">
        <w:rPr>
          <w:rStyle w:val="TextoNormalNegritaCaracter"/>
        </w:rPr>
        <w:t>Artículo 148.4.</w:t>
      </w:r>
      <w:r w:rsidRPr="00815992">
        <w:rPr>
          <w:rStyle w:val="TextoNormalCaracter"/>
        </w:rPr>
        <w:t>-</w:t>
      </w:r>
      <w:r>
        <w:t xml:space="preserve"> Sentencia </w:t>
      </w:r>
      <w:hyperlink w:anchor="SENTENCIA_1992_31" w:history="1">
        <w:r w:rsidRPr="00815992">
          <w:rPr>
            <w:rStyle w:val="TextoNormalCaracter"/>
          </w:rPr>
          <w:t>31/1992</w:t>
        </w:r>
      </w:hyperlink>
      <w:r>
        <w:t>, f. 4.</w:t>
      </w:r>
    </w:p>
    <w:p w:rsidR="00815992" w:rsidRDefault="00815992" w:rsidP="00815992">
      <w:pPr>
        <w:pStyle w:val="SangriaFrancesaArticulo"/>
      </w:pPr>
    </w:p>
    <w:p w:rsidR="00815992" w:rsidRDefault="00815992" w:rsidP="00815992">
      <w:pPr>
        <w:pStyle w:val="TextoNormalNegritaCursivandice"/>
      </w:pPr>
      <w:r>
        <w:t>Decreto 1120/1966, de 21 de abril. Texto refundido de la Ley de derechos pasivos de funcionarios de la Administración civil del Estado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 w:history="1">
        <w:r w:rsidRPr="00815992">
          <w:rPr>
            <w:rStyle w:val="TextoNormalCaracter"/>
          </w:rPr>
          <w:t>5/1992</w:t>
        </w:r>
      </w:hyperlink>
      <w:r>
        <w:t>, f. 5.</w:t>
      </w:r>
    </w:p>
    <w:p w:rsidR="00815992" w:rsidRDefault="00815992" w:rsidP="00815992">
      <w:pPr>
        <w:pStyle w:val="SangriaFrancesaArticulo"/>
      </w:pPr>
      <w:r w:rsidRPr="00815992">
        <w:rPr>
          <w:rStyle w:val="TextoNormalNegritaCaracter"/>
        </w:rPr>
        <w:t>Artículo 40.</w:t>
      </w:r>
      <w:r w:rsidRPr="00815992">
        <w:rPr>
          <w:rStyle w:val="TextoNormalCaracter"/>
        </w:rPr>
        <w:t>-</w:t>
      </w:r>
      <w:r>
        <w:t xml:space="preserve"> Sentencia </w:t>
      </w:r>
      <w:hyperlink w:anchor="SENTENCIA_1992_5" w:history="1">
        <w:r w:rsidRPr="00815992">
          <w:rPr>
            <w:rStyle w:val="TextoNormalCaracter"/>
          </w:rPr>
          <w:t>5/1992</w:t>
        </w:r>
      </w:hyperlink>
      <w:r>
        <w:t>, ff. 3 a 6.</w:t>
      </w:r>
    </w:p>
    <w:p w:rsidR="00815992" w:rsidRDefault="00815992" w:rsidP="00815992">
      <w:pPr>
        <w:pStyle w:val="SangriaFrancesaArticulo"/>
      </w:pPr>
    </w:p>
    <w:p w:rsidR="00815992" w:rsidRDefault="00815992" w:rsidP="00815992">
      <w:pPr>
        <w:pStyle w:val="TextoNormalNegritaCursivandice"/>
      </w:pPr>
      <w:r>
        <w:t>Orden del Ministerio de Trabajo, de 28 de diciembre de 1966. Seguros Sociales. Campo de aplicación, afiliación, cotización y recaudación en período voluntario</w:t>
      </w:r>
    </w:p>
    <w:p w:rsidR="00815992" w:rsidRDefault="00815992" w:rsidP="00815992">
      <w:pPr>
        <w:pStyle w:val="SangriaFrancesaArticulo"/>
      </w:pPr>
      <w:r w:rsidRPr="00815992">
        <w:rPr>
          <w:rStyle w:val="TextoNormalNegritaCaracter"/>
        </w:rPr>
        <w:t>Artículo 21.1.</w:t>
      </w:r>
      <w:r w:rsidRPr="00815992">
        <w:rPr>
          <w:rStyle w:val="TextoNormalCaracter"/>
        </w:rPr>
        <w:t>-</w:t>
      </w:r>
      <w:r>
        <w:t xml:space="preserve"> Sentencia </w:t>
      </w:r>
      <w:hyperlink w:anchor="SENTENCIA_1992_39" w:history="1">
        <w:r w:rsidRPr="00815992">
          <w:rPr>
            <w:rStyle w:val="TextoNormalCaracter"/>
          </w:rPr>
          <w:t>39/1992</w:t>
        </w:r>
      </w:hyperlink>
      <w:r>
        <w:t>, f. 6.</w:t>
      </w:r>
    </w:p>
    <w:p w:rsidR="00815992" w:rsidRDefault="00815992" w:rsidP="00815992">
      <w:pPr>
        <w:pStyle w:val="SangriaFrancesaArticulo"/>
      </w:pPr>
    </w:p>
    <w:p w:rsidR="00815992" w:rsidRDefault="00815992" w:rsidP="00815992">
      <w:pPr>
        <w:pStyle w:val="TextoNormalNegritaCursivandice"/>
      </w:pPr>
      <w:r>
        <w:t>Ley 3/1967, de 8 de abril. Modifica artículos del Código penal y de la Ley de enjuiciamiento criminal y deroga los títulos I y II de la Ley penal del automóvil de 24 de diciembre de 1962</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3" w:history="1">
        <w:r w:rsidRPr="00815992">
          <w:rPr>
            <w:rStyle w:val="TextoNormalCaracter"/>
          </w:rPr>
          <w:t>33/1992</w:t>
        </w:r>
      </w:hyperlink>
      <w:r>
        <w:t>, f. 5.</w:t>
      </w:r>
    </w:p>
    <w:p w:rsidR="00815992" w:rsidRDefault="00815992" w:rsidP="00815992">
      <w:pPr>
        <w:pStyle w:val="SangriaFrancesaArticulo"/>
      </w:pPr>
    </w:p>
    <w:p w:rsidR="00815992" w:rsidRDefault="00815992" w:rsidP="00815992">
      <w:pPr>
        <w:pStyle w:val="TextoNormalNegritaCursivandice"/>
      </w:pPr>
      <w:r>
        <w:t>Decreto 632/1968, de 21 de marzo. Texto refundido de la Ley sobre uso y circulación de vehículos de motor</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 </w:t>
      </w:r>
      <w:hyperlink w:anchor="SENTENCIA_1992_19" w:history="1">
        <w:r w:rsidRPr="00815992">
          <w:rPr>
            <w:rStyle w:val="TextoNormalCaracter"/>
          </w:rPr>
          <w:t>19/1992</w:t>
        </w:r>
      </w:hyperlink>
      <w:r>
        <w:t>, f. 5.</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Sentencia </w:t>
      </w:r>
      <w:hyperlink w:anchor="SENTENCIA_1992_19" w:history="1">
        <w:r w:rsidRPr="00815992">
          <w:rPr>
            <w:rStyle w:val="TextoNormalCaracter"/>
          </w:rPr>
          <w:t>19/1992</w:t>
        </w:r>
      </w:hyperlink>
      <w:r>
        <w:t>, f. 5.</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Sentencia </w:t>
      </w:r>
      <w:hyperlink w:anchor="SENTENCIA_1992_19" w:history="1">
        <w:r w:rsidRPr="00815992">
          <w:rPr>
            <w:rStyle w:val="TextoNormalCaracter"/>
          </w:rPr>
          <w:t>19/1992</w:t>
        </w:r>
      </w:hyperlink>
      <w:r>
        <w:t>, f. 5.</w:t>
      </w:r>
    </w:p>
    <w:p w:rsidR="00815992" w:rsidRDefault="00815992" w:rsidP="00815992">
      <w:pPr>
        <w:pStyle w:val="SangriaFrancesaArticulo"/>
      </w:pPr>
    </w:p>
    <w:p w:rsidR="00815992" w:rsidRDefault="00815992" w:rsidP="00815992">
      <w:pPr>
        <w:pStyle w:val="TextoNormalNegritaCursivandice"/>
      </w:pPr>
      <w:r>
        <w:t>Decreto 2346/1969, de 25 de septiembre. Servicio doméstico. Régimen especial de la Seguridad Social</w:t>
      </w:r>
    </w:p>
    <w:p w:rsidR="00815992" w:rsidRDefault="00815992" w:rsidP="00815992">
      <w:pPr>
        <w:pStyle w:val="SangriaFrancesaArticulo"/>
      </w:pPr>
      <w:r w:rsidRPr="00815992">
        <w:rPr>
          <w:rStyle w:val="TextoNormalNegritaCaracter"/>
        </w:rPr>
        <w:t>Artículo 3.1 a).</w:t>
      </w:r>
      <w:r w:rsidRPr="00815992">
        <w:rPr>
          <w:rStyle w:val="TextoNormalCaracter"/>
        </w:rPr>
        <w:t>-</w:t>
      </w:r>
      <w:r>
        <w:t xml:space="preserve"> Sentencia </w:t>
      </w:r>
      <w:hyperlink w:anchor="SENTENCIA_1992_59" w:history="1">
        <w:r w:rsidRPr="00815992">
          <w:rPr>
            <w:rStyle w:val="TextoNormalCaracter"/>
          </w:rPr>
          <w:t>59/1992</w:t>
        </w:r>
      </w:hyperlink>
      <w:r>
        <w:t>, ff. 1, 4, 5.</w:t>
      </w:r>
    </w:p>
    <w:p w:rsidR="00815992" w:rsidRDefault="00815992" w:rsidP="00815992">
      <w:pPr>
        <w:pStyle w:val="SangriaFrancesaArticulo"/>
      </w:pPr>
      <w:r w:rsidRPr="00815992">
        <w:rPr>
          <w:rStyle w:val="TextoNormalNegritaCaracter"/>
        </w:rPr>
        <w:t>Artículo 3.2.</w:t>
      </w:r>
      <w:r w:rsidRPr="00815992">
        <w:rPr>
          <w:rStyle w:val="TextoNormalCaracter"/>
        </w:rPr>
        <w:t>-</w:t>
      </w:r>
      <w:r>
        <w:t xml:space="preserve"> Sentencia </w:t>
      </w:r>
      <w:hyperlink w:anchor="SENTENCIA_1992_59" w:history="1">
        <w:r w:rsidRPr="00815992">
          <w:rPr>
            <w:rStyle w:val="TextoNormalCaracter"/>
          </w:rPr>
          <w:t>59/1992</w:t>
        </w:r>
      </w:hyperlink>
      <w:r>
        <w:t>, f. 3.</w:t>
      </w:r>
    </w:p>
    <w:p w:rsidR="00815992" w:rsidRDefault="00815992" w:rsidP="00815992">
      <w:pPr>
        <w:pStyle w:val="SangriaFrancesaArticulo"/>
      </w:pPr>
    </w:p>
    <w:p w:rsidR="00815992" w:rsidRDefault="00815992" w:rsidP="00815992">
      <w:pPr>
        <w:pStyle w:val="TextoNormalNegritaCursivandice"/>
      </w:pPr>
      <w:r>
        <w:t>Decreto 2530/1970, de 20 de agosto. Seguridad Social. Régimen especial de los trabajadores por cuenta propia o autónomos</w:t>
      </w:r>
    </w:p>
    <w:p w:rsidR="00815992" w:rsidRDefault="00815992" w:rsidP="00815992">
      <w:pPr>
        <w:pStyle w:val="SangriaFrancesaArticulo"/>
      </w:pPr>
      <w:r w:rsidRPr="00815992">
        <w:rPr>
          <w:rStyle w:val="TextoNormalNegritaCaracter"/>
        </w:rPr>
        <w:t>Artículo 3 b).</w:t>
      </w:r>
      <w:r w:rsidRPr="00815992">
        <w:rPr>
          <w:rStyle w:val="TextoNormalCaracter"/>
        </w:rPr>
        <w:t>-</w:t>
      </w:r>
      <w:r>
        <w:t xml:space="preserve"> Sentencia </w:t>
      </w:r>
      <w:hyperlink w:anchor="SENTENCIA_1992_2" w:history="1">
        <w:r w:rsidRPr="00815992">
          <w:rPr>
            <w:rStyle w:val="TextoNormalCaracter"/>
          </w:rPr>
          <w:t>2/1992</w:t>
        </w:r>
      </w:hyperlink>
      <w:r>
        <w:t>, f. 4.</w:t>
      </w:r>
    </w:p>
    <w:p w:rsidR="00815992" w:rsidRDefault="00815992" w:rsidP="00815992">
      <w:pPr>
        <w:pStyle w:val="SangriaFrancesaArticulo"/>
      </w:pPr>
    </w:p>
    <w:p w:rsidR="00815992" w:rsidRDefault="00815992" w:rsidP="00815992">
      <w:pPr>
        <w:pStyle w:val="TextoNormalNegritaCursivandice"/>
      </w:pPr>
      <w:r>
        <w:t>Decreto 3772/1972, de 23 de diciembre. Seguridad Social agraria. Reglamento General</w:t>
      </w:r>
    </w:p>
    <w:p w:rsidR="00815992" w:rsidRDefault="00815992" w:rsidP="00815992">
      <w:pPr>
        <w:pStyle w:val="SangriaFrancesaArticulo"/>
      </w:pPr>
      <w:r w:rsidRPr="00815992">
        <w:rPr>
          <w:rStyle w:val="TextoNormalNegritaCaracter"/>
        </w:rPr>
        <w:t>Artículo 2.3.</w:t>
      </w:r>
      <w:r w:rsidRPr="00815992">
        <w:rPr>
          <w:rStyle w:val="TextoNormalCaracter"/>
        </w:rPr>
        <w:t>-</w:t>
      </w:r>
      <w:r>
        <w:t xml:space="preserve"> Sentencia </w:t>
      </w:r>
      <w:hyperlink w:anchor="SENTENCIA_1992_39" w:history="1">
        <w:r w:rsidRPr="00815992">
          <w:rPr>
            <w:rStyle w:val="TextoNormalCaracter"/>
          </w:rPr>
          <w:t>39/1992</w:t>
        </w:r>
      </w:hyperlink>
      <w:r>
        <w:t>, f. 6.</w:t>
      </w:r>
    </w:p>
    <w:p w:rsidR="00815992" w:rsidRDefault="00815992" w:rsidP="00815992">
      <w:pPr>
        <w:pStyle w:val="SangriaFrancesaArticulo"/>
      </w:pPr>
    </w:p>
    <w:p w:rsidR="00815992" w:rsidRDefault="00815992" w:rsidP="00815992">
      <w:pPr>
        <w:pStyle w:val="TextoNormalNegritaCursivandice"/>
      </w:pPr>
      <w:r>
        <w:t>Decreto 3096/1973, de 14 de septiembre. Texto refundido del Código penal conforme a la Ley 44/1971, de 15 de noviembre</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33" w:history="1">
        <w:r w:rsidRPr="00815992">
          <w:rPr>
            <w:rStyle w:val="TextoNormalCaracter"/>
          </w:rPr>
          <w:t>33/1992</w:t>
        </w:r>
      </w:hyperlink>
      <w:r>
        <w:t xml:space="preserve">, f. 2; </w:t>
      </w:r>
      <w:hyperlink w:anchor="SENTENCIA_1992_46" w:history="1">
        <w:r w:rsidRPr="00815992">
          <w:rPr>
            <w:rStyle w:val="TextoNormalCaracter"/>
          </w:rPr>
          <w:t>46/1992</w:t>
        </w:r>
      </w:hyperlink>
      <w:r>
        <w:t>, f. 3.</w:t>
      </w:r>
    </w:p>
    <w:p w:rsidR="00815992" w:rsidRDefault="00815992" w:rsidP="00815992">
      <w:pPr>
        <w:pStyle w:val="SangriaIzquierdaArticulo"/>
      </w:pPr>
      <w:r>
        <w:t xml:space="preserve">Auto </w:t>
      </w:r>
      <w:hyperlink w:anchor="AUTO_1992_17" w:history="1">
        <w:r w:rsidRPr="00815992">
          <w:rPr>
            <w:rStyle w:val="TextoNormalCaracter"/>
          </w:rPr>
          <w:t>17/1992</w:t>
        </w:r>
      </w:hyperlink>
      <w:r>
        <w:t>.</w:t>
      </w:r>
    </w:p>
    <w:p w:rsidR="00815992" w:rsidRDefault="00815992" w:rsidP="00815992">
      <w:pPr>
        <w:pStyle w:val="SangriaFrancesaArticulo"/>
      </w:pPr>
      <w:r w:rsidRPr="00815992">
        <w:rPr>
          <w:rStyle w:val="TextoNormalNegritaCaracter"/>
        </w:rPr>
        <w:t>Artículo 19.</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Sentencia </w:t>
      </w:r>
      <w:hyperlink w:anchor="SENTENCIA_1992_33" w:history="1">
        <w:r w:rsidRPr="00815992">
          <w:rPr>
            <w:rStyle w:val="TextoNormalCaracter"/>
          </w:rPr>
          <w:t>33/1992</w:t>
        </w:r>
      </w:hyperlink>
      <w:r>
        <w:t>, f. 2.</w:t>
      </w:r>
    </w:p>
    <w:p w:rsidR="00815992" w:rsidRDefault="00815992" w:rsidP="00815992">
      <w:pPr>
        <w:pStyle w:val="SangriaFrancesaArticulo"/>
      </w:pPr>
      <w:r w:rsidRPr="00815992">
        <w:rPr>
          <w:rStyle w:val="TextoNormalNegritaCaracter"/>
        </w:rPr>
        <w:t>Artículo 35.</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36.</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38.</w:t>
      </w:r>
      <w:r w:rsidRPr="00815992">
        <w:rPr>
          <w:rStyle w:val="TextoNormalCaracter"/>
        </w:rPr>
        <w:t>-</w:t>
      </w:r>
      <w:r>
        <w:t xml:space="preserve"> Sentencia </w:t>
      </w:r>
      <w:hyperlink w:anchor="SENTENCIA_1992_7" w:history="1">
        <w:r w:rsidR="001751D3">
          <w:rPr>
            <w:rStyle w:val="TextoNormalCaracter"/>
          </w:rPr>
          <w:fldChar w:fldCharType="begin"/>
        </w:r>
        <w:r w:rsidR="001751D3">
          <w:rPr>
            <w:rStyle w:val="TextoNormalCaracter"/>
          </w:rPr>
          <w:instrText xml:space="preserve"> PAGEREF SUMARIOSINDICES \h </w:instrText>
        </w:r>
        <w:r w:rsidR="001751D3">
          <w:rPr>
            <w:rStyle w:val="TextoNormalCaracter"/>
          </w:rPr>
        </w:r>
        <w:r w:rsidR="001751D3">
          <w:rPr>
            <w:rStyle w:val="TextoNormalCaracter"/>
          </w:rPr>
          <w:fldChar w:fldCharType="separate"/>
        </w:r>
        <w:r w:rsidR="002964F1">
          <w:rPr>
            <w:rStyle w:val="TextoNormalCaracter"/>
            <w:noProof/>
          </w:rPr>
          <w:t>2</w:t>
        </w:r>
        <w:r w:rsidR="001751D3">
          <w:rPr>
            <w:rStyle w:val="TextoNormalCaracter"/>
          </w:rPr>
          <w:fldChar w:fldCharType="end"/>
        </w:r>
        <w:r w:rsidRPr="00815992">
          <w:rPr>
            <w:rStyle w:val="TextoNormalCaracter"/>
          </w:rPr>
          <w:t>7/1992</w:t>
        </w:r>
      </w:hyperlink>
      <w:r>
        <w:t>, ff. 2, 3.</w:t>
      </w:r>
    </w:p>
    <w:p w:rsidR="00815992" w:rsidRDefault="00815992" w:rsidP="00815992">
      <w:pPr>
        <w:pStyle w:val="SangriaFrancesaArticulo"/>
      </w:pPr>
      <w:r w:rsidRPr="00815992">
        <w:rPr>
          <w:rStyle w:val="TextoNormalNegritaCaracter"/>
        </w:rPr>
        <w:t>Artículo 45.</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46.</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47.</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113.6.</w:t>
      </w:r>
      <w:r w:rsidRPr="00815992">
        <w:rPr>
          <w:rStyle w:val="TextoNormalCaracter"/>
        </w:rPr>
        <w:t>-</w:t>
      </w:r>
      <w:r>
        <w:t xml:space="preserve"> Auto </w:t>
      </w:r>
      <w:hyperlink w:anchor="AUTO_1992_15" w:history="1">
        <w:r w:rsidRPr="00815992">
          <w:rPr>
            <w:rStyle w:val="TextoNormalCaracter"/>
          </w:rPr>
          <w:t>15/1992</w:t>
        </w:r>
      </w:hyperlink>
      <w:r>
        <w:t>.</w:t>
      </w:r>
    </w:p>
    <w:p w:rsidR="00815992" w:rsidRDefault="00815992" w:rsidP="00815992">
      <w:pPr>
        <w:pStyle w:val="SangriaFrancesaArticulo"/>
      </w:pPr>
      <w:r w:rsidRPr="00815992">
        <w:rPr>
          <w:rStyle w:val="TextoNormalNegritaCaracter"/>
        </w:rPr>
        <w:t>Artículo 114.</w:t>
      </w:r>
      <w:r w:rsidRPr="00815992">
        <w:rPr>
          <w:rStyle w:val="TextoNormalCaracter"/>
        </w:rPr>
        <w:t>-</w:t>
      </w:r>
      <w:r>
        <w:t xml:space="preserve"> Auto </w:t>
      </w:r>
      <w:hyperlink w:anchor="AUTO_1992_15" w:history="1">
        <w:r w:rsidRPr="00815992">
          <w:rPr>
            <w:rStyle w:val="TextoNormalCaracter"/>
          </w:rPr>
          <w:t>15/1992</w:t>
        </w:r>
      </w:hyperlink>
      <w:r>
        <w:t>.</w:t>
      </w:r>
    </w:p>
    <w:p w:rsidR="00815992" w:rsidRDefault="00815992" w:rsidP="00815992">
      <w:pPr>
        <w:pStyle w:val="SangriaFrancesaArticulo"/>
      </w:pPr>
      <w:r w:rsidRPr="00815992">
        <w:rPr>
          <w:rStyle w:val="TextoNormalNegritaCaracter"/>
        </w:rPr>
        <w:t>Artículo 114.1.</w:t>
      </w:r>
      <w:r w:rsidRPr="00815992">
        <w:rPr>
          <w:rStyle w:val="TextoNormalCaracter"/>
        </w:rPr>
        <w:t>-</w:t>
      </w:r>
      <w:r>
        <w:t xml:space="preserve"> Auto </w:t>
      </w:r>
      <w:hyperlink w:anchor="AUTO_1992_15" w:history="1">
        <w:r w:rsidRPr="00815992">
          <w:rPr>
            <w:rStyle w:val="TextoNormalCaracter"/>
          </w:rPr>
          <w:t>15/1992</w:t>
        </w:r>
      </w:hyperlink>
      <w:r>
        <w:t>.</w:t>
      </w:r>
    </w:p>
    <w:p w:rsidR="00815992" w:rsidRDefault="00815992" w:rsidP="00815992">
      <w:pPr>
        <w:pStyle w:val="SangriaFrancesaArticulo"/>
      </w:pPr>
      <w:r w:rsidRPr="00815992">
        <w:rPr>
          <w:rStyle w:val="TextoNormalNegritaCaracter"/>
        </w:rPr>
        <w:t>Artículo 340 bis a) 1.</w:t>
      </w:r>
      <w:r w:rsidRPr="00815992">
        <w:rPr>
          <w:rStyle w:val="TextoNormalCaracter"/>
        </w:rPr>
        <w:t>-</w:t>
      </w:r>
      <w:r>
        <w:t xml:space="preserve"> Sentencia </w:t>
      </w:r>
      <w:hyperlink w:anchor="SENTENCIA_1992_24" w:history="1">
        <w:r w:rsidRPr="00815992">
          <w:rPr>
            <w:rStyle w:val="TextoNormalCaracter"/>
          </w:rPr>
          <w:t>24/1992</w:t>
        </w:r>
      </w:hyperlink>
      <w:r>
        <w:t>, ff. 1, 3, 4.</w:t>
      </w:r>
    </w:p>
    <w:p w:rsidR="00815992" w:rsidRDefault="00815992" w:rsidP="00815992">
      <w:pPr>
        <w:pStyle w:val="SangriaFrancesaArticulo"/>
      </w:pPr>
      <w:r w:rsidRPr="00815992">
        <w:rPr>
          <w:rStyle w:val="TextoNormalNegritaCaracter"/>
        </w:rPr>
        <w:t>Artículo 405.</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r w:rsidRPr="00815992">
        <w:rPr>
          <w:rStyle w:val="TextoNormalNegritaCaracter"/>
        </w:rPr>
        <w:t>Artículo 410.</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r w:rsidRPr="00815992">
        <w:rPr>
          <w:rStyle w:val="TextoNormalNegritaCaracter"/>
        </w:rPr>
        <w:t>Artículo 501.5.</w:t>
      </w:r>
      <w:r w:rsidRPr="00815992">
        <w:rPr>
          <w:rStyle w:val="TextoNormalCaracter"/>
        </w:rPr>
        <w:t>-</w:t>
      </w:r>
      <w:r>
        <w:t xml:space="preserve"> Sentencia </w:t>
      </w:r>
      <w:hyperlink w:anchor="SENTENCIA_1992_10" w:history="1">
        <w:r w:rsidRPr="00815992">
          <w:rPr>
            <w:rStyle w:val="TextoNormalCaracter"/>
          </w:rPr>
          <w:t>10/1992</w:t>
        </w:r>
      </w:hyperlink>
      <w:r>
        <w:t>, ff. 1, 3.</w:t>
      </w:r>
    </w:p>
    <w:p w:rsidR="00815992" w:rsidRDefault="00815992" w:rsidP="00815992">
      <w:pPr>
        <w:pStyle w:val="SangriaFrancesaArticulo"/>
      </w:pPr>
      <w:r w:rsidRPr="00815992">
        <w:rPr>
          <w:rStyle w:val="TextoNormalNegritaCaracter"/>
        </w:rPr>
        <w:t>Artículo 534.</w:t>
      </w:r>
      <w:r w:rsidRPr="00815992">
        <w:rPr>
          <w:rStyle w:val="TextoNormalCaracter"/>
        </w:rPr>
        <w:t>-</w:t>
      </w:r>
      <w:r>
        <w:t xml:space="preserve"> Auto </w:t>
      </w:r>
      <w:hyperlink w:anchor="AUTO_1992_61" w:history="1">
        <w:r w:rsidRPr="00815992">
          <w:rPr>
            <w:rStyle w:val="TextoNormalCaracter"/>
          </w:rPr>
          <w:t>61/1992</w:t>
        </w:r>
      </w:hyperlink>
      <w:r>
        <w:t>.</w:t>
      </w:r>
    </w:p>
    <w:p w:rsidR="00815992" w:rsidRDefault="00815992" w:rsidP="00815992">
      <w:pPr>
        <w:pStyle w:val="SangriaFrancesaArticulo"/>
      </w:pPr>
      <w:r w:rsidRPr="00815992">
        <w:rPr>
          <w:rStyle w:val="TextoNormalNegritaCaracter"/>
        </w:rPr>
        <w:t>Artículo 585.4.</w:t>
      </w:r>
      <w:r w:rsidRPr="00815992">
        <w:rPr>
          <w:rStyle w:val="TextoNormalCaracter"/>
        </w:rPr>
        <w:t>-</w:t>
      </w:r>
      <w:r>
        <w:t xml:space="preserve"> Autos </w:t>
      </w:r>
      <w:hyperlink w:anchor="AUTO_1992_71" w:history="1">
        <w:r w:rsidRPr="00815992">
          <w:rPr>
            <w:rStyle w:val="TextoNormalCaracter"/>
          </w:rPr>
          <w:t>71/1992</w:t>
        </w:r>
      </w:hyperlink>
      <w:r>
        <w:t xml:space="preserve">; </w:t>
      </w:r>
      <w:hyperlink w:anchor="AUTO_1992_105" w:history="1">
        <w:r w:rsidRPr="00815992">
          <w:rPr>
            <w:rStyle w:val="TextoNormalCaracter"/>
          </w:rPr>
          <w:t>105/1992</w:t>
        </w:r>
      </w:hyperlink>
      <w:r>
        <w:t>.</w:t>
      </w:r>
    </w:p>
    <w:p w:rsidR="00815992" w:rsidRDefault="00815992" w:rsidP="00815992">
      <w:pPr>
        <w:pStyle w:val="SangriaFrancesaArticulo"/>
      </w:pPr>
      <w:r w:rsidRPr="00815992">
        <w:rPr>
          <w:rStyle w:val="TextoNormalNegritaCaracter"/>
        </w:rPr>
        <w:t>Artículo 586.3.</w:t>
      </w:r>
      <w:r w:rsidRPr="00815992">
        <w:rPr>
          <w:rStyle w:val="TextoNormalCaracter"/>
        </w:rPr>
        <w:t>-</w:t>
      </w:r>
      <w:r>
        <w:t xml:space="preserve"> Sentencia </w:t>
      </w:r>
      <w:hyperlink w:anchor="SENTENCIA_1992_11" w:history="1">
        <w:r w:rsidRPr="00815992">
          <w:rPr>
            <w:rStyle w:val="TextoNormalCaracter"/>
          </w:rPr>
          <w:t>11/1992</w:t>
        </w:r>
      </w:hyperlink>
      <w:r>
        <w:t>, f. 1.</w:t>
      </w:r>
    </w:p>
    <w:p w:rsidR="00815992" w:rsidRDefault="00815992" w:rsidP="00815992">
      <w:pPr>
        <w:pStyle w:val="SangriaFrancesaArticulo"/>
      </w:pPr>
    </w:p>
    <w:p w:rsidR="00815992" w:rsidRDefault="00815992" w:rsidP="00815992">
      <w:pPr>
        <w:pStyle w:val="TextoNormalNegritaCursivandice"/>
      </w:pPr>
      <w:r>
        <w:t>Decreto 2065/1974, de 30 de mayo. Texto refundido de la Ley general de la Seguridad Social</w:t>
      </w:r>
    </w:p>
    <w:p w:rsidR="00815992" w:rsidRDefault="00815992" w:rsidP="00815992">
      <w:pPr>
        <w:pStyle w:val="SangriaFrancesaArticulo"/>
      </w:pPr>
      <w:r w:rsidRPr="00815992">
        <w:rPr>
          <w:rStyle w:val="TextoNormalNegritaCaracter"/>
        </w:rPr>
        <w:t>Artículo 7.2.</w:t>
      </w:r>
      <w:r w:rsidRPr="00815992">
        <w:rPr>
          <w:rStyle w:val="TextoNormalCaracter"/>
        </w:rPr>
        <w:t>-</w:t>
      </w:r>
      <w:r>
        <w:t xml:space="preserve"> Sentencias </w:t>
      </w:r>
      <w:hyperlink w:anchor="SENTENCIA_1992_2" w:history="1">
        <w:r w:rsidRPr="00815992">
          <w:rPr>
            <w:rStyle w:val="TextoNormalCaracter"/>
          </w:rPr>
          <w:t>2/1992</w:t>
        </w:r>
      </w:hyperlink>
      <w:r>
        <w:t xml:space="preserve">, ff. 1 a 5; </w:t>
      </w:r>
      <w:hyperlink w:anchor="SENTENCIA_1992_59" w:history="1">
        <w:r w:rsidRPr="00815992">
          <w:rPr>
            <w:rStyle w:val="TextoNormalCaracter"/>
          </w:rPr>
          <w:t>59/1992</w:t>
        </w:r>
      </w:hyperlink>
      <w:r>
        <w:t>, f. 4.</w:t>
      </w:r>
    </w:p>
    <w:p w:rsidR="00815992" w:rsidRDefault="00815992" w:rsidP="00815992">
      <w:pPr>
        <w:pStyle w:val="SangriaFrancesaArticulo"/>
      </w:pPr>
      <w:r w:rsidRPr="00815992">
        <w:rPr>
          <w:rStyle w:val="TextoNormalNegritaCaracter"/>
        </w:rPr>
        <w:t>Artículo 74.2.</w:t>
      </w:r>
      <w:r w:rsidRPr="00815992">
        <w:rPr>
          <w:rStyle w:val="TextoNormalCaracter"/>
        </w:rPr>
        <w:t>-</w:t>
      </w:r>
      <w:r>
        <w:t xml:space="preserve"> Sentencia </w:t>
      </w:r>
      <w:hyperlink w:anchor="SENTENCIA_1992_39" w:history="1">
        <w:r w:rsidRPr="00815992">
          <w:rPr>
            <w:rStyle w:val="TextoNormalCaracter"/>
          </w:rPr>
          <w:t>39/1992</w:t>
        </w:r>
      </w:hyperlink>
      <w:r>
        <w:t>, f. 6.</w:t>
      </w:r>
    </w:p>
    <w:p w:rsidR="00815992" w:rsidRDefault="00815992" w:rsidP="00815992">
      <w:pPr>
        <w:pStyle w:val="SangriaFrancesaArticulo"/>
      </w:pPr>
    </w:p>
    <w:p w:rsidR="00815992" w:rsidRDefault="00815992" w:rsidP="00815992">
      <w:pPr>
        <w:pStyle w:val="TextoNormalNegritaCursivandice"/>
      </w:pPr>
      <w:r>
        <w:t>Decreto 176/1975, de 30 de enero. Indemnizaciones a funcionarios públicos por razón de servicio</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Auto </w:t>
      </w:r>
      <w:hyperlink w:anchor="AUTO_1992_74" w:history="1">
        <w:r w:rsidRPr="00815992">
          <w:rPr>
            <w:rStyle w:val="TextoNormalCaracter"/>
          </w:rPr>
          <w:t>74/1992</w:t>
        </w:r>
      </w:hyperlink>
      <w:r>
        <w:t>.</w:t>
      </w:r>
    </w:p>
    <w:p w:rsidR="00815992" w:rsidRDefault="00815992" w:rsidP="00815992">
      <w:pPr>
        <w:pStyle w:val="SangriaFrancesaArticulo"/>
      </w:pPr>
    </w:p>
    <w:p w:rsidR="00815992" w:rsidRDefault="00815992" w:rsidP="00815992">
      <w:pPr>
        <w:pStyle w:val="TextoNormalNegritaCursivandice"/>
      </w:pPr>
      <w:r>
        <w:t>Ley 9/1975, de 12 de marzo. Régimen especial para la promoción, producción y difusión de libros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Real Decreto 1346/1976, de 9 de abril. Texto refundido de la Ley del suelo y ordenación urbana</w:t>
      </w:r>
    </w:p>
    <w:p w:rsidR="00815992" w:rsidRDefault="00815992" w:rsidP="00815992">
      <w:pPr>
        <w:pStyle w:val="SangriaFrancesaArticulo"/>
      </w:pPr>
      <w:r w:rsidRPr="00815992">
        <w:rPr>
          <w:rStyle w:val="TextoNormalNegritaCaracter"/>
        </w:rPr>
        <w:t>Artículo 179.</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r w:rsidRPr="00815992">
        <w:rPr>
          <w:rStyle w:val="TextoNormalNegritaCaracter"/>
        </w:rPr>
        <w:t>Artículo 186.</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214.</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p>
    <w:p w:rsidR="00815992" w:rsidRDefault="00815992" w:rsidP="00815992">
      <w:pPr>
        <w:pStyle w:val="TextoNormalNegritaCursivandice"/>
      </w:pPr>
      <w:r>
        <w:t>Ley 6/1977, de 4 de enero. Fomento de la minería</w:t>
      </w:r>
    </w:p>
    <w:p w:rsidR="00815992" w:rsidRDefault="00815992" w:rsidP="00815992">
      <w:pPr>
        <w:pStyle w:val="SangriaFrancesaArticulo"/>
      </w:pPr>
      <w:r w:rsidRPr="00815992">
        <w:rPr>
          <w:rStyle w:val="TextoNormalNegritaCaracter"/>
        </w:rPr>
        <w:t>Artículo 20.1.</w:t>
      </w:r>
      <w:r w:rsidRPr="00815992">
        <w:rPr>
          <w:rStyle w:val="TextoNormalCaracter"/>
        </w:rPr>
        <w:t>-</w:t>
      </w:r>
      <w:r>
        <w:t xml:space="preserve"> Sentencia </w:t>
      </w:r>
      <w:hyperlink w:anchor="SENTENCIA_1992_13" w:history="1">
        <w:r w:rsidRPr="00815992">
          <w:rPr>
            <w:rStyle w:val="TextoNormalCaracter"/>
          </w:rPr>
          <w:t>13/1992</w:t>
        </w:r>
      </w:hyperlink>
      <w:r>
        <w:t>, f. 15.</w:t>
      </w:r>
    </w:p>
    <w:p w:rsidR="00815992" w:rsidRDefault="00815992" w:rsidP="00815992">
      <w:pPr>
        <w:pStyle w:val="SangriaFrancesaArticulo"/>
      </w:pPr>
    </w:p>
    <w:p w:rsidR="00815992" w:rsidRDefault="00815992" w:rsidP="00815992">
      <w:pPr>
        <w:pStyle w:val="TextoNormalNegritaCursivandice"/>
      </w:pPr>
      <w:r>
        <w:lastRenderedPageBreak/>
        <w:t>Ley 11/1977, de 4 de enero. General presupuestaria</w:t>
      </w:r>
    </w:p>
    <w:p w:rsidR="00815992" w:rsidRDefault="00815992" w:rsidP="00815992">
      <w:pPr>
        <w:pStyle w:val="SangriaFrancesaArticulo"/>
      </w:pPr>
      <w:r w:rsidRPr="00815992">
        <w:rPr>
          <w:rStyle w:val="TextoNormalNegritaCaracter"/>
        </w:rPr>
        <w:t>Título IX.</w:t>
      </w:r>
      <w:r w:rsidRPr="00815992">
        <w:rPr>
          <w:rStyle w:val="TextoNormalCaracter"/>
        </w:rPr>
        <w:t>-</w:t>
      </w:r>
      <w:r>
        <w:t xml:space="preserve"> Sentencia </w:t>
      </w:r>
      <w:hyperlink w:anchor="SENTENCIA_1992_13" w:history="1">
        <w:r w:rsidRPr="00815992">
          <w:rPr>
            <w:rStyle w:val="TextoNormalCaracter"/>
          </w:rPr>
          <w:t>13/1992</w:t>
        </w:r>
      </w:hyperlink>
      <w:r>
        <w:t>, f. 15.</w:t>
      </w:r>
    </w:p>
    <w:p w:rsidR="00815992" w:rsidRDefault="00815992" w:rsidP="00815992">
      <w:pPr>
        <w:pStyle w:val="SangriaFrancesaArticulo"/>
      </w:pPr>
    </w:p>
    <w:p w:rsidR="00815992" w:rsidRDefault="00815992" w:rsidP="00815992">
      <w:pPr>
        <w:pStyle w:val="TextoNormalNegritaCursivandice"/>
      </w:pPr>
      <w:r>
        <w:t>Ley 50/1977, de 14 de noviembre. Medidas urgentes de reforma fiscal</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Auto </w:t>
      </w:r>
      <w:hyperlink w:anchor="AUTO_1992_3" w:history="1">
        <w:r w:rsidRPr="00815992">
          <w:rPr>
            <w:rStyle w:val="TextoNormalCaracter"/>
          </w:rPr>
          <w:t>3/1992</w:t>
        </w:r>
      </w:hyperlink>
      <w:r>
        <w:t>.</w:t>
      </w:r>
    </w:p>
    <w:p w:rsidR="00815992" w:rsidRDefault="00815992" w:rsidP="00815992">
      <w:pPr>
        <w:pStyle w:val="SangriaFrancesaArticulo"/>
      </w:pPr>
      <w:r w:rsidRPr="00815992">
        <w:rPr>
          <w:rStyle w:val="TextoNormalNegritaCaracter"/>
        </w:rPr>
        <w:t>Artículo 6 c).</w:t>
      </w:r>
      <w:r w:rsidRPr="00815992">
        <w:rPr>
          <w:rStyle w:val="TextoNormalCaracter"/>
        </w:rPr>
        <w:t>-</w:t>
      </w:r>
      <w:r>
        <w:t xml:space="preserve"> Auto </w:t>
      </w:r>
      <w:hyperlink w:anchor="AUTO_1992_3" w:history="1">
        <w:r w:rsidRPr="00815992">
          <w:rPr>
            <w:rStyle w:val="TextoNormalCaracter"/>
          </w:rPr>
          <w:t>3/1992</w:t>
        </w:r>
      </w:hyperlink>
      <w:r>
        <w:t>.</w:t>
      </w:r>
    </w:p>
    <w:p w:rsidR="00815992" w:rsidRDefault="00815992" w:rsidP="00815992">
      <w:pPr>
        <w:pStyle w:val="SangriaFrancesaArticulo"/>
      </w:pPr>
    </w:p>
    <w:p w:rsidR="00815992" w:rsidRDefault="00815992" w:rsidP="00815992">
      <w:pPr>
        <w:pStyle w:val="TextoNormalNegritaCursivandice"/>
      </w:pPr>
      <w:r>
        <w:t>Orden del Ministerio de Hacienda, de 14 de enero de 1978. Regulación del Impuesto Extraordinario sobre el Patrimonio de las Personas Físicas</w:t>
      </w:r>
    </w:p>
    <w:p w:rsidR="00815992" w:rsidRDefault="00815992" w:rsidP="00815992">
      <w:pPr>
        <w:pStyle w:val="SangriaFrancesaArticulo"/>
      </w:pPr>
      <w:r w:rsidRPr="00815992">
        <w:rPr>
          <w:rStyle w:val="TextoNormalNegritaCaracter"/>
        </w:rPr>
        <w:t>Artículo 11.1 f).</w:t>
      </w:r>
      <w:r w:rsidRPr="00815992">
        <w:rPr>
          <w:rStyle w:val="TextoNormalCaracter"/>
        </w:rPr>
        <w:t>-</w:t>
      </w:r>
      <w:r>
        <w:t xml:space="preserve"> Auto </w:t>
      </w:r>
      <w:hyperlink w:anchor="AUTO_1992_3" w:history="1">
        <w:r w:rsidRPr="00815992">
          <w:rPr>
            <w:rStyle w:val="TextoNormalCaracter"/>
          </w:rPr>
          <w:t>3/1992</w:t>
        </w:r>
      </w:hyperlink>
      <w:r>
        <w:t>.</w:t>
      </w:r>
    </w:p>
    <w:p w:rsidR="00815992" w:rsidRDefault="00815992" w:rsidP="00815992">
      <w:pPr>
        <w:pStyle w:val="SangriaFrancesaArticulo"/>
      </w:pPr>
    </w:p>
    <w:p w:rsidR="00815992" w:rsidRDefault="00815992" w:rsidP="00815992">
      <w:pPr>
        <w:pStyle w:val="TextoNormalNegritaCursivandice"/>
      </w:pPr>
      <w:r>
        <w:t>Real Decreto 2114/1978, de 2 de marzo. Reglamento de Explosivos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p>
    <w:p w:rsidR="00815992" w:rsidRDefault="00815992" w:rsidP="00815992">
      <w:pPr>
        <w:pStyle w:val="TextoNormalNegritaCursivandice"/>
      </w:pPr>
      <w:r>
        <w:t>Ley 62/1978, de 26 de diciembre. Protección jurisdiccional de los derechos fundamentales de la persona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18" w:history="1">
        <w:r w:rsidRPr="00815992">
          <w:rPr>
            <w:rStyle w:val="TextoNormalCaracter"/>
          </w:rPr>
          <w:t>18/1992</w:t>
        </w:r>
      </w:hyperlink>
      <w:r>
        <w:t xml:space="preserve">, ff. 2, 3; </w:t>
      </w:r>
      <w:hyperlink w:anchor="SENTENCIA_1992_64" w:history="1">
        <w:r w:rsidRPr="00815992">
          <w:rPr>
            <w:rStyle w:val="TextoNormalCaracter"/>
          </w:rPr>
          <w:t>64/1992</w:t>
        </w:r>
      </w:hyperlink>
      <w:r>
        <w:t>, f. 2.</w:t>
      </w:r>
    </w:p>
    <w:p w:rsidR="00815992" w:rsidRDefault="00815992" w:rsidP="00815992">
      <w:pPr>
        <w:pStyle w:val="SangriaIzquierdaArticulo"/>
      </w:pPr>
      <w:r>
        <w:t xml:space="preserve">Autos </w:t>
      </w:r>
      <w:hyperlink w:anchor="AUTO_1992_2" w:history="1">
        <w:r w:rsidRPr="00815992">
          <w:rPr>
            <w:rStyle w:val="TextoNormalCaracter"/>
          </w:rPr>
          <w:t>2/1992</w:t>
        </w:r>
      </w:hyperlink>
      <w:r>
        <w:t xml:space="preserve">; </w:t>
      </w:r>
      <w:hyperlink w:anchor="AUTO_1992_52" w:history="1">
        <w:r w:rsidRPr="00815992">
          <w:rPr>
            <w:rStyle w:val="TextoNormalCaracter"/>
          </w:rPr>
          <w:t>52/1992</w:t>
        </w:r>
      </w:hyperlink>
      <w:r>
        <w:t>.</w:t>
      </w:r>
    </w:p>
    <w:p w:rsidR="00815992" w:rsidRDefault="00815992" w:rsidP="00815992">
      <w:pPr>
        <w:pStyle w:val="SangriaFrancesaArticulo"/>
      </w:pPr>
      <w:r w:rsidRPr="00815992">
        <w:rPr>
          <w:rStyle w:val="TextoNormalNegritaCaracter"/>
        </w:rPr>
        <w:t>Artículo 9.2.</w:t>
      </w:r>
      <w:r w:rsidRPr="00815992">
        <w:rPr>
          <w:rStyle w:val="TextoNormalCaracter"/>
        </w:rPr>
        <w:t>-</w:t>
      </w:r>
      <w:r>
        <w:t xml:space="preserve"> Sentencia </w:t>
      </w:r>
      <w:hyperlink w:anchor="SENTENCIA_1992_64" w:history="1">
        <w:r w:rsidRPr="00815992">
          <w:rPr>
            <w:rStyle w:val="TextoNormalCaracter"/>
          </w:rPr>
          <w:t>64/1992</w:t>
        </w:r>
      </w:hyperlink>
      <w:r>
        <w:t>, ff. 1, 4.</w:t>
      </w:r>
    </w:p>
    <w:p w:rsidR="00815992" w:rsidRDefault="00815992" w:rsidP="00815992">
      <w:pPr>
        <w:pStyle w:val="TextoNormal"/>
      </w:pPr>
    </w:p>
    <w:p w:rsidR="00815992" w:rsidRDefault="00815992" w:rsidP="00815992">
      <w:pPr>
        <w:pStyle w:val="SangriaFrancesaArticulo"/>
      </w:pPr>
      <w:bookmarkStart w:id="199" w:name="INDICE22851"/>
    </w:p>
    <w:bookmarkEnd w:id="199"/>
    <w:p w:rsidR="00815992" w:rsidRDefault="00815992" w:rsidP="00815992">
      <w:pPr>
        <w:pStyle w:val="TextoIndiceNivel2"/>
        <w:suppressAutoHyphens/>
      </w:pPr>
      <w:r>
        <w:t>J) Comunidades y Ciudades Autónomas</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J.1) Andalucía</w:t>
      </w:r>
    </w:p>
    <w:p w:rsidR="00815992" w:rsidRDefault="00815992" w:rsidP="00815992">
      <w:pPr>
        <w:pStyle w:val="TextoNormal"/>
      </w:pPr>
    </w:p>
    <w:p w:rsidR="00815992" w:rsidRDefault="00815992" w:rsidP="00815992">
      <w:pPr>
        <w:pStyle w:val="TextoNormalNegritaCentradoSubrayado"/>
        <w:suppressAutoHyphens/>
      </w:pPr>
      <w:r>
        <w:t>J.1.b)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del Parlamento de Andalucía 1/1986, de 2 de enero. Electoral de Andalucía</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SangriaFrancesaArticulo"/>
      </w:pPr>
      <w:r w:rsidRPr="00815992">
        <w:rPr>
          <w:rStyle w:val="TextoNormalNegritaCaracter"/>
        </w:rPr>
        <w:t>Artículo 4.1.</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J.2) Asturias</w:t>
      </w:r>
    </w:p>
    <w:p w:rsidR="00815992" w:rsidRDefault="00815992" w:rsidP="00815992">
      <w:pPr>
        <w:pStyle w:val="TextoNormal"/>
      </w:pPr>
    </w:p>
    <w:p w:rsidR="00815992" w:rsidRDefault="00815992" w:rsidP="00815992">
      <w:pPr>
        <w:pStyle w:val="TextoNormalNegritaCentradoSubrayado"/>
        <w:suppressAutoHyphens/>
      </w:pPr>
      <w:r>
        <w:t>J.2.a) Estatuto de Autonomía</w:t>
      </w:r>
    </w:p>
    <w:p w:rsidR="00815992" w:rsidRDefault="00815992" w:rsidP="00815992">
      <w:pPr>
        <w:pStyle w:val="TextoNormalNegritaCentradoSubrayado"/>
      </w:pPr>
    </w:p>
    <w:p w:rsidR="00815992" w:rsidRDefault="00815992" w:rsidP="00815992">
      <w:pPr>
        <w:pStyle w:val="TextoNormalNegritaCursivandice"/>
      </w:pPr>
      <w:r>
        <w:t>Ley Orgánica 7/1981, de 30 de diciembre. Estatuto de Autonomía de Asturias</w:t>
      </w:r>
    </w:p>
    <w:p w:rsidR="00815992" w:rsidRDefault="00815992" w:rsidP="00815992">
      <w:pPr>
        <w:pStyle w:val="SangriaFrancesaArticulo"/>
      </w:pPr>
      <w:r w:rsidRPr="00815992">
        <w:rPr>
          <w:rStyle w:val="TextoNormalNegritaCaracter"/>
        </w:rPr>
        <w:t>Artículo 11 e).</w:t>
      </w:r>
      <w:r w:rsidRPr="00815992">
        <w:rPr>
          <w:rStyle w:val="TextoNormalCaracter"/>
        </w:rPr>
        <w:t>-</w:t>
      </w:r>
      <w:r>
        <w:t xml:space="preserve"> Sentencia </w:t>
      </w:r>
      <w:hyperlink w:anchor="SENTENCIA_1992_37" w:history="1">
        <w:r w:rsidRPr="00815992">
          <w:rPr>
            <w:rStyle w:val="TextoNormalCaracter"/>
          </w:rPr>
          <w:t>37/1992</w:t>
        </w:r>
      </w:hyperlink>
      <w:r>
        <w:t>, f. 3.</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J.3) Baleares</w:t>
      </w:r>
    </w:p>
    <w:p w:rsidR="00815992" w:rsidRDefault="00815992" w:rsidP="00815992">
      <w:pPr>
        <w:pStyle w:val="TextoNormal"/>
      </w:pPr>
    </w:p>
    <w:p w:rsidR="00815992" w:rsidRDefault="00815992" w:rsidP="00815992">
      <w:pPr>
        <w:pStyle w:val="TextoNormalNegritaCentradoSubrayado"/>
        <w:suppressAutoHyphens/>
      </w:pPr>
      <w:r>
        <w:t>J.3.a) Estatuto de Autonomía</w:t>
      </w:r>
    </w:p>
    <w:p w:rsidR="00815992" w:rsidRDefault="00815992" w:rsidP="00815992">
      <w:pPr>
        <w:pStyle w:val="TextoNormalNegritaCentradoSubrayado"/>
      </w:pPr>
    </w:p>
    <w:p w:rsidR="00815992" w:rsidRDefault="00815992" w:rsidP="00815992">
      <w:pPr>
        <w:pStyle w:val="TextoNormalNegritaCursivandice"/>
      </w:pPr>
      <w:r>
        <w:lastRenderedPageBreak/>
        <w:t>Ley Orgánica 2/1983, de 25 de febrero. Estatuto de Autonomía de las Illes Balears</w:t>
      </w:r>
    </w:p>
    <w:p w:rsidR="00815992" w:rsidRDefault="00815992" w:rsidP="00815992">
      <w:pPr>
        <w:pStyle w:val="SangriaFrancesaArticulo"/>
      </w:pPr>
      <w:r w:rsidRPr="00815992">
        <w:rPr>
          <w:rStyle w:val="TextoNormalNegritaCaracter"/>
        </w:rPr>
        <w:t>Artículo 18.2.</w:t>
      </w:r>
      <w:r w:rsidRPr="00815992">
        <w:rPr>
          <w:rStyle w:val="TextoNormalCaracter"/>
        </w:rPr>
        <w:t>-</w:t>
      </w:r>
      <w:r>
        <w:t xml:space="preserve"> Sentencia </w:t>
      </w:r>
      <w:hyperlink w:anchor="SENTENCIA_1992_45" w:history="1">
        <w:r w:rsidRPr="00815992">
          <w:rPr>
            <w:rStyle w:val="TextoNormalCaracter"/>
          </w:rPr>
          <w:t>45/1992</w:t>
        </w:r>
      </w:hyperlink>
      <w:r>
        <w:t>, f. 3.</w:t>
      </w:r>
    </w:p>
    <w:p w:rsidR="00815992" w:rsidRDefault="00815992" w:rsidP="00815992">
      <w:pPr>
        <w:pStyle w:val="SangriaFrancesaArticulo"/>
      </w:pPr>
      <w:r w:rsidRPr="00815992">
        <w:rPr>
          <w:rStyle w:val="TextoNormalNegritaCaracter"/>
        </w:rPr>
        <w:t>Artículo 20.1.</w:t>
      </w:r>
      <w:r w:rsidRPr="00815992">
        <w:rPr>
          <w:rStyle w:val="TextoNormalCaracter"/>
        </w:rPr>
        <w:t>-</w:t>
      </w:r>
      <w:r>
        <w:t xml:space="preserve"> Sentencia </w:t>
      </w:r>
      <w:hyperlink w:anchor="SENTENCIA_1992_45" w:history="1">
        <w:r w:rsidRPr="00815992">
          <w:rPr>
            <w:rStyle w:val="TextoNormalCaracter"/>
          </w:rPr>
          <w:t>45/1992</w:t>
        </w:r>
      </w:hyperlink>
      <w:r>
        <w:t>, ff. 1, 2.</w:t>
      </w:r>
    </w:p>
    <w:p w:rsidR="00815992" w:rsidRDefault="00815992" w:rsidP="00815992">
      <w:pPr>
        <w:pStyle w:val="SangriaFrancesaArticulo"/>
      </w:pPr>
      <w:r w:rsidRPr="00815992">
        <w:rPr>
          <w:rStyle w:val="TextoNormalNegritaCaracter"/>
        </w:rPr>
        <w:t>Artículo 37.</w:t>
      </w:r>
      <w:r w:rsidRPr="00815992">
        <w:rPr>
          <w:rStyle w:val="TextoNormalCaracter"/>
        </w:rPr>
        <w:t>-</w:t>
      </w:r>
      <w:r>
        <w:t xml:space="preserve"> Sentencia </w:t>
      </w:r>
      <w:hyperlink w:anchor="SENTENCIA_1992_45" w:history="1">
        <w:r w:rsidRPr="00815992">
          <w:rPr>
            <w:rStyle w:val="TextoNormalCaracter"/>
          </w:rPr>
          <w:t>45/1992</w:t>
        </w:r>
      </w:hyperlink>
      <w:r>
        <w:t>, f. 3.</w:t>
      </w:r>
    </w:p>
    <w:p w:rsidR="00815992" w:rsidRDefault="00815992" w:rsidP="00815992">
      <w:pPr>
        <w:pStyle w:val="SangriaFrancesaArticulo"/>
      </w:pPr>
      <w:r w:rsidRPr="00815992">
        <w:rPr>
          <w:rStyle w:val="TextoNormalNegritaCaracter"/>
        </w:rPr>
        <w:t>Artículo 38.1.</w:t>
      </w:r>
      <w:r w:rsidRPr="00815992">
        <w:rPr>
          <w:rStyle w:val="TextoNormalCaracter"/>
        </w:rPr>
        <w:t>-</w:t>
      </w:r>
      <w:r>
        <w:t xml:space="preserve"> Sentencia </w:t>
      </w:r>
      <w:hyperlink w:anchor="SENTENCIA_1992_45" w:history="1">
        <w:r w:rsidRPr="00815992">
          <w:rPr>
            <w:rStyle w:val="TextoNormalCaracter"/>
          </w:rPr>
          <w:t>45/1992</w:t>
        </w:r>
      </w:hyperlink>
      <w:r>
        <w:t>, f. 3.</w:t>
      </w:r>
    </w:p>
    <w:p w:rsidR="00815992" w:rsidRDefault="00815992" w:rsidP="00815992">
      <w:pPr>
        <w:pStyle w:val="SangriaFrancesaArticulo"/>
      </w:pPr>
      <w:r w:rsidRPr="00815992">
        <w:rPr>
          <w:rStyle w:val="TextoNormalNegritaCaracter"/>
        </w:rPr>
        <w:t>Disposición transitoria segunda.</w:t>
      </w:r>
      <w:r w:rsidRPr="00815992">
        <w:rPr>
          <w:rStyle w:val="TextoNormalCaracter"/>
        </w:rPr>
        <w:t>-</w:t>
      </w:r>
      <w:r>
        <w:t xml:space="preserve"> Sentencia </w:t>
      </w:r>
      <w:hyperlink w:anchor="SENTENCIA_1992_45" w:history="1">
        <w:r w:rsidRPr="00815992">
          <w:rPr>
            <w:rStyle w:val="TextoNormalCaracter"/>
          </w:rPr>
          <w:t>45/1992</w:t>
        </w:r>
      </w:hyperlink>
      <w:r>
        <w:t>, f. 2.</w:t>
      </w:r>
    </w:p>
    <w:p w:rsidR="00815992" w:rsidRDefault="00815992" w:rsidP="00815992">
      <w:pPr>
        <w:pStyle w:val="TextoNormal"/>
      </w:pPr>
    </w:p>
    <w:p w:rsidR="00815992" w:rsidRDefault="00815992" w:rsidP="00815992">
      <w:pPr>
        <w:pStyle w:val="TextoNormalNegritaCentradoSubrayado"/>
        <w:suppressAutoHyphens/>
      </w:pPr>
      <w:r>
        <w:t>J.3.b)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del Parlamento de las Illes Balears 8/1986, de 26 de noviembre. Electoral de la Comunidad Autónoma</w:t>
      </w:r>
    </w:p>
    <w:p w:rsidR="00815992" w:rsidRDefault="00815992" w:rsidP="00815992">
      <w:pPr>
        <w:pStyle w:val="SangriaFrancesaArticulo"/>
      </w:pPr>
      <w:r w:rsidRPr="00815992">
        <w:rPr>
          <w:rStyle w:val="TextoNormalNegritaCaracter"/>
        </w:rPr>
        <w:t>Artículo 12.2.</w:t>
      </w:r>
      <w:r w:rsidRPr="00815992">
        <w:rPr>
          <w:rStyle w:val="TextoNormalCaracter"/>
        </w:rPr>
        <w:t>-</w:t>
      </w:r>
      <w:r>
        <w:t xml:space="preserve"> Sentencia </w:t>
      </w:r>
      <w:hyperlink w:anchor="SENTENCIA_1992_45" w:history="1">
        <w:r w:rsidRPr="00815992">
          <w:rPr>
            <w:rStyle w:val="TextoNormalCaracter"/>
          </w:rPr>
          <w:t>45/1992</w:t>
        </w:r>
      </w:hyperlink>
      <w:r>
        <w:t>, f. 1.</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J.4) Cantabria</w:t>
      </w:r>
    </w:p>
    <w:p w:rsidR="00815992" w:rsidRDefault="00815992" w:rsidP="00815992">
      <w:pPr>
        <w:pStyle w:val="TextoNormal"/>
      </w:pPr>
    </w:p>
    <w:p w:rsidR="00815992" w:rsidRDefault="00815992" w:rsidP="00815992">
      <w:pPr>
        <w:pStyle w:val="TextoNormalNegritaCentradoSubrayado"/>
        <w:suppressAutoHyphens/>
      </w:pPr>
      <w:r>
        <w:t>J.4.a) Estatuto de Autonomía</w:t>
      </w:r>
    </w:p>
    <w:p w:rsidR="00815992" w:rsidRDefault="00815992" w:rsidP="00815992">
      <w:pPr>
        <w:pStyle w:val="TextoNormalNegritaCentradoSubrayado"/>
      </w:pPr>
    </w:p>
    <w:p w:rsidR="00815992" w:rsidRDefault="00815992" w:rsidP="00815992">
      <w:pPr>
        <w:pStyle w:val="TextoNormalNegritaCursivandice"/>
      </w:pPr>
      <w:r>
        <w:t>Ley Orgánica 8/1981, de 30 de diciembre. Estatuto de Autonomía de Cantabria</w:t>
      </w:r>
    </w:p>
    <w:p w:rsidR="00815992" w:rsidRDefault="00815992" w:rsidP="00815992">
      <w:pPr>
        <w:pStyle w:val="SangriaFrancesaArticulo"/>
      </w:pPr>
      <w:r w:rsidRPr="00815992">
        <w:rPr>
          <w:rStyle w:val="TextoNormalNegritaCaracter"/>
        </w:rPr>
        <w:t>Artículo 39.</w:t>
      </w:r>
      <w:r w:rsidRPr="00815992">
        <w:rPr>
          <w:rStyle w:val="TextoNormalCaracter"/>
        </w:rPr>
        <w:t>-</w:t>
      </w:r>
      <w:r>
        <w:t xml:space="preserve"> Sentencia </w:t>
      </w:r>
      <w:hyperlink w:anchor="SENTENCIA_1992_7" w:history="1">
        <w:r w:rsidRPr="00815992">
          <w:rPr>
            <w:rStyle w:val="TextoNormalCaracter"/>
          </w:rPr>
          <w:t>7/1992</w:t>
        </w:r>
      </w:hyperlink>
      <w:r>
        <w:t>, f. 1.</w:t>
      </w:r>
    </w:p>
    <w:p w:rsidR="00815992" w:rsidRDefault="00815992" w:rsidP="00815992">
      <w:pPr>
        <w:pStyle w:val="TextoNormal"/>
      </w:pPr>
    </w:p>
    <w:p w:rsidR="00815992" w:rsidRDefault="00815992" w:rsidP="00815992">
      <w:pPr>
        <w:pStyle w:val="TextoNormalNegritaCentradoSubrayado"/>
        <w:suppressAutoHyphens/>
      </w:pPr>
      <w:r>
        <w:t>J.4.b)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 la Asamblea Regional de Cantabria 5/1987, de 27 de marzo. Elecciones  a la Asamblea Regional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TextoNormal"/>
      </w:pPr>
    </w:p>
    <w:p w:rsidR="00815992" w:rsidRDefault="00815992" w:rsidP="00815992">
      <w:pPr>
        <w:pStyle w:val="TextoNormalNegritaCentradoSubrayado"/>
        <w:suppressAutoHyphens/>
      </w:pPr>
      <w:r>
        <w:t>J.4.d) Normas parlamentarias autonómicas</w:t>
      </w:r>
    </w:p>
    <w:p w:rsidR="00815992" w:rsidRDefault="00815992" w:rsidP="00815992">
      <w:pPr>
        <w:pStyle w:val="TextoNormalNegritaCentradoSubrayado"/>
      </w:pPr>
    </w:p>
    <w:p w:rsidR="00815992" w:rsidRDefault="00815992" w:rsidP="00815992">
      <w:pPr>
        <w:pStyle w:val="TextoNormalNegritaCursivandice"/>
      </w:pPr>
      <w:r>
        <w:t>Reglamento de la Asamblea Regional de Cantabria, de 2 de abril de 1984</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7" w:history="1">
        <w:r w:rsidRPr="00815992">
          <w:rPr>
            <w:rStyle w:val="TextoNormalCaracter"/>
          </w:rPr>
          <w:t>7/1992</w:t>
        </w:r>
      </w:hyperlink>
      <w:r>
        <w:t xml:space="preserve">, f. 3; </w:t>
      </w:r>
      <w:hyperlink w:anchor="SENTENCIA_1992_15" w:history="1">
        <w:r w:rsidRPr="00815992">
          <w:rPr>
            <w:rStyle w:val="TextoNormalCaracter"/>
          </w:rPr>
          <w:t>15/1992</w:t>
        </w:r>
      </w:hyperlink>
      <w:r>
        <w:t>, f. 4.</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19.</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19.1.</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19.2.</w:t>
      </w:r>
      <w:r w:rsidRPr="00815992">
        <w:rPr>
          <w:rStyle w:val="TextoNormalCaracter"/>
        </w:rPr>
        <w:t>-</w:t>
      </w:r>
      <w:r>
        <w:t xml:space="preserve"> Sentencia </w:t>
      </w:r>
      <w:hyperlink w:anchor="SENTENCIA_1992_7" w:history="1">
        <w:r w:rsidRPr="00815992">
          <w:rPr>
            <w:rStyle w:val="TextoNormalCaracter"/>
          </w:rPr>
          <w:t>7/1992</w:t>
        </w:r>
      </w:hyperlink>
      <w:r>
        <w:t>, ff. 2, 3.</w:t>
      </w:r>
    </w:p>
    <w:p w:rsidR="00815992" w:rsidRDefault="00815992" w:rsidP="00815992">
      <w:pPr>
        <w:pStyle w:val="SangriaFrancesaArticulo"/>
      </w:pPr>
      <w:r w:rsidRPr="00815992">
        <w:rPr>
          <w:rStyle w:val="TextoNormalNegritaCaracter"/>
        </w:rPr>
        <w:t>Artículo 19.3.</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20.</w:t>
      </w:r>
      <w:r w:rsidRPr="00815992">
        <w:rPr>
          <w:rStyle w:val="TextoNormalCaracter"/>
        </w:rPr>
        <w:t>-</w:t>
      </w:r>
      <w:r>
        <w:t xml:space="preserve"> Sentencia </w:t>
      </w:r>
      <w:hyperlink w:anchor="SENTENCIA_1992_7" w:history="1">
        <w:r w:rsidRPr="00815992">
          <w:rPr>
            <w:rStyle w:val="TextoNormalCaracter"/>
          </w:rPr>
          <w:t>7/1992</w:t>
        </w:r>
      </w:hyperlink>
      <w:r>
        <w:t>, f. 2.</w:t>
      </w:r>
    </w:p>
    <w:p w:rsidR="00815992" w:rsidRDefault="00815992" w:rsidP="00815992">
      <w:pPr>
        <w:pStyle w:val="SangriaFrancesaArticulo"/>
      </w:pPr>
      <w:r w:rsidRPr="00815992">
        <w:rPr>
          <w:rStyle w:val="TextoNormalNegritaCaracter"/>
        </w:rPr>
        <w:t>Artículo 20.1.</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SangriaFrancesaArticulo"/>
      </w:pPr>
      <w:r w:rsidRPr="00815992">
        <w:rPr>
          <w:rStyle w:val="TextoNormalNegritaCaracter"/>
        </w:rPr>
        <w:t>Artículo 21.1.</w:t>
      </w:r>
      <w:r w:rsidRPr="00815992">
        <w:rPr>
          <w:rStyle w:val="TextoNormalCaracter"/>
        </w:rPr>
        <w:t>-</w:t>
      </w:r>
      <w:r>
        <w:t xml:space="preserve"> Sentencia </w:t>
      </w:r>
      <w:hyperlink w:anchor="SENTENCIA_1992_15" w:history="1">
        <w:r w:rsidRPr="00815992">
          <w:rPr>
            <w:rStyle w:val="TextoNormalCaracter"/>
          </w:rPr>
          <w:t>15/1992</w:t>
        </w:r>
      </w:hyperlink>
      <w:r>
        <w:t>, f. 4.</w:t>
      </w:r>
    </w:p>
    <w:p w:rsidR="00815992" w:rsidRDefault="00815992" w:rsidP="00815992">
      <w:pPr>
        <w:pStyle w:val="SangriaFrancesaArticulo"/>
      </w:pPr>
      <w:r w:rsidRPr="00815992">
        <w:rPr>
          <w:rStyle w:val="TextoNormalNegritaCaracter"/>
        </w:rPr>
        <w:t>Artículo 26.1.</w:t>
      </w:r>
      <w:r w:rsidRPr="00815992">
        <w:rPr>
          <w:rStyle w:val="TextoNormalCaracter"/>
        </w:rPr>
        <w:t>-</w:t>
      </w:r>
      <w:r>
        <w:t xml:space="preserve"> Sentencia </w:t>
      </w:r>
      <w:hyperlink w:anchor="SENTENCIA_1992_15" w:history="1">
        <w:r w:rsidRPr="00815992">
          <w:rPr>
            <w:rStyle w:val="TextoNormalCaracter"/>
          </w:rPr>
          <w:t>15/1992</w:t>
        </w:r>
      </w:hyperlink>
      <w:r>
        <w:t>, f. 4.</w:t>
      </w:r>
    </w:p>
    <w:p w:rsidR="00815992" w:rsidRDefault="00815992" w:rsidP="00815992">
      <w:pPr>
        <w:pStyle w:val="SangriaFrancesaArticulo"/>
      </w:pPr>
      <w:r w:rsidRPr="00815992">
        <w:rPr>
          <w:rStyle w:val="TextoNormalNegritaCaracter"/>
        </w:rPr>
        <w:t>Artículo 27.</w:t>
      </w:r>
      <w:r w:rsidRPr="00815992">
        <w:rPr>
          <w:rStyle w:val="TextoNormalCaracter"/>
        </w:rPr>
        <w:t>-</w:t>
      </w:r>
      <w:r>
        <w:t xml:space="preserve"> Sentencia </w:t>
      </w:r>
      <w:hyperlink w:anchor="SENTENCIA_1992_15" w:history="1">
        <w:r w:rsidRPr="00815992">
          <w:rPr>
            <w:rStyle w:val="TextoNormalCaracter"/>
          </w:rPr>
          <w:t>15/1992</w:t>
        </w:r>
      </w:hyperlink>
      <w:r>
        <w:t>, f. 4.</w:t>
      </w:r>
    </w:p>
    <w:p w:rsidR="00815992" w:rsidRDefault="00815992" w:rsidP="00815992">
      <w:pPr>
        <w:pStyle w:val="SangriaFrancesaArticulo"/>
      </w:pPr>
      <w:r w:rsidRPr="00815992">
        <w:rPr>
          <w:rStyle w:val="TextoNormalNegritaCaracter"/>
        </w:rPr>
        <w:t>Artículo 46.</w:t>
      </w:r>
      <w:r w:rsidRPr="00815992">
        <w:rPr>
          <w:rStyle w:val="TextoNormalCaracter"/>
        </w:rPr>
        <w:t>-</w:t>
      </w:r>
      <w:r>
        <w:t xml:space="preserve"> Sentencia </w:t>
      </w:r>
      <w:hyperlink w:anchor="SENTENCIA_1992_7" w:history="1">
        <w:r w:rsidRPr="00815992">
          <w:rPr>
            <w:rStyle w:val="TextoNormalCaracter"/>
          </w:rPr>
          <w:t>7/1992</w:t>
        </w:r>
      </w:hyperlink>
      <w:r>
        <w:t>, f. 3.</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lastRenderedPageBreak/>
        <w:t>J.5) Cataluña</w:t>
      </w:r>
    </w:p>
    <w:p w:rsidR="00815992" w:rsidRDefault="00815992" w:rsidP="00815992">
      <w:pPr>
        <w:pStyle w:val="TextoNormal"/>
      </w:pPr>
    </w:p>
    <w:p w:rsidR="00815992" w:rsidRDefault="00815992" w:rsidP="00815992">
      <w:pPr>
        <w:pStyle w:val="TextoNormalNegritaCentradoSubrayado"/>
        <w:suppressAutoHyphens/>
      </w:pPr>
      <w:r>
        <w:t>J.5.a) Estatuto de Autonomía</w:t>
      </w:r>
    </w:p>
    <w:p w:rsidR="00815992" w:rsidRDefault="00815992" w:rsidP="00815992">
      <w:pPr>
        <w:pStyle w:val="TextoNormalNegritaCentradoSubrayado"/>
      </w:pPr>
    </w:p>
    <w:p w:rsidR="00815992" w:rsidRDefault="00815992" w:rsidP="00815992">
      <w:pPr>
        <w:pStyle w:val="TextoNormalNegritaCursivandice"/>
      </w:pPr>
      <w:r>
        <w:t>Ley Orgánica 4/1979, de 18 de diciembre. Estatuto de Autonomía de Cataluña</w:t>
      </w:r>
    </w:p>
    <w:p w:rsidR="00815992" w:rsidRDefault="00815992" w:rsidP="00815992">
      <w:pPr>
        <w:pStyle w:val="SangriaFrancesaArticulo"/>
      </w:pPr>
      <w:r w:rsidRPr="00815992">
        <w:rPr>
          <w:rStyle w:val="TextoNormalNegritaCaracter"/>
        </w:rPr>
        <w:t>Artículo 6.1.</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SangriaFrancesaArticulo"/>
      </w:pPr>
      <w:r w:rsidRPr="00815992">
        <w:rPr>
          <w:rStyle w:val="TextoNormalNegritaCaracter"/>
        </w:rPr>
        <w:t>Artículo 9.4.</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9.5.</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9.6.</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9.17.</w:t>
      </w:r>
      <w:r w:rsidRPr="00815992">
        <w:rPr>
          <w:rStyle w:val="TextoNormalCaracter"/>
        </w:rPr>
        <w:t>-</w:t>
      </w:r>
      <w:r>
        <w:t xml:space="preserve"> Sentencia </w:t>
      </w:r>
      <w:hyperlink w:anchor="SENTENCIA_1992_44" w:history="1">
        <w:r w:rsidRPr="00815992">
          <w:rPr>
            <w:rStyle w:val="TextoNormalCaracter"/>
          </w:rPr>
          <w:t>44/1992</w:t>
        </w:r>
      </w:hyperlink>
      <w:r>
        <w:t>, ff. 2, 3.</w:t>
      </w:r>
    </w:p>
    <w:p w:rsidR="00815992" w:rsidRDefault="00815992" w:rsidP="00815992">
      <w:pPr>
        <w:pStyle w:val="SangriaFrancesaArticulo"/>
      </w:pPr>
      <w:r w:rsidRPr="00815992">
        <w:rPr>
          <w:rStyle w:val="TextoNormalNegritaCaracter"/>
        </w:rPr>
        <w:t>Artículo 9.18.</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9.21.</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35" w:history="1">
        <w:r w:rsidRPr="00815992">
          <w:rPr>
            <w:rStyle w:val="TextoNormalCaracter"/>
          </w:rPr>
          <w:t>35/1992</w:t>
        </w:r>
      </w:hyperlink>
      <w:r>
        <w:t>, ff. 2, 12.</w:t>
      </w:r>
    </w:p>
    <w:p w:rsidR="00815992" w:rsidRDefault="00815992" w:rsidP="00815992">
      <w:pPr>
        <w:pStyle w:val="SangriaFrancesaArticulo"/>
      </w:pPr>
      <w:r w:rsidRPr="00815992">
        <w:rPr>
          <w:rStyle w:val="TextoNormalNegritaCaracter"/>
        </w:rPr>
        <w:t>Artículo 9.25.</w:t>
      </w:r>
      <w:r w:rsidRPr="00815992">
        <w:rPr>
          <w:rStyle w:val="TextoNormalCaracter"/>
        </w:rPr>
        <w:t>-</w:t>
      </w:r>
      <w:r>
        <w:t xml:space="preserve"> Sentencia </w:t>
      </w:r>
      <w:hyperlink w:anchor="SENTENCIA_1992_13" w:history="1">
        <w:r w:rsidRPr="00815992">
          <w:rPr>
            <w:rStyle w:val="TextoNormalCaracter"/>
          </w:rPr>
          <w:t>13/1992</w:t>
        </w:r>
      </w:hyperlink>
      <w:r>
        <w:t>, f. 14.</w:t>
      </w:r>
    </w:p>
    <w:p w:rsidR="00815992" w:rsidRDefault="00815992" w:rsidP="00815992">
      <w:pPr>
        <w:pStyle w:val="SangriaFrancesaArticulo"/>
      </w:pPr>
      <w:r w:rsidRPr="00815992">
        <w:rPr>
          <w:rStyle w:val="TextoNormalNegritaCaracter"/>
        </w:rPr>
        <w:t>Artículo 9.26.</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9.31.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10.1.4.</w:t>
      </w:r>
      <w:r w:rsidRPr="00815992">
        <w:rPr>
          <w:rStyle w:val="TextoNormalCaracter"/>
        </w:rPr>
        <w:t>-</w:t>
      </w:r>
      <w:r>
        <w:t xml:space="preserve"> Sentencia </w:t>
      </w:r>
      <w:hyperlink w:anchor="SENTENCIA_1992_35" w:history="1">
        <w:r w:rsidRPr="00815992">
          <w:rPr>
            <w:rStyle w:val="TextoNormalCaracter"/>
          </w:rPr>
          <w:t>35/1992</w:t>
        </w:r>
      </w:hyperlink>
      <w:r>
        <w:t>, f. 2.</w:t>
      </w:r>
    </w:p>
    <w:p w:rsidR="00815992" w:rsidRDefault="00815992" w:rsidP="00815992">
      <w:pPr>
        <w:pStyle w:val="SangriaFrancesaArticulo"/>
      </w:pPr>
      <w:r w:rsidRPr="00815992">
        <w:rPr>
          <w:rStyle w:val="TextoNormalNegritaCaracter"/>
        </w:rPr>
        <w:t>Artículo 10.1.5.</w:t>
      </w:r>
      <w:r w:rsidRPr="00815992">
        <w:rPr>
          <w:rStyle w:val="TextoNormalCaracter"/>
        </w:rPr>
        <w:t>-</w:t>
      </w:r>
      <w:r>
        <w:t xml:space="preserve"> Sentencia </w:t>
      </w:r>
      <w:hyperlink w:anchor="SENTENCIA_1992_13" w:history="1">
        <w:r w:rsidRPr="00815992">
          <w:rPr>
            <w:rStyle w:val="TextoNormalCaracter"/>
          </w:rPr>
          <w:t>13/1992</w:t>
        </w:r>
      </w:hyperlink>
      <w:r>
        <w:t>, ff. 13, 15.</w:t>
      </w:r>
    </w:p>
    <w:p w:rsidR="00815992" w:rsidRDefault="00815992" w:rsidP="00815992">
      <w:pPr>
        <w:pStyle w:val="SangriaFrancesaArticulo"/>
      </w:pPr>
      <w:r w:rsidRPr="00815992">
        <w:rPr>
          <w:rStyle w:val="TextoNormalNegritaCaracter"/>
        </w:rPr>
        <w:t>Artículo 10.1.7.</w:t>
      </w:r>
      <w:r w:rsidRPr="00815992">
        <w:rPr>
          <w:rStyle w:val="TextoNormalCaracter"/>
        </w:rPr>
        <w:t>-</w:t>
      </w:r>
      <w:r>
        <w:t xml:space="preserve"> Sentencias </w:t>
      </w:r>
      <w:hyperlink w:anchor="SENTENCIA_1992_13" w:history="1">
        <w:r w:rsidRPr="00815992">
          <w:rPr>
            <w:rStyle w:val="TextoNormalCaracter"/>
          </w:rPr>
          <w:t>13/1992</w:t>
        </w:r>
      </w:hyperlink>
      <w:r>
        <w:t xml:space="preserve">, f. 13; </w:t>
      </w:r>
      <w:hyperlink w:anchor="SENTENCIA_1992_44" w:history="1">
        <w:r w:rsidRPr="00815992">
          <w:rPr>
            <w:rStyle w:val="TextoNormalCaracter"/>
          </w:rPr>
          <w:t>44/1992</w:t>
        </w:r>
      </w:hyperlink>
      <w:r>
        <w:t xml:space="preserve">, ff. 1 a 3; </w:t>
      </w:r>
      <w:hyperlink w:anchor="SENTENCIA_1992_57" w:history="1">
        <w:r w:rsidRPr="00815992">
          <w:rPr>
            <w:rStyle w:val="TextoNormalCaracter"/>
          </w:rPr>
          <w:t>57/1992</w:t>
        </w:r>
      </w:hyperlink>
      <w:r>
        <w:t>, f. 1.</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11.7.</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12.1.2.</w:t>
      </w:r>
      <w:r w:rsidRPr="00815992">
        <w:rPr>
          <w:rStyle w:val="TextoNormalCaracter"/>
        </w:rPr>
        <w:t>-</w:t>
      </w:r>
      <w:r>
        <w:t xml:space="preserve"> Sentencia </w:t>
      </w:r>
      <w:hyperlink w:anchor="SENTENCIA_1992_13" w:history="1">
        <w:r w:rsidRPr="00815992">
          <w:rPr>
            <w:rStyle w:val="TextoNormalCaracter"/>
          </w:rPr>
          <w:t>13/1992</w:t>
        </w:r>
      </w:hyperlink>
      <w:r>
        <w:t>, ff. 13, 15.</w:t>
      </w:r>
    </w:p>
    <w:p w:rsidR="00815992" w:rsidRDefault="00815992" w:rsidP="00815992">
      <w:pPr>
        <w:pStyle w:val="SangriaFrancesaArticulo"/>
      </w:pPr>
      <w:r w:rsidRPr="00815992">
        <w:rPr>
          <w:rStyle w:val="TextoNormalNegritaCaracter"/>
        </w:rPr>
        <w:t>Artículo 12.1.3.</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12.2.</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15.</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Sentencia </w:t>
      </w:r>
      <w:hyperlink w:anchor="SENTENCIA_1992_13" w:history="1">
        <w:r w:rsidRPr="00815992">
          <w:rPr>
            <w:rStyle w:val="TextoNormalCaracter"/>
          </w:rPr>
          <w:t>13/1992</w:t>
        </w:r>
      </w:hyperlink>
      <w:r>
        <w:t>, ff. 12, 13.</w:t>
      </w:r>
    </w:p>
    <w:p w:rsidR="00815992" w:rsidRDefault="00815992" w:rsidP="00815992">
      <w:pPr>
        <w:pStyle w:val="SangriaFrancesaArticulo"/>
      </w:pPr>
      <w:r w:rsidRPr="00815992">
        <w:rPr>
          <w:rStyle w:val="TextoNormalNegritaCaracter"/>
        </w:rPr>
        <w:t>Artículo 17.1.</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TextoNormal"/>
      </w:pPr>
    </w:p>
    <w:p w:rsidR="00815992" w:rsidRDefault="00815992" w:rsidP="00815992">
      <w:pPr>
        <w:pStyle w:val="TextoNormalNegritaCentradoSubrayado"/>
        <w:suppressAutoHyphens/>
      </w:pPr>
      <w:r>
        <w:t>J.5.b)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del Parlamento de Cataluña 5/1984, de 5 de marzo. Normativa para elecciones al Parlamento de Cataluña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SangriaFrancesaArticulo"/>
      </w:pPr>
    </w:p>
    <w:p w:rsidR="00815992" w:rsidRDefault="00815992" w:rsidP="00815992">
      <w:pPr>
        <w:pStyle w:val="TextoNormalNegritaCursivandice"/>
      </w:pPr>
      <w:r>
        <w:t>Ley del Parlamento de Cataluña 1/1986, de 25 de febrero. Regularización de la pesca marítima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Sentencias </w:t>
      </w:r>
      <w:hyperlink w:anchor="SENTENCIA_1992_44" w:history="1">
        <w:r w:rsidRPr="00815992">
          <w:rPr>
            <w:rStyle w:val="TextoNormalCaracter"/>
          </w:rPr>
          <w:t>44/1992</w:t>
        </w:r>
      </w:hyperlink>
      <w:r>
        <w:t xml:space="preserve">, ff. 1 a 3; </w:t>
      </w:r>
      <w:hyperlink w:anchor="SENTENCIA_1992_57" w:history="1">
        <w:r w:rsidRPr="00815992">
          <w:rPr>
            <w:rStyle w:val="TextoNormalCaracter"/>
          </w:rPr>
          <w:t>57/1992</w:t>
        </w:r>
      </w:hyperlink>
      <w:r>
        <w:t>, f. 1.</w:t>
      </w:r>
    </w:p>
    <w:p w:rsidR="00815992" w:rsidRDefault="00815992" w:rsidP="00815992">
      <w:pPr>
        <w:pStyle w:val="SangriaFrancesaArticulo"/>
      </w:pPr>
      <w:r w:rsidRPr="00815992">
        <w:rPr>
          <w:rStyle w:val="TextoNormalNegritaCaracter"/>
        </w:rPr>
        <w:t>Título II, capítulo II.</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Exposición de motivos.</w:t>
      </w:r>
      <w:r w:rsidRPr="00815992">
        <w:rPr>
          <w:rStyle w:val="TextoNormalCaracter"/>
        </w:rPr>
        <w:t>-</w:t>
      </w:r>
      <w:r>
        <w:t xml:space="preserve"> Sentencia </w:t>
      </w:r>
      <w:hyperlink w:anchor="SENTENCIA_1992_44" w:history="1">
        <w:r w:rsidRPr="00815992">
          <w:rPr>
            <w:rStyle w:val="TextoNormalCaracter"/>
          </w:rPr>
          <w:t>44/1992</w:t>
        </w:r>
      </w:hyperlink>
      <w:r>
        <w:t>, f. 2.</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a).</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b).</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c).</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2.</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3.</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lastRenderedPageBreak/>
        <w:t>Artículo 3 d) 4.</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5.</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6.</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7.</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3 d) 8.</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4.1.</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9.2.</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Sentencias </w:t>
      </w:r>
      <w:hyperlink w:anchor="SENTENCIA_1992_44" w:history="1">
        <w:r w:rsidRPr="00815992">
          <w:rPr>
            <w:rStyle w:val="TextoNormalCaracter"/>
          </w:rPr>
          <w:t>44/1992</w:t>
        </w:r>
      </w:hyperlink>
      <w:r>
        <w:t xml:space="preserve">, f. 3; </w:t>
      </w:r>
      <w:hyperlink w:anchor="SENTENCIA_1992_57" w:history="1">
        <w:r w:rsidRPr="00815992">
          <w:rPr>
            <w:rStyle w:val="TextoNormalCaracter"/>
          </w:rPr>
          <w:t>57/1992</w:t>
        </w:r>
      </w:hyperlink>
      <w:r>
        <w:t>, f. 2.</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a).</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b).</w:t>
      </w:r>
      <w:r w:rsidRPr="00815992">
        <w:rPr>
          <w:rStyle w:val="TextoNormalCaracter"/>
        </w:rPr>
        <w:t>-</w:t>
      </w:r>
      <w:r>
        <w:t xml:space="preserve"> Sentencias </w:t>
      </w:r>
      <w:hyperlink w:anchor="SENTENCIA_1992_44" w:history="1">
        <w:r w:rsidRPr="00815992">
          <w:rPr>
            <w:rStyle w:val="TextoNormalCaracter"/>
          </w:rPr>
          <w:t>44/1992</w:t>
        </w:r>
      </w:hyperlink>
      <w:r>
        <w:t xml:space="preserve">, f. 3; </w:t>
      </w:r>
      <w:hyperlink w:anchor="SENTENCIA_1992_68" w:history="1">
        <w:r w:rsidRPr="00815992">
          <w:rPr>
            <w:rStyle w:val="TextoNormalCaracter"/>
          </w:rPr>
          <w:t>68/1992</w:t>
        </w:r>
      </w:hyperlink>
      <w:r>
        <w:t>, VP.</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c).</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d).</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IzquierdaArticulo"/>
      </w:pPr>
      <w:r>
        <w:t xml:space="preserve">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e).</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f).</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10 g).</w:t>
      </w:r>
      <w:r w:rsidRPr="00815992">
        <w:rPr>
          <w:rStyle w:val="TextoNormalCaracter"/>
        </w:rPr>
        <w:t>-</w:t>
      </w:r>
      <w:r>
        <w:t xml:space="preserve"> Auto </w:t>
      </w:r>
      <w:hyperlink w:anchor="AUTO_1992_98" w:history="1">
        <w:r w:rsidRPr="00815992">
          <w:rPr>
            <w:rStyle w:val="TextoNormalCaracter"/>
          </w:rPr>
          <w:t>98/1992</w:t>
        </w:r>
      </w:hyperlink>
      <w:r>
        <w:t>.</w:t>
      </w:r>
    </w:p>
    <w:p w:rsidR="00815992" w:rsidRDefault="00815992" w:rsidP="00815992">
      <w:pPr>
        <w:pStyle w:val="SangriaFrancesaArticulo"/>
      </w:pPr>
      <w:r w:rsidRPr="00815992">
        <w:rPr>
          <w:rStyle w:val="TextoNormalNegritaCaracter"/>
        </w:rPr>
        <w:t>Artículo 11.</w:t>
      </w:r>
      <w:r w:rsidRPr="00815992">
        <w:rPr>
          <w:rStyle w:val="TextoNormalCaracter"/>
        </w:rPr>
        <w:t>-</w:t>
      </w:r>
      <w:r>
        <w:t xml:space="preserve"> Sentencia </w:t>
      </w:r>
      <w:hyperlink w:anchor="SENTENCIA_1992_57" w:history="1">
        <w:r w:rsidRPr="00815992">
          <w:rPr>
            <w:rStyle w:val="TextoNormalCaracter"/>
          </w:rPr>
          <w:t>57/1992</w:t>
        </w:r>
      </w:hyperlink>
      <w:r>
        <w:t>, f. 2.</w:t>
      </w:r>
    </w:p>
    <w:p w:rsidR="00815992" w:rsidRDefault="00815992" w:rsidP="00815992">
      <w:pPr>
        <w:pStyle w:val="SangriaFrancesaArticulo"/>
      </w:pPr>
      <w:r w:rsidRPr="00815992">
        <w:rPr>
          <w:rStyle w:val="TextoNormalNegritaCaracter"/>
        </w:rPr>
        <w:t>Artículo 11.1.</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11.2.</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11.3.</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r w:rsidRPr="00815992">
        <w:rPr>
          <w:rStyle w:val="TextoNormalNegritaCaracter"/>
        </w:rPr>
        <w:t>Artículo 23.</w:t>
      </w:r>
      <w:r w:rsidRPr="00815992">
        <w:rPr>
          <w:rStyle w:val="TextoNormalCaracter"/>
        </w:rPr>
        <w:t>-</w:t>
      </w:r>
      <w:r>
        <w:t xml:space="preserve"> Sentencia </w:t>
      </w:r>
      <w:hyperlink w:anchor="SENTENCIA_1992_44" w:history="1">
        <w:r w:rsidRPr="00815992">
          <w:rPr>
            <w:rStyle w:val="TextoNormalCaracter"/>
          </w:rPr>
          <w:t>44/1992</w:t>
        </w:r>
      </w:hyperlink>
      <w:r>
        <w:t>, f. 3.</w:t>
      </w:r>
    </w:p>
    <w:p w:rsidR="00815992" w:rsidRDefault="00815992" w:rsidP="00815992">
      <w:pPr>
        <w:pStyle w:val="SangriaFrancesaArticulo"/>
      </w:pPr>
    </w:p>
    <w:p w:rsidR="00815992" w:rsidRDefault="00815992" w:rsidP="00815992">
      <w:pPr>
        <w:pStyle w:val="TextoNormalNegritaCursivandice"/>
      </w:pPr>
      <w:r>
        <w:t>Ley del Parlamento de Cataluña 7/1991, de 27 de abril. Filiaciones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2.2.</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3.1.</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6.</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9.</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15.</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16.</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17.</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18.</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19.</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20.</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r w:rsidRPr="00815992">
        <w:rPr>
          <w:rStyle w:val="TextoNormalNegritaCaracter"/>
        </w:rPr>
        <w:t>Artículo 21.</w:t>
      </w:r>
      <w:r w:rsidRPr="00815992">
        <w:rPr>
          <w:rStyle w:val="TextoNormalCaracter"/>
        </w:rPr>
        <w:t>-</w:t>
      </w:r>
      <w:r>
        <w:t xml:space="preserve"> Auto </w:t>
      </w:r>
      <w:hyperlink w:anchor="AUTO_1992_12" w:history="1">
        <w:r w:rsidRPr="00815992">
          <w:rPr>
            <w:rStyle w:val="TextoNormalCaracter"/>
          </w:rPr>
          <w:t>12/1992</w:t>
        </w:r>
      </w:hyperlink>
      <w:r>
        <w:t>.</w:t>
      </w:r>
    </w:p>
    <w:p w:rsidR="00815992" w:rsidRDefault="00815992" w:rsidP="00815992">
      <w:pPr>
        <w:pStyle w:val="SangriaFrancesaArticulo"/>
      </w:pPr>
    </w:p>
    <w:p w:rsidR="00815992" w:rsidRDefault="00815992" w:rsidP="00815992">
      <w:pPr>
        <w:pStyle w:val="TextoNormalNegritaCursivandice"/>
      </w:pPr>
      <w:r>
        <w:t>Ley del Parlamento de Cataluña 16/1991, de 10 de julio. Policías locales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lastRenderedPageBreak/>
        <w:t>Artículo 15.</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15.1 b).</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18.</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23.</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TextoNormal"/>
      </w:pPr>
    </w:p>
    <w:p w:rsidR="00815992" w:rsidRDefault="00815992" w:rsidP="00815992">
      <w:pPr>
        <w:pStyle w:val="TextoNormalNegritaCentradoSubrayado"/>
        <w:suppressAutoHyphens/>
      </w:pPr>
      <w:r>
        <w:t>J.5.c) Decretos y otras disposiciones reglamentarias</w:t>
      </w:r>
    </w:p>
    <w:p w:rsidR="00815992" w:rsidRDefault="00815992" w:rsidP="00815992">
      <w:pPr>
        <w:pStyle w:val="TextoNormalNegritaCentradoSubrayado"/>
      </w:pPr>
    </w:p>
    <w:p w:rsidR="00815992" w:rsidRDefault="00815992" w:rsidP="00815992">
      <w:pPr>
        <w:pStyle w:val="TextoNormalNegritaCursivandice"/>
      </w:pPr>
      <w:r>
        <w:t>Decreto de la Generalidad de Cataluña 389/1983, de 15 de septiembre. Etiquetaje de los productos que se comercializan en Cataluña</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p>
    <w:p w:rsidR="00815992" w:rsidRDefault="00815992" w:rsidP="00815992">
      <w:pPr>
        <w:pStyle w:val="TextoNormalNegritaCursivandice"/>
      </w:pPr>
      <w:r>
        <w:t>Decreto de la Generalidad de Cataluña 79/1986, de 20 de marzo. Medidas de regulación del esfuerzo de pesca en el litoral de Cataluña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7" w:history="1">
        <w:r w:rsidRPr="00815992">
          <w:rPr>
            <w:rStyle w:val="TextoNormalCaracter"/>
          </w:rPr>
          <w:t>57/1992</w:t>
        </w:r>
      </w:hyperlink>
      <w:r>
        <w:t>, ff. 1, 2.</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5.</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5.1.</w:t>
      </w:r>
      <w:r w:rsidRPr="00815992">
        <w:rPr>
          <w:rStyle w:val="TextoNormalCaracter"/>
        </w:rPr>
        <w:t>-</w:t>
      </w:r>
      <w:r>
        <w:t xml:space="preserve"> Sentencia </w:t>
      </w:r>
      <w:hyperlink w:anchor="SENTENCIA_1992_57" w:history="1">
        <w:r w:rsidRPr="00815992">
          <w:rPr>
            <w:rStyle w:val="TextoNormalCaracter"/>
          </w:rPr>
          <w:t>57/1992</w:t>
        </w:r>
      </w:hyperlink>
      <w:r>
        <w:t>, f. 3.</w:t>
      </w:r>
    </w:p>
    <w:p w:rsidR="00815992" w:rsidRDefault="00815992" w:rsidP="00815992">
      <w:pPr>
        <w:pStyle w:val="SangriaFrancesaArticulo"/>
      </w:pPr>
      <w:r w:rsidRPr="00815992">
        <w:rPr>
          <w:rStyle w:val="TextoNormalNegritaCaracter"/>
        </w:rPr>
        <w:t>Artículo 6.</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7.</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8.</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r w:rsidRPr="00815992">
        <w:rPr>
          <w:rStyle w:val="TextoNormalNegritaCaracter"/>
        </w:rPr>
        <w:t>Artículo 9.</w:t>
      </w:r>
      <w:r w:rsidRPr="00815992">
        <w:rPr>
          <w:rStyle w:val="TextoNormalCaracter"/>
        </w:rPr>
        <w:t>-</w:t>
      </w:r>
      <w:r>
        <w:t xml:space="preserve"> Sentencia </w:t>
      </w:r>
      <w:hyperlink w:anchor="SENTENCIA_1992_57" w:history="1">
        <w:r w:rsidRPr="00815992">
          <w:rPr>
            <w:rStyle w:val="TextoNormalCaracter"/>
          </w:rPr>
          <w:t>57/1992</w:t>
        </w:r>
      </w:hyperlink>
      <w:r>
        <w:t>, ff. 2, 3.</w:t>
      </w:r>
    </w:p>
    <w:p w:rsidR="00815992" w:rsidRDefault="00815992" w:rsidP="00815992">
      <w:pPr>
        <w:pStyle w:val="SangriaFrancesaArticulo"/>
      </w:pPr>
    </w:p>
    <w:p w:rsidR="00815992" w:rsidRDefault="00815992" w:rsidP="00815992">
      <w:pPr>
        <w:pStyle w:val="TextoNormalNegritaCursivandice"/>
      </w:pPr>
      <w:r>
        <w:t>Decreto de la Generalidad de Cataluña 10/1987, de 15 de enero. Condiciones de envasado y etiquetado de los productos pirotécnicos que se comercializan en Cataluña</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p>
    <w:p w:rsidR="00815992" w:rsidRDefault="00815992" w:rsidP="00815992">
      <w:pPr>
        <w:pStyle w:val="TextoNormalNegritaCursivandice"/>
      </w:pPr>
      <w:r>
        <w:t>Decreto de la Generalidad de Cataluña 180/1988, de 27 de julio. Reglamentación técnico-sanitaria de productos cosméticos</w:t>
      </w:r>
    </w:p>
    <w:p w:rsidR="00815992" w:rsidRDefault="00815992" w:rsidP="00815992">
      <w:pPr>
        <w:pStyle w:val="SangriaFrancesaArticulo"/>
      </w:pPr>
      <w:r w:rsidRPr="00815992">
        <w:rPr>
          <w:rStyle w:val="TextoNormalNegritaCaracter"/>
        </w:rPr>
        <w:t>Artículo 2.</w:t>
      </w:r>
      <w:r w:rsidRPr="00815992">
        <w:rPr>
          <w:rStyle w:val="TextoNormalCaracter"/>
        </w:rPr>
        <w:t>-</w:t>
      </w:r>
      <w:r>
        <w:t xml:space="preserve"> Auto </w:t>
      </w:r>
      <w:hyperlink w:anchor="AUTO_1992_32" w:history="1">
        <w:r w:rsidRPr="00815992">
          <w:rPr>
            <w:rStyle w:val="TextoNormalCaracter"/>
          </w:rPr>
          <w:t>32/1992</w:t>
        </w:r>
      </w:hyperlink>
      <w:r>
        <w:t>.</w:t>
      </w:r>
    </w:p>
    <w:p w:rsidR="00815992" w:rsidRDefault="00815992" w:rsidP="00815992">
      <w:pPr>
        <w:pStyle w:val="SangriaFrancesaArticulo"/>
      </w:pPr>
      <w:r w:rsidRPr="00815992">
        <w:rPr>
          <w:rStyle w:val="TextoNormalNegritaCaracter"/>
        </w:rPr>
        <w:t>Artículo 3.</w:t>
      </w:r>
      <w:r w:rsidRPr="00815992">
        <w:rPr>
          <w:rStyle w:val="TextoNormalCaracter"/>
        </w:rPr>
        <w:t>-</w:t>
      </w:r>
      <w:r>
        <w:t xml:space="preserve"> Auto </w:t>
      </w:r>
      <w:hyperlink w:anchor="AUTO_1992_32" w:history="1">
        <w:r w:rsidRPr="00815992">
          <w:rPr>
            <w:rStyle w:val="TextoNormalCaracter"/>
          </w:rPr>
          <w:t>32/1992</w:t>
        </w:r>
      </w:hyperlink>
      <w:r>
        <w:t>.</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J.6) Extremadura</w:t>
      </w:r>
    </w:p>
    <w:p w:rsidR="00815992" w:rsidRDefault="00815992" w:rsidP="00815992">
      <w:pPr>
        <w:pStyle w:val="TextoNormal"/>
      </w:pPr>
    </w:p>
    <w:p w:rsidR="00815992" w:rsidRDefault="00815992" w:rsidP="00815992">
      <w:pPr>
        <w:pStyle w:val="TextoNormalNegritaCentradoSubrayado"/>
        <w:suppressAutoHyphens/>
      </w:pPr>
      <w:r>
        <w:t>J.6.b)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 la Asamblea de Extremadura 2/1987, de 16 de marzo. Elecciones a la Asamblea de Extremadura</w:t>
      </w:r>
    </w:p>
    <w:p w:rsidR="00815992" w:rsidRDefault="00815992" w:rsidP="00815992">
      <w:pPr>
        <w:pStyle w:val="SangriaFrancesaArticulo"/>
      </w:pPr>
      <w:r w:rsidRPr="00815992">
        <w:rPr>
          <w:rStyle w:val="TextoNormalNegritaCaracter"/>
        </w:rPr>
        <w:t>Artículo 4.</w:t>
      </w:r>
      <w:r w:rsidRPr="00815992">
        <w:rPr>
          <w:rStyle w:val="TextoNormalCaracter"/>
        </w:rPr>
        <w:t>-</w:t>
      </w:r>
      <w:r>
        <w:t xml:space="preserve"> Sentencia </w:t>
      </w:r>
      <w:hyperlink w:anchor="SENTENCIA_1992_25" w:history="1">
        <w:r w:rsidRPr="00815992">
          <w:rPr>
            <w:rStyle w:val="TextoNormalCaracter"/>
          </w:rPr>
          <w:t>25/1992</w:t>
        </w:r>
      </w:hyperlink>
      <w:r>
        <w:t>, f. 1.</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J.7) Galicia</w:t>
      </w:r>
    </w:p>
    <w:p w:rsidR="00815992" w:rsidRDefault="00815992" w:rsidP="00815992">
      <w:pPr>
        <w:pStyle w:val="TextoNormal"/>
      </w:pPr>
    </w:p>
    <w:p w:rsidR="00815992" w:rsidRDefault="00815992" w:rsidP="00815992">
      <w:pPr>
        <w:pStyle w:val="TextoNormalNegritaCentradoSubrayado"/>
        <w:suppressAutoHyphens/>
      </w:pPr>
      <w:r>
        <w:t>J.7.a) Estatuto de Autonomía</w:t>
      </w:r>
    </w:p>
    <w:p w:rsidR="00815992" w:rsidRDefault="00815992" w:rsidP="00815992">
      <w:pPr>
        <w:pStyle w:val="TextoNormalNegritaCentradoSubrayado"/>
      </w:pPr>
    </w:p>
    <w:p w:rsidR="00815992" w:rsidRDefault="00815992" w:rsidP="00815992">
      <w:pPr>
        <w:pStyle w:val="TextoNormalNegritaCursivandice"/>
      </w:pPr>
      <w:r>
        <w:t>Ley Orgánica 1/1981, de 6 de abril. Estatuto de Autonomía de Galicia</w:t>
      </w:r>
    </w:p>
    <w:p w:rsidR="00815992" w:rsidRDefault="00815992" w:rsidP="00815992">
      <w:pPr>
        <w:pStyle w:val="SangriaFrancesaArticulo"/>
      </w:pPr>
      <w:r w:rsidRPr="00815992">
        <w:rPr>
          <w:rStyle w:val="TextoNormalNegritaCaracter"/>
        </w:rPr>
        <w:t>Artículo 28.5.</w:t>
      </w:r>
      <w:r w:rsidRPr="00815992">
        <w:rPr>
          <w:rStyle w:val="TextoNormalCaracter"/>
        </w:rPr>
        <w:t>-</w:t>
      </w:r>
      <w:r>
        <w:t xml:space="preserve"> Sentencia </w:t>
      </w:r>
      <w:hyperlink w:anchor="SENTENCIA_1992_68" w:history="1">
        <w:r w:rsidRPr="00815992">
          <w:rPr>
            <w:rStyle w:val="TextoNormalCaracter"/>
          </w:rPr>
          <w:t>68/1992</w:t>
        </w:r>
      </w:hyperlink>
      <w:r>
        <w:t>, f. 1.</w:t>
      </w:r>
    </w:p>
    <w:p w:rsidR="00815992" w:rsidRDefault="00815992" w:rsidP="00815992">
      <w:pPr>
        <w:pStyle w:val="TextoNormal"/>
      </w:pPr>
    </w:p>
    <w:p w:rsidR="00815992" w:rsidRDefault="00815992" w:rsidP="00815992">
      <w:pPr>
        <w:pStyle w:val="TextoNormalNegritaCentradoSubrayado"/>
        <w:suppressAutoHyphens/>
      </w:pPr>
      <w:r>
        <w:t>J.7.c) Decretos y otras disposiciones reglamentarias</w:t>
      </w:r>
    </w:p>
    <w:p w:rsidR="00815992" w:rsidRDefault="00815992" w:rsidP="00815992">
      <w:pPr>
        <w:pStyle w:val="TextoNormalNegritaCentradoSubrayado"/>
      </w:pPr>
    </w:p>
    <w:p w:rsidR="00815992" w:rsidRDefault="00815992" w:rsidP="00815992">
      <w:pPr>
        <w:pStyle w:val="TextoNormalNegritaCursivandice"/>
      </w:pPr>
      <w:r>
        <w:t>Decreto de la Junta de Galicia 101/1985, de 23 de mayo. Utilización del idioma gallego en el etiquetado y publicidad de los productos que se comercializan en Galicia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29" w:history="1">
        <w:r w:rsidRPr="00815992">
          <w:rPr>
            <w:rStyle w:val="TextoNormalCaracter"/>
          </w:rPr>
          <w:t>29/1992</w:t>
        </w:r>
      </w:hyperlink>
      <w:r>
        <w:t>.</w:t>
      </w:r>
    </w:p>
    <w:p w:rsidR="00815992" w:rsidRDefault="00815992" w:rsidP="00815992">
      <w:pPr>
        <w:pStyle w:val="SangriaFrancesaArticulo"/>
      </w:pPr>
    </w:p>
    <w:p w:rsidR="00815992" w:rsidRDefault="00815992" w:rsidP="00815992">
      <w:pPr>
        <w:pStyle w:val="TextoNormalNegritaCursivandice"/>
      </w:pPr>
      <w:r>
        <w:t>Decreto de la Junta de Galicia 262/1991, de 12 de julio. Reglamento de la actividad pesquera y de las artes y aparejos de pesca permisibles en Galicia</w:t>
      </w:r>
    </w:p>
    <w:p w:rsidR="00815992" w:rsidRDefault="00815992" w:rsidP="00815992">
      <w:pPr>
        <w:pStyle w:val="SangriaFrancesaArticulo"/>
      </w:pPr>
      <w:r w:rsidRPr="00815992">
        <w:rPr>
          <w:rStyle w:val="TextoNormalNegritaCaracter"/>
        </w:rPr>
        <w:t>Preámbulo.</w:t>
      </w:r>
      <w:r w:rsidRPr="00815992">
        <w:rPr>
          <w:rStyle w:val="TextoNormalCaracter"/>
        </w:rPr>
        <w:t>-</w:t>
      </w:r>
      <w:r>
        <w:t xml:space="preserve"> Sentencia </w:t>
      </w:r>
      <w:hyperlink w:anchor="SENTENCIA_1992_68" w:history="1">
        <w:r w:rsidRPr="00815992">
          <w:rPr>
            <w:rStyle w:val="TextoNormalCaracter"/>
          </w:rPr>
          <w:t>68/1992</w:t>
        </w:r>
      </w:hyperlink>
      <w:r>
        <w:t>, VP.</w:t>
      </w:r>
    </w:p>
    <w:p w:rsidR="00815992" w:rsidRDefault="00815992" w:rsidP="00815992">
      <w:pPr>
        <w:pStyle w:val="SangriaFrancesaArticulo"/>
      </w:pPr>
      <w:r w:rsidRPr="00815992">
        <w:rPr>
          <w:rStyle w:val="TextoNormalNegritaCaracter"/>
        </w:rPr>
        <w:t>Artículo 8.3.</w:t>
      </w:r>
      <w:r w:rsidRPr="00815992">
        <w:rPr>
          <w:rStyle w:val="TextoNormalCaracter"/>
        </w:rPr>
        <w:t>-</w:t>
      </w:r>
      <w:r>
        <w:t xml:space="preserve"> Sentencia </w:t>
      </w:r>
      <w:hyperlink w:anchor="SENTENCIA_1992_68" w:history="1">
        <w:r w:rsidRPr="00815992">
          <w:rPr>
            <w:rStyle w:val="TextoNormalCaracter"/>
          </w:rPr>
          <w:t>68/1992</w:t>
        </w:r>
      </w:hyperlink>
      <w:r>
        <w:t>, VP.</w:t>
      </w:r>
    </w:p>
    <w:p w:rsidR="00815992" w:rsidRDefault="00815992" w:rsidP="00815992">
      <w:pPr>
        <w:pStyle w:val="SangriaFrancesaArticulo"/>
      </w:pPr>
      <w:r w:rsidRPr="00815992">
        <w:rPr>
          <w:rStyle w:val="TextoNormalNegritaCaracter"/>
        </w:rPr>
        <w:t>Artículo 84.</w:t>
      </w:r>
      <w:r w:rsidRPr="00815992">
        <w:rPr>
          <w:rStyle w:val="TextoNormalCaracter"/>
        </w:rPr>
        <w:t>-</w:t>
      </w:r>
      <w:r>
        <w:t xml:space="preserve"> Sentencia </w:t>
      </w:r>
      <w:hyperlink w:anchor="SENTENCIA_1992_68" w:history="1">
        <w:r w:rsidRPr="00815992">
          <w:rPr>
            <w:rStyle w:val="TextoNormalCaracter"/>
          </w:rPr>
          <w:t>68/1992</w:t>
        </w:r>
      </w:hyperlink>
      <w:r>
        <w:t>, ff. 1 a 3, VP.</w:t>
      </w:r>
    </w:p>
    <w:p w:rsidR="00815992" w:rsidRDefault="00815992" w:rsidP="00815992">
      <w:pPr>
        <w:pStyle w:val="SangriaIzquierdaArticulo"/>
      </w:pPr>
      <w:r>
        <w:t xml:space="preserve">Auto </w:t>
      </w:r>
      <w:hyperlink w:anchor="AUTO_1992_63" w:history="1">
        <w:r w:rsidRPr="00815992">
          <w:rPr>
            <w:rStyle w:val="TextoNormalCaracter"/>
          </w:rPr>
          <w:t>63/1992</w:t>
        </w:r>
      </w:hyperlink>
      <w:r>
        <w:t>.</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J.8) Madrid</w:t>
      </w:r>
    </w:p>
    <w:p w:rsidR="00815992" w:rsidRDefault="00815992" w:rsidP="00815992">
      <w:pPr>
        <w:pStyle w:val="TextoNormal"/>
      </w:pPr>
    </w:p>
    <w:p w:rsidR="00815992" w:rsidRDefault="00815992" w:rsidP="00815992">
      <w:pPr>
        <w:pStyle w:val="TextoNormalNegritaCentradoSubrayado"/>
        <w:suppressAutoHyphens/>
      </w:pPr>
      <w:r>
        <w:t>J.8.a) Estatuto de Autonomía</w:t>
      </w:r>
    </w:p>
    <w:p w:rsidR="00815992" w:rsidRDefault="00815992" w:rsidP="00815992">
      <w:pPr>
        <w:pStyle w:val="TextoNormalNegritaCentradoSubrayado"/>
      </w:pPr>
    </w:p>
    <w:p w:rsidR="00815992" w:rsidRDefault="00815992" w:rsidP="00815992">
      <w:pPr>
        <w:pStyle w:val="TextoNormalNegritaCursivandice"/>
      </w:pPr>
      <w:r>
        <w:t>Ley Orgánica 3/1983, de 25 de febrero. Estatuto de Autonomía de la Comunidad de Madrid</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 w:history="1">
        <w:r w:rsidRPr="00815992">
          <w:rPr>
            <w:rStyle w:val="TextoNormalCaracter"/>
          </w:rPr>
          <w:t>4/1992</w:t>
        </w:r>
      </w:hyperlink>
      <w:r>
        <w:t>, f. 3.</w:t>
      </w:r>
    </w:p>
    <w:p w:rsidR="00815992" w:rsidRDefault="00815992" w:rsidP="00815992">
      <w:pPr>
        <w:pStyle w:val="SangriaFrancesaArticulo"/>
      </w:pPr>
      <w:r w:rsidRPr="00815992">
        <w:rPr>
          <w:rStyle w:val="TextoNormalNegritaCaracter"/>
        </w:rPr>
        <w:t>Artículo 14.2.</w:t>
      </w:r>
      <w:r w:rsidRPr="00815992">
        <w:rPr>
          <w:rStyle w:val="TextoNormalCaracter"/>
        </w:rPr>
        <w:t>-</w:t>
      </w:r>
      <w:r>
        <w:t xml:space="preserve"> Sentencia </w:t>
      </w:r>
      <w:hyperlink w:anchor="SENTENCIA_1992_4" w:history="1">
        <w:r w:rsidRPr="00815992">
          <w:rPr>
            <w:rStyle w:val="TextoNormalCaracter"/>
          </w:rPr>
          <w:t>4/1992</w:t>
        </w:r>
      </w:hyperlink>
      <w:r>
        <w:t>, f. 1.</w:t>
      </w:r>
    </w:p>
    <w:p w:rsidR="00815992" w:rsidRDefault="00815992" w:rsidP="00815992">
      <w:pPr>
        <w:pStyle w:val="SangriaFrancesaArticulo"/>
      </w:pPr>
      <w:r w:rsidRPr="00815992">
        <w:rPr>
          <w:rStyle w:val="TextoNormalNegritaCaracter"/>
        </w:rPr>
        <w:t>Artículo 27.5.</w:t>
      </w:r>
      <w:r w:rsidRPr="00815992">
        <w:rPr>
          <w:rStyle w:val="TextoNormalCaracter"/>
        </w:rPr>
        <w:t>-</w:t>
      </w:r>
      <w:r>
        <w:t xml:space="preserve"> Sentencia </w:t>
      </w:r>
      <w:hyperlink w:anchor="SENTENCIA_1992_67" w:history="1">
        <w:r w:rsidRPr="00815992">
          <w:rPr>
            <w:rStyle w:val="TextoNormalCaracter"/>
          </w:rPr>
          <w:t>67/1992</w:t>
        </w:r>
      </w:hyperlink>
      <w:r>
        <w:t>, f. 2.</w:t>
      </w:r>
    </w:p>
    <w:p w:rsidR="00815992" w:rsidRDefault="00815992" w:rsidP="00815992">
      <w:pPr>
        <w:pStyle w:val="SangriaFrancesaArticulo"/>
      </w:pPr>
      <w:r w:rsidRPr="00815992">
        <w:rPr>
          <w:rStyle w:val="TextoNormalNegritaCaracter"/>
        </w:rPr>
        <w:t>Disposición transitoria tercera.</w:t>
      </w:r>
      <w:r w:rsidRPr="00815992">
        <w:rPr>
          <w:rStyle w:val="TextoNormalCaracter"/>
        </w:rPr>
        <w:t>-</w:t>
      </w:r>
      <w:r>
        <w:t xml:space="preserve"> Auto </w:t>
      </w:r>
      <w:hyperlink w:anchor="AUTO_1992_24" w:history="1">
        <w:r w:rsidRPr="00815992">
          <w:rPr>
            <w:rStyle w:val="TextoNormalCaracter"/>
          </w:rPr>
          <w:t>24/1992</w:t>
        </w:r>
      </w:hyperlink>
      <w:r>
        <w:t>.</w:t>
      </w:r>
    </w:p>
    <w:p w:rsidR="00815992" w:rsidRDefault="00815992" w:rsidP="00815992">
      <w:pPr>
        <w:pStyle w:val="TextoNormal"/>
      </w:pPr>
    </w:p>
    <w:p w:rsidR="00815992" w:rsidRDefault="00815992" w:rsidP="00815992">
      <w:pPr>
        <w:pStyle w:val="TextoNormalNegritaCentradoSubrayado"/>
        <w:suppressAutoHyphens/>
      </w:pPr>
      <w:r>
        <w:t>J.8.b)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 la Asamblea de Madrid 4/1984, de 10 de febrero. Medidas de disciplina urbanística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6" w:history="1">
        <w:r w:rsidRPr="00815992">
          <w:rPr>
            <w:rStyle w:val="TextoNormalCaracter"/>
          </w:rPr>
          <w:t>46/1992</w:t>
        </w:r>
      </w:hyperlink>
      <w:r>
        <w:t>, f. 2.</w:t>
      </w:r>
    </w:p>
    <w:p w:rsidR="00815992" w:rsidRDefault="00815992" w:rsidP="00815992">
      <w:pPr>
        <w:pStyle w:val="SangriaFrancesaArticulo"/>
      </w:pPr>
      <w:r w:rsidRPr="00815992">
        <w:rPr>
          <w:rStyle w:val="TextoNormalNegritaCaracter"/>
        </w:rPr>
        <w:t>Artículo 26.</w:t>
      </w:r>
      <w:r w:rsidRPr="00815992">
        <w:rPr>
          <w:rStyle w:val="TextoNormalCaracter"/>
        </w:rPr>
        <w:t>-</w:t>
      </w:r>
      <w:r>
        <w:t xml:space="preserve"> Sentencia </w:t>
      </w:r>
      <w:hyperlink w:anchor="SENTENCIA_1992_46" w:history="1">
        <w:r w:rsidRPr="00815992">
          <w:rPr>
            <w:rStyle w:val="TextoNormalCaracter"/>
          </w:rPr>
          <w:t>46/1992</w:t>
        </w:r>
      </w:hyperlink>
      <w:r>
        <w:t>, f. 3.</w:t>
      </w:r>
    </w:p>
    <w:p w:rsidR="00815992" w:rsidRDefault="00815992" w:rsidP="00815992">
      <w:pPr>
        <w:pStyle w:val="SangriaFrancesaArticulo"/>
      </w:pPr>
      <w:r w:rsidRPr="00815992">
        <w:rPr>
          <w:rStyle w:val="TextoNormalNegritaCaracter"/>
        </w:rPr>
        <w:t>Artículo 26.3.</w:t>
      </w:r>
      <w:r w:rsidRPr="00815992">
        <w:rPr>
          <w:rStyle w:val="TextoNormalCaracter"/>
        </w:rPr>
        <w:t>-</w:t>
      </w:r>
      <w:r>
        <w:t xml:space="preserve"> Sentencia </w:t>
      </w:r>
      <w:hyperlink w:anchor="SENTENCIA_1992_46" w:history="1">
        <w:r w:rsidRPr="00815992">
          <w:rPr>
            <w:rStyle w:val="TextoNormalCaracter"/>
          </w:rPr>
          <w:t>46/1992</w:t>
        </w:r>
      </w:hyperlink>
      <w:r>
        <w:t>, ff. 1, 2.</w:t>
      </w:r>
    </w:p>
    <w:p w:rsidR="00815992" w:rsidRDefault="00815992" w:rsidP="00815992">
      <w:pPr>
        <w:pStyle w:val="SangriaFrancesaArticulo"/>
      </w:pPr>
    </w:p>
    <w:p w:rsidR="00815992" w:rsidRDefault="00815992" w:rsidP="00815992">
      <w:pPr>
        <w:pStyle w:val="TextoNormalNegritaCursivandice"/>
      </w:pPr>
      <w:r>
        <w:t>Ley de la Asamblea de Madrid 11/1986, de 16 de diciembre. Electoral de la Comunidad de Madrid</w:t>
      </w:r>
    </w:p>
    <w:p w:rsidR="00815992" w:rsidRDefault="00815992" w:rsidP="00815992">
      <w:pPr>
        <w:pStyle w:val="SangriaFrancesaArticulo"/>
      </w:pPr>
      <w:r w:rsidRPr="00815992">
        <w:rPr>
          <w:rStyle w:val="TextoNormalNegritaCaracter"/>
        </w:rPr>
        <w:t>Artículo 18.3.</w:t>
      </w:r>
      <w:r w:rsidRPr="00815992">
        <w:rPr>
          <w:rStyle w:val="TextoNormalCaracter"/>
        </w:rPr>
        <w:t>-</w:t>
      </w:r>
      <w:r>
        <w:t xml:space="preserve"> Sentencia </w:t>
      </w:r>
      <w:hyperlink w:anchor="SENTENCIA_1992_4" w:history="1">
        <w:r w:rsidRPr="00815992">
          <w:rPr>
            <w:rStyle w:val="TextoNormalCaracter"/>
          </w:rPr>
          <w:t>4/1992</w:t>
        </w:r>
      </w:hyperlink>
      <w:r>
        <w:t>, ff. 1, 3.</w:t>
      </w:r>
    </w:p>
    <w:p w:rsidR="00815992" w:rsidRDefault="00815992" w:rsidP="00815992">
      <w:pPr>
        <w:pStyle w:val="TextoNormal"/>
      </w:pPr>
    </w:p>
    <w:p w:rsidR="00815992" w:rsidRDefault="00815992" w:rsidP="00815992">
      <w:pPr>
        <w:pStyle w:val="TextoNormalNegritaCentradoSubrayado"/>
        <w:suppressAutoHyphens/>
      </w:pPr>
      <w:r>
        <w:lastRenderedPageBreak/>
        <w:t>J.8.c) Decretos y otras disposiciones reglamentarias</w:t>
      </w:r>
    </w:p>
    <w:p w:rsidR="00815992" w:rsidRDefault="00815992" w:rsidP="00815992">
      <w:pPr>
        <w:pStyle w:val="TextoNormalNegritaCentradoSubrayado"/>
      </w:pPr>
    </w:p>
    <w:p w:rsidR="00815992" w:rsidRDefault="00815992" w:rsidP="00815992">
      <w:pPr>
        <w:pStyle w:val="TextoNormalNegritaCursivandice"/>
      </w:pPr>
      <w:r>
        <w:t>Decreto del Consejo de Gobierno de la Comunidad de Madrid 18/1983, de 22 de junio. Estructura orgánica de la Presidencia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Auto </w:t>
      </w:r>
      <w:hyperlink w:anchor="AUTO_1992_24" w:history="1">
        <w:r w:rsidRPr="00815992">
          <w:rPr>
            <w:rStyle w:val="TextoNormalCaracter"/>
          </w:rPr>
          <w:t>24/1992</w:t>
        </w:r>
      </w:hyperlink>
      <w:r>
        <w:t>.</w:t>
      </w:r>
    </w:p>
    <w:p w:rsidR="00815992" w:rsidRDefault="00815992" w:rsidP="00815992">
      <w:pPr>
        <w:pStyle w:val="TextoNormal"/>
      </w:pPr>
    </w:p>
    <w:p w:rsidR="00815992" w:rsidRDefault="00815992" w:rsidP="00815992">
      <w:pPr>
        <w:pStyle w:val="TextoNormalNegritaCentradoSubrayado"/>
        <w:suppressAutoHyphens/>
      </w:pPr>
      <w:r>
        <w:t>J.8.d) Normas parlamentarias autonómicas</w:t>
      </w:r>
    </w:p>
    <w:p w:rsidR="00815992" w:rsidRDefault="00815992" w:rsidP="00815992">
      <w:pPr>
        <w:pStyle w:val="TextoNormalNegritaCentradoSubrayado"/>
      </w:pPr>
    </w:p>
    <w:p w:rsidR="00815992" w:rsidRDefault="00815992" w:rsidP="00815992">
      <w:pPr>
        <w:pStyle w:val="TextoNormalNegritaCursivandice"/>
      </w:pPr>
      <w:r>
        <w:t>Reglamento de la Asamblea de Madrid, de 18 de febrero de 1984</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4" w:history="1">
        <w:r w:rsidRPr="00815992">
          <w:rPr>
            <w:rStyle w:val="TextoNormalCaracter"/>
          </w:rPr>
          <w:t>4/1992</w:t>
        </w:r>
      </w:hyperlink>
      <w:r>
        <w:t>, ff. 1, 3.</w:t>
      </w:r>
    </w:p>
    <w:p w:rsidR="00815992" w:rsidRDefault="00815992" w:rsidP="00815992">
      <w:pPr>
        <w:pStyle w:val="SangriaFrancesaArticulo"/>
      </w:pPr>
      <w:r w:rsidRPr="00815992">
        <w:rPr>
          <w:rStyle w:val="TextoNormalNegritaCaracter"/>
        </w:rPr>
        <w:t>Artículo 30.9.</w:t>
      </w:r>
      <w:r w:rsidRPr="00815992">
        <w:rPr>
          <w:rStyle w:val="TextoNormalCaracter"/>
        </w:rPr>
        <w:t>-</w:t>
      </w:r>
      <w:r>
        <w:t xml:space="preserve"> Sentencia </w:t>
      </w:r>
      <w:hyperlink w:anchor="SENTENCIA_1992_4" w:history="1">
        <w:r w:rsidRPr="00815992">
          <w:rPr>
            <w:rStyle w:val="TextoNormalCaracter"/>
          </w:rPr>
          <w:t>4/1992</w:t>
        </w:r>
      </w:hyperlink>
      <w:r>
        <w:t>, f. 3.</w:t>
      </w:r>
    </w:p>
    <w:p w:rsidR="00815992" w:rsidRDefault="00815992" w:rsidP="00815992">
      <w:pPr>
        <w:pStyle w:val="SangriaFrancesaArticulo"/>
      </w:pPr>
      <w:r w:rsidRPr="00815992">
        <w:rPr>
          <w:rStyle w:val="TextoNormalNegritaCaracter"/>
        </w:rPr>
        <w:t>Artículo 165.</w:t>
      </w:r>
      <w:r w:rsidRPr="00815992">
        <w:rPr>
          <w:rStyle w:val="TextoNormalCaracter"/>
        </w:rPr>
        <w:t>-</w:t>
      </w:r>
      <w:r>
        <w:t xml:space="preserve"> Sentencia </w:t>
      </w:r>
      <w:hyperlink w:anchor="SENTENCIA_1992_4" w:history="1">
        <w:r w:rsidRPr="00815992">
          <w:rPr>
            <w:rStyle w:val="TextoNormalCaracter"/>
          </w:rPr>
          <w:t>4/1992</w:t>
        </w:r>
      </w:hyperlink>
      <w:r>
        <w:t>, ff. 1, 3.</w:t>
      </w:r>
    </w:p>
    <w:p w:rsidR="00815992" w:rsidRDefault="00815992" w:rsidP="00815992">
      <w:pPr>
        <w:pStyle w:val="SangriaFrancesaArticulo"/>
      </w:pPr>
      <w:r w:rsidRPr="00815992">
        <w:rPr>
          <w:rStyle w:val="TextoNormalNegritaCaracter"/>
        </w:rPr>
        <w:t>Artículo 165.3.</w:t>
      </w:r>
      <w:r w:rsidRPr="00815992">
        <w:rPr>
          <w:rStyle w:val="TextoNormalCaracter"/>
        </w:rPr>
        <w:t>-</w:t>
      </w:r>
      <w:r>
        <w:t xml:space="preserve"> Sentencia </w:t>
      </w:r>
      <w:hyperlink w:anchor="SENTENCIA_1992_4" w:history="1">
        <w:r w:rsidRPr="00815992">
          <w:rPr>
            <w:rStyle w:val="TextoNormalCaracter"/>
          </w:rPr>
          <w:t>4/1992</w:t>
        </w:r>
      </w:hyperlink>
      <w:r>
        <w:t>, f. 3.</w:t>
      </w:r>
    </w:p>
    <w:p w:rsidR="00815992" w:rsidRDefault="00815992" w:rsidP="00815992">
      <w:pPr>
        <w:pStyle w:val="SangriaFrancesaArticulo"/>
      </w:pPr>
      <w:r w:rsidRPr="00815992">
        <w:rPr>
          <w:rStyle w:val="TextoNormalNegritaCaracter"/>
        </w:rPr>
        <w:t>Artículo 165.5.</w:t>
      </w:r>
      <w:r w:rsidRPr="00815992">
        <w:rPr>
          <w:rStyle w:val="TextoNormalCaracter"/>
        </w:rPr>
        <w:t>-</w:t>
      </w:r>
      <w:r>
        <w:t xml:space="preserve"> Sentencia </w:t>
      </w:r>
      <w:hyperlink w:anchor="SENTENCIA_1992_4" w:history="1">
        <w:r w:rsidRPr="00815992">
          <w:rPr>
            <w:rStyle w:val="TextoNormalCaracter"/>
          </w:rPr>
          <w:t>4/1992</w:t>
        </w:r>
      </w:hyperlink>
      <w:r>
        <w:t>, f. 2.</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J.9) País Vasco</w:t>
      </w:r>
    </w:p>
    <w:p w:rsidR="00815992" w:rsidRDefault="00815992" w:rsidP="00815992">
      <w:pPr>
        <w:pStyle w:val="TextoNormal"/>
      </w:pPr>
    </w:p>
    <w:p w:rsidR="00815992" w:rsidRDefault="00815992" w:rsidP="00815992">
      <w:pPr>
        <w:pStyle w:val="TextoNormalNegritaCentradoSubrayado"/>
        <w:suppressAutoHyphens/>
      </w:pPr>
      <w:r>
        <w:t>J.9.a) Estatuto de Autonomía</w:t>
      </w:r>
    </w:p>
    <w:p w:rsidR="00815992" w:rsidRDefault="00815992" w:rsidP="00815992">
      <w:pPr>
        <w:pStyle w:val="TextoNormalNegritaCentradoSubrayado"/>
      </w:pPr>
    </w:p>
    <w:p w:rsidR="00815992" w:rsidRDefault="00815992" w:rsidP="00815992">
      <w:pPr>
        <w:pStyle w:val="TextoNormalNegritaCursivandice"/>
      </w:pPr>
      <w:r>
        <w:t>Ley Orgánica 3/1979, de 18 de diciembre. Estatuto de Autonomía del País Vasco</w:t>
      </w:r>
    </w:p>
    <w:p w:rsidR="00815992" w:rsidRDefault="00815992" w:rsidP="00815992">
      <w:pPr>
        <w:pStyle w:val="SangriaFrancesaArticulo"/>
      </w:pPr>
      <w:r w:rsidRPr="00815992">
        <w:rPr>
          <w:rStyle w:val="TextoNormalNegritaCaracter"/>
        </w:rPr>
        <w:t>Artículo 10.23.</w:t>
      </w:r>
      <w:r w:rsidRPr="00815992">
        <w:rPr>
          <w:rStyle w:val="TextoNormalCaracter"/>
        </w:rPr>
        <w:t>-</w:t>
      </w:r>
      <w:r>
        <w:t xml:space="preserve"> Sentencia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Artículo 11.2 a).</w:t>
      </w:r>
      <w:r w:rsidRPr="00815992">
        <w:rPr>
          <w:rStyle w:val="TextoNormalCaracter"/>
        </w:rPr>
        <w:t>-</w:t>
      </w:r>
      <w:r>
        <w:t xml:space="preserve"> Sentencia </w:t>
      </w:r>
      <w:hyperlink w:anchor="SENTENCIA_1992_36" w:history="1">
        <w:r w:rsidRPr="00815992">
          <w:rPr>
            <w:rStyle w:val="TextoNormalCaracter"/>
          </w:rPr>
          <w:t>36/1992</w:t>
        </w:r>
      </w:hyperlink>
      <w:r>
        <w:t>, f. 4.</w:t>
      </w:r>
    </w:p>
    <w:p w:rsidR="00815992" w:rsidRDefault="00815992" w:rsidP="00815992">
      <w:pPr>
        <w:pStyle w:val="TextoNormal"/>
      </w:pPr>
    </w:p>
    <w:p w:rsidR="00815992" w:rsidRDefault="00815992" w:rsidP="00815992">
      <w:pPr>
        <w:pStyle w:val="TextoNormalNegritaCentradoSubrayado"/>
        <w:suppressAutoHyphens/>
      </w:pPr>
      <w:r>
        <w:t>J.9.c) Decretos y otras disposiciones reglamentarias</w:t>
      </w:r>
    </w:p>
    <w:p w:rsidR="00815992" w:rsidRDefault="00815992" w:rsidP="00815992">
      <w:pPr>
        <w:pStyle w:val="TextoNormalNegritaCentradoSubrayado"/>
      </w:pPr>
    </w:p>
    <w:p w:rsidR="00815992" w:rsidRDefault="00815992" w:rsidP="00815992">
      <w:pPr>
        <w:pStyle w:val="TextoNormalNegritaCursivandice"/>
      </w:pPr>
      <w:r>
        <w:t>Orden del Departamento de Economía y Hacienda del Gobierno Vasco, de 17 de julio de 1985. Establece los valores aptos para la cobertura de reservas técnicas de entidades de seguros, de capitalización y ahorro y entidades de previsión social voluntaria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6" w:history="1">
        <w:r w:rsidRPr="00815992">
          <w:rPr>
            <w:rStyle w:val="TextoNormalCaracter"/>
          </w:rPr>
          <w:t>36/1992</w:t>
        </w:r>
      </w:hyperlink>
      <w:r>
        <w:t>, ff. 1, 2, 4.</w:t>
      </w:r>
    </w:p>
    <w:p w:rsidR="00815992" w:rsidRDefault="00815992" w:rsidP="00815992">
      <w:pPr>
        <w:pStyle w:val="SangriaFrancesaArticulo"/>
      </w:pPr>
      <w:r w:rsidRPr="00815992">
        <w:rPr>
          <w:rStyle w:val="TextoNormalNegritaCaracter"/>
        </w:rPr>
        <w:t>Artículo 1.</w:t>
      </w:r>
      <w:r w:rsidRPr="00815992">
        <w:rPr>
          <w:rStyle w:val="TextoNormalCaracter"/>
        </w:rPr>
        <w:t>-</w:t>
      </w:r>
      <w:r>
        <w:t xml:space="preserve"> Sentencia </w:t>
      </w:r>
      <w:hyperlink w:anchor="SENTENCIA_1992_36" w:history="1">
        <w:r w:rsidRPr="00815992">
          <w:rPr>
            <w:rStyle w:val="TextoNormalCaracter"/>
          </w:rPr>
          <w:t>36/1992</w:t>
        </w:r>
      </w:hyperlink>
      <w:r>
        <w:t>, f. 4.</w:t>
      </w:r>
    </w:p>
    <w:p w:rsidR="00815992" w:rsidRDefault="00815992" w:rsidP="00815992">
      <w:pPr>
        <w:pStyle w:val="SangriaFrancesaArticulo"/>
      </w:pPr>
      <w:r w:rsidRPr="00815992">
        <w:rPr>
          <w:rStyle w:val="TextoNormalNegritaCaracter"/>
        </w:rPr>
        <w:t>Anexo.</w:t>
      </w:r>
      <w:r w:rsidRPr="00815992">
        <w:rPr>
          <w:rStyle w:val="TextoNormalCaracter"/>
        </w:rPr>
        <w:t>-</w:t>
      </w:r>
      <w:r>
        <w:t xml:space="preserve"> Sentencia </w:t>
      </w:r>
      <w:hyperlink w:anchor="SENTENCIA_1992_36" w:history="1">
        <w:r w:rsidRPr="00815992">
          <w:rPr>
            <w:rStyle w:val="TextoNormalCaracter"/>
          </w:rPr>
          <w:t>36/1992</w:t>
        </w:r>
      </w:hyperlink>
      <w:r>
        <w:t>, f. 4.</w:t>
      </w:r>
    </w:p>
    <w:p w:rsidR="00815992" w:rsidRDefault="00815992" w:rsidP="00815992">
      <w:pPr>
        <w:pStyle w:val="TextoNormal"/>
      </w:pPr>
    </w:p>
    <w:p w:rsidR="00815992" w:rsidRDefault="00815992" w:rsidP="00815992">
      <w:pPr>
        <w:pStyle w:val="TextoNormalNegritaCentrado"/>
        <w:suppressAutoHyphens/>
      </w:pPr>
      <w:r w:rsidRPr="00815992">
        <w:rPr>
          <w:rStyle w:val="TextoNormalNegritaCentradoSombreado"/>
        </w:rPr>
        <w:t>J.10) Valencia</w:t>
      </w:r>
    </w:p>
    <w:p w:rsidR="00815992" w:rsidRDefault="00815992" w:rsidP="00815992">
      <w:pPr>
        <w:pStyle w:val="TextoNormal"/>
      </w:pPr>
    </w:p>
    <w:p w:rsidR="00815992" w:rsidRDefault="00815992" w:rsidP="00815992">
      <w:pPr>
        <w:pStyle w:val="TextoNormalNegritaCentradoSubrayado"/>
        <w:suppressAutoHyphens/>
      </w:pPr>
      <w:r>
        <w:t>J.10.b) Leyes y disposiciones con fuerza de Ley</w:t>
      </w:r>
    </w:p>
    <w:p w:rsidR="00815992" w:rsidRDefault="00815992" w:rsidP="00815992">
      <w:pPr>
        <w:pStyle w:val="TextoNormalNegritaCentradoSubrayado"/>
      </w:pPr>
    </w:p>
    <w:p w:rsidR="00815992" w:rsidRDefault="00815992" w:rsidP="00815992">
      <w:pPr>
        <w:pStyle w:val="TextoNormalNegritaCursivandice"/>
      </w:pPr>
      <w:r>
        <w:t>Ley de las Cortes Valencianas 2/1990, de 4 de abril. Coordinación de policías locales de la Comunidad</w:t>
      </w:r>
    </w:p>
    <w:p w:rsidR="00815992" w:rsidRDefault="00815992" w:rsidP="00815992">
      <w:pPr>
        <w:pStyle w:val="SangriaFrancesaArticulo"/>
      </w:pPr>
      <w:r w:rsidRPr="00815992">
        <w:rPr>
          <w:rStyle w:val="TextoNormalNegritaCaracter"/>
        </w:rPr>
        <w:t>Artículo 4.1 d).</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SangriaFrancesaArticulo"/>
      </w:pPr>
      <w:r w:rsidRPr="00815992">
        <w:rPr>
          <w:rStyle w:val="TextoNormalNegritaCaracter"/>
        </w:rPr>
        <w:t>Artículo 4.1 e).</w:t>
      </w:r>
      <w:r w:rsidRPr="00815992">
        <w:rPr>
          <w:rStyle w:val="TextoNormalCaracter"/>
        </w:rPr>
        <w:t>-</w:t>
      </w:r>
      <w:r>
        <w:t xml:space="preserve"> Auto </w:t>
      </w:r>
      <w:hyperlink w:anchor="AUTO_1992_81" w:history="1">
        <w:r w:rsidRPr="00815992">
          <w:rPr>
            <w:rStyle w:val="TextoNormalCaracter"/>
          </w:rPr>
          <w:t>81/1992</w:t>
        </w:r>
      </w:hyperlink>
      <w:r>
        <w:t>.</w:t>
      </w:r>
    </w:p>
    <w:p w:rsidR="00815992" w:rsidRDefault="00815992" w:rsidP="00815992">
      <w:pPr>
        <w:pStyle w:val="TextoNormal"/>
      </w:pPr>
    </w:p>
    <w:p w:rsidR="00815992" w:rsidRDefault="00815992" w:rsidP="00815992">
      <w:pPr>
        <w:pStyle w:val="SangriaFrancesaArticulo"/>
      </w:pPr>
      <w:bookmarkStart w:id="200" w:name="INDICE22870"/>
    </w:p>
    <w:bookmarkEnd w:id="200"/>
    <w:p w:rsidR="00815992" w:rsidRDefault="00815992" w:rsidP="00815992">
      <w:pPr>
        <w:pStyle w:val="TextoIndiceNivel2"/>
        <w:suppressAutoHyphens/>
      </w:pPr>
      <w:r>
        <w:t>L) Tratados y acuerdos internacionales</w:t>
      </w:r>
    </w:p>
    <w:p w:rsidR="00815992" w:rsidRDefault="00815992" w:rsidP="00815992">
      <w:pPr>
        <w:pStyle w:val="TextoIndiceNivel2"/>
      </w:pPr>
    </w:p>
    <w:p w:rsidR="00815992" w:rsidRDefault="00815992" w:rsidP="00815992">
      <w:pPr>
        <w:pStyle w:val="TextoNormalNegritaCursivandice"/>
      </w:pPr>
      <w:r>
        <w:t>Convenio de la Organización Internacional del Trabajo (núm. 87), de 9 de julio de 1948. Libertad sindical y protección del derecho de sindicación</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0" w:history="1">
        <w:r w:rsidRPr="00815992">
          <w:rPr>
            <w:rStyle w:val="TextoNormalCaracter"/>
          </w:rPr>
          <w:t>30/1992</w:t>
        </w:r>
      </w:hyperlink>
      <w:r>
        <w:t>, f. 6.</w:t>
      </w:r>
    </w:p>
    <w:p w:rsidR="00815992" w:rsidRDefault="00815992" w:rsidP="00815992">
      <w:pPr>
        <w:pStyle w:val="SangriaFrancesaArticulo"/>
      </w:pPr>
    </w:p>
    <w:p w:rsidR="00815992" w:rsidRDefault="00815992" w:rsidP="00815992">
      <w:pPr>
        <w:pStyle w:val="TextoNormalNegritaCursivandice"/>
      </w:pPr>
      <w:r>
        <w:t>Declaración universal de derechos humanos de 10 de diciembre de 1948</w:t>
      </w:r>
    </w:p>
    <w:p w:rsidR="00815992" w:rsidRDefault="00815992" w:rsidP="00815992">
      <w:pPr>
        <w:pStyle w:val="SangriaFrancesaArticulo"/>
      </w:pPr>
      <w:r w:rsidRPr="00815992">
        <w:rPr>
          <w:rStyle w:val="TextoNormalNegritaCaracter"/>
        </w:rPr>
        <w:t>Artículo 10.</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t>Artículo 29.</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p>
    <w:p w:rsidR="00815992" w:rsidRDefault="00815992" w:rsidP="00815992">
      <w:pPr>
        <w:pStyle w:val="TextoNormalNegritaCursivandice"/>
      </w:pPr>
      <w:r>
        <w:t>Pacto internacional de derechos civiles y políticos. Nueva York, 16 de diciembre de 1966, ratificado por Instrumento de 13 de abril de 1977</w:t>
      </w:r>
    </w:p>
    <w:p w:rsidR="00815992" w:rsidRDefault="00815992" w:rsidP="00815992">
      <w:pPr>
        <w:pStyle w:val="SangriaFrancesaArticulo"/>
      </w:pPr>
      <w:r w:rsidRPr="00815992">
        <w:rPr>
          <w:rStyle w:val="TextoNormalNegritaCaracter"/>
        </w:rPr>
        <w:t>Artículo 9.3.</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14.1.</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t>Artículo 14.3 e).</w:t>
      </w:r>
      <w:r w:rsidRPr="00815992">
        <w:rPr>
          <w:rStyle w:val="TextoNormalCaracter"/>
        </w:rPr>
        <w:t>-</w:t>
      </w:r>
      <w:r>
        <w:t xml:space="preserve"> Sentencia </w:t>
      </w:r>
      <w:hyperlink w:anchor="SENTENCIA_1992_10" w:history="1">
        <w:r w:rsidRPr="00815992">
          <w:rPr>
            <w:rStyle w:val="TextoNormalCaracter"/>
          </w:rPr>
          <w:t>10/1992</w:t>
        </w:r>
      </w:hyperlink>
      <w:r>
        <w:t>, f. 4.</w:t>
      </w:r>
    </w:p>
    <w:p w:rsidR="00815992" w:rsidRDefault="00815992" w:rsidP="00815992">
      <w:pPr>
        <w:pStyle w:val="SangriaFrancesaArticulo"/>
      </w:pPr>
    </w:p>
    <w:p w:rsidR="00815992" w:rsidRDefault="00815992" w:rsidP="00815992">
      <w:pPr>
        <w:pStyle w:val="TextoNormalNegritaCursivandice"/>
      </w:pPr>
      <w:r>
        <w:t>Acuerdo entre el Estado español y la Santa Sede de 3 de enero de 1979. Enseñanza y asuntos culturales, ratificado por Instrumento de 4 de diciembre de 1979</w:t>
      </w:r>
    </w:p>
    <w:p w:rsidR="00815992" w:rsidRDefault="00815992" w:rsidP="00815992">
      <w:pPr>
        <w:pStyle w:val="SangriaFrancesaArticulo"/>
      </w:pPr>
      <w:r w:rsidRPr="00815992">
        <w:rPr>
          <w:rStyle w:val="TextoNormalNegritaCaracter"/>
        </w:rPr>
        <w:t>Artículo VII.</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TextoNormal"/>
      </w:pPr>
    </w:p>
    <w:p w:rsidR="00815992" w:rsidRDefault="00815992" w:rsidP="00815992">
      <w:pPr>
        <w:pStyle w:val="SangriaFrancesaArticulo"/>
      </w:pPr>
      <w:bookmarkStart w:id="201" w:name="INDICE22871"/>
    </w:p>
    <w:bookmarkEnd w:id="201"/>
    <w:p w:rsidR="00815992" w:rsidRDefault="00815992" w:rsidP="00815992">
      <w:pPr>
        <w:pStyle w:val="TextoIndiceNivel2"/>
        <w:suppressAutoHyphens/>
      </w:pPr>
      <w:r>
        <w:t>M) Unión Europea</w:t>
      </w:r>
    </w:p>
    <w:p w:rsidR="00815992" w:rsidRDefault="00815992" w:rsidP="00815992">
      <w:pPr>
        <w:pStyle w:val="TextoIndiceNivel2"/>
      </w:pPr>
    </w:p>
    <w:p w:rsidR="00815992" w:rsidRDefault="00815992" w:rsidP="00815992">
      <w:pPr>
        <w:pStyle w:val="TextoNormalNegritaCursivandice"/>
      </w:pPr>
      <w:r>
        <w:t>Directiva 79/7/CEE del Consejo, de 19 de diciembre de 1978. Aplicación progresiva del principio de igualdad de trato entre hombres y mujeres en materia de seguridad social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 w:history="1">
        <w:r w:rsidRPr="00815992">
          <w:rPr>
            <w:rStyle w:val="TextoNormalCaracter"/>
          </w:rPr>
          <w:t>5/1992</w:t>
        </w:r>
      </w:hyperlink>
      <w:r>
        <w:t>, f. 6.</w:t>
      </w:r>
    </w:p>
    <w:p w:rsidR="00815992" w:rsidRDefault="00815992" w:rsidP="00815992">
      <w:pPr>
        <w:pStyle w:val="SangriaFrancesaArticulo"/>
      </w:pPr>
    </w:p>
    <w:p w:rsidR="00815992" w:rsidRDefault="00815992" w:rsidP="00815992">
      <w:pPr>
        <w:pStyle w:val="TextoNormalNegritaCursivandice"/>
      </w:pPr>
      <w:r>
        <w:t>Reglamento (CEE) núm. 797/85 del Consejo, de 12 de marzo de 1985. Mejora de las estructuras agrarias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13" w:history="1">
        <w:r w:rsidRPr="00815992">
          <w:rPr>
            <w:rStyle w:val="TextoNormalCaracter"/>
          </w:rPr>
          <w:t>13/1992</w:t>
        </w:r>
      </w:hyperlink>
      <w:r>
        <w:t>, f. 13.</w:t>
      </w:r>
    </w:p>
    <w:p w:rsidR="00815992" w:rsidRDefault="00815992" w:rsidP="00815992">
      <w:pPr>
        <w:pStyle w:val="SangriaFrancesaArticulo"/>
      </w:pPr>
    </w:p>
    <w:p w:rsidR="00815992" w:rsidRDefault="00815992" w:rsidP="00815992">
      <w:pPr>
        <w:pStyle w:val="TextoNormalNegritaCursivandice"/>
      </w:pPr>
      <w:r>
        <w:t>Directiva 86/378/CEE del Consejo, de 24 de julio de 1986. Aplicación del principio de igualdad de trato entre hombres y mujeres en los regímenes profesionales de seguridad social</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5" w:history="1">
        <w:r w:rsidRPr="00815992">
          <w:rPr>
            <w:rStyle w:val="TextoNormalCaracter"/>
          </w:rPr>
          <w:t>5/1992</w:t>
        </w:r>
      </w:hyperlink>
      <w:r>
        <w:t>, f. 6.</w:t>
      </w:r>
    </w:p>
    <w:p w:rsidR="00815992" w:rsidRDefault="00815992" w:rsidP="00815992">
      <w:pPr>
        <w:pStyle w:val="TextoNormal"/>
      </w:pPr>
    </w:p>
    <w:p w:rsidR="00815992" w:rsidRDefault="00815992" w:rsidP="00815992">
      <w:pPr>
        <w:pStyle w:val="SangriaFrancesaArticulo"/>
      </w:pPr>
      <w:bookmarkStart w:id="202" w:name="INDICE27994"/>
    </w:p>
    <w:bookmarkEnd w:id="202"/>
    <w:p w:rsidR="00815992" w:rsidRDefault="00815992" w:rsidP="00815992">
      <w:pPr>
        <w:pStyle w:val="TextoIndiceNivel2"/>
        <w:suppressAutoHyphens/>
      </w:pPr>
      <w:r>
        <w:t>N) Consejo de Europa</w:t>
      </w:r>
    </w:p>
    <w:p w:rsidR="00815992" w:rsidRDefault="00815992" w:rsidP="00815992">
      <w:pPr>
        <w:pStyle w:val="TextoIndiceNivel2"/>
      </w:pPr>
    </w:p>
    <w:p w:rsidR="00815992" w:rsidRDefault="00815992" w:rsidP="00815992">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815992" w:rsidRDefault="00815992" w:rsidP="00815992">
      <w:pPr>
        <w:pStyle w:val="SangriaFrancesaArticulo"/>
      </w:pPr>
      <w:r w:rsidRPr="00815992">
        <w:rPr>
          <w:rStyle w:val="TextoNormalNegritaCaracter"/>
        </w:rPr>
        <w:t>Artículo 5.3.</w:t>
      </w:r>
      <w:r w:rsidRPr="00815992">
        <w:rPr>
          <w:rStyle w:val="TextoNormalCaracter"/>
        </w:rPr>
        <w:t>-</w:t>
      </w:r>
      <w:r>
        <w:t xml:space="preserve"> Auto </w:t>
      </w:r>
      <w:hyperlink w:anchor="AUTO_1992_50" w:history="1">
        <w:r w:rsidRPr="00815992">
          <w:rPr>
            <w:rStyle w:val="TextoNormalCaracter"/>
          </w:rPr>
          <w:t>50/1992</w:t>
        </w:r>
      </w:hyperlink>
      <w:r>
        <w:t>.</w:t>
      </w:r>
    </w:p>
    <w:p w:rsidR="00815992" w:rsidRDefault="00815992" w:rsidP="00815992">
      <w:pPr>
        <w:pStyle w:val="SangriaFrancesaArticulo"/>
      </w:pPr>
      <w:r w:rsidRPr="00815992">
        <w:rPr>
          <w:rStyle w:val="TextoNormalNegritaCaracter"/>
        </w:rPr>
        <w:t>Artículo 5.4.</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r w:rsidRPr="00815992">
        <w:rPr>
          <w:rStyle w:val="TextoNormalNegritaCaracter"/>
        </w:rPr>
        <w:t>Artículo 6.1.</w:t>
      </w:r>
      <w:r w:rsidRPr="00815992">
        <w:rPr>
          <w:rStyle w:val="TextoNormalCaracter"/>
        </w:rPr>
        <w:t>-</w:t>
      </w:r>
      <w:r>
        <w:t xml:space="preserve"> Sentencia </w:t>
      </w:r>
      <w:hyperlink w:anchor="SENTENCIA_1992_65" w:history="1">
        <w:r w:rsidRPr="00815992">
          <w:rPr>
            <w:rStyle w:val="TextoNormalCaracter"/>
          </w:rPr>
          <w:t>65/1992</w:t>
        </w:r>
      </w:hyperlink>
      <w:r>
        <w:t>, f. 2.</w:t>
      </w:r>
    </w:p>
    <w:p w:rsidR="00815992" w:rsidRDefault="00815992" w:rsidP="00815992">
      <w:pPr>
        <w:pStyle w:val="SangriaFrancesaArticulo"/>
      </w:pPr>
      <w:r w:rsidRPr="00815992">
        <w:rPr>
          <w:rStyle w:val="TextoNormalNegritaCaracter"/>
        </w:rPr>
        <w:t>Artículo 6.3 d).</w:t>
      </w:r>
      <w:r w:rsidRPr="00815992">
        <w:rPr>
          <w:rStyle w:val="TextoNormalCaracter"/>
        </w:rPr>
        <w:t>-</w:t>
      </w:r>
      <w:r>
        <w:t xml:space="preserve"> Sentencia </w:t>
      </w:r>
      <w:hyperlink w:anchor="SENTENCIA_1992_10" w:history="1">
        <w:r w:rsidRPr="00815992">
          <w:rPr>
            <w:rStyle w:val="TextoNormalCaracter"/>
          </w:rPr>
          <w:t>10/1992</w:t>
        </w:r>
      </w:hyperlink>
      <w:r>
        <w:t>, f. 4.</w:t>
      </w:r>
    </w:p>
    <w:p w:rsidR="00815992" w:rsidRDefault="00815992">
      <w:pPr>
        <w:rPr>
          <w:rFonts w:ascii="Times New Roman" w:eastAsia="Times New Roman" w:hAnsi="Times New Roman" w:cs="Times New Roman"/>
          <w:sz w:val="24"/>
          <w:szCs w:val="24"/>
          <w:lang w:eastAsia="es-ES"/>
        </w:rPr>
      </w:pPr>
      <w:r>
        <w:br w:type="page"/>
      </w:r>
    </w:p>
    <w:p w:rsidR="00815992" w:rsidRDefault="00815992" w:rsidP="00815992">
      <w:pPr>
        <w:pStyle w:val="SangriaFrancesaArticulo"/>
      </w:pPr>
    </w:p>
    <w:p w:rsidR="00815992" w:rsidRDefault="00815992" w:rsidP="00815992">
      <w:pPr>
        <w:pStyle w:val="TextoNormal"/>
      </w:pPr>
    </w:p>
    <w:p w:rsidR="00815992" w:rsidRDefault="00815992" w:rsidP="00815992">
      <w:pPr>
        <w:pStyle w:val="TextoNormal"/>
      </w:pPr>
    </w:p>
    <w:p w:rsidR="00815992" w:rsidRDefault="00815992" w:rsidP="00815992">
      <w:pPr>
        <w:pStyle w:val="TextoNormal"/>
      </w:pPr>
    </w:p>
    <w:p w:rsidR="00815992" w:rsidRDefault="000D65D0" w:rsidP="00815992">
      <w:pPr>
        <w:pStyle w:val="Ttulondice"/>
        <w:suppressAutoHyphens/>
      </w:pPr>
      <w:r>
        <w:t>6.</w:t>
      </w:r>
      <w:r w:rsidR="00727FC3">
        <w:t xml:space="preserve"> ÍNDICE DE RESOLUCIONES JUDICIALES DE OTROS TRIBUNALES CITADAS</w:t>
      </w: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suppressAutoHyphens/>
      </w:pPr>
    </w:p>
    <w:p w:rsidR="00815992" w:rsidRDefault="00815992" w:rsidP="00815992">
      <w:pPr>
        <w:pStyle w:val="TextoNormal"/>
      </w:pPr>
    </w:p>
    <w:p w:rsidR="00815992" w:rsidRDefault="00815992" w:rsidP="00815992">
      <w:pPr>
        <w:pStyle w:val="TextoNormal"/>
      </w:pPr>
      <w:bookmarkStart w:id="203" w:name="INDICE22805"/>
      <w:bookmarkEnd w:id="203"/>
    </w:p>
    <w:p w:rsidR="00815992" w:rsidRDefault="00815992" w:rsidP="00815992">
      <w:pPr>
        <w:pStyle w:val="TextoIndiceNivel2"/>
        <w:suppressAutoHyphens/>
      </w:pPr>
      <w:r>
        <w:t>A) Tribunal Europeo de Derechos Humanos</w:t>
      </w:r>
    </w:p>
    <w:p w:rsidR="00815992" w:rsidRDefault="00815992" w:rsidP="00815992">
      <w:pPr>
        <w:pStyle w:val="TextoIndiceNivel2"/>
      </w:pPr>
    </w:p>
    <w:p w:rsidR="00815992" w:rsidRDefault="00815992" w:rsidP="00815992">
      <w:pPr>
        <w:pStyle w:val="TextoNormalNegritaCursivandice"/>
      </w:pPr>
      <w:r>
        <w:t>Sentencia del Tribunal Europeo de Derechos Humanos de 18 de junio de 1971 (De Wilde, Ooms y Versyp c. Bélgica)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t>Sentencia del Tribunal Europeo de Derechos Humanos de 24 de octubre de 1979 (Winterwerp c. Países Bajos)</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t>Sentencia del Tribunal Europeo de Derechos Humanos de 4 de diciembre de 1979 (Schiesser c. Suiza)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t>Sentencia del Tribunal Europeo de Derechos Humanos de 5 de noviembre de 1981 (X c. Reino Unido)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t>Sentencia del Tribunal Europeo de Derechos Humanos de 24 de junio de 1982 (Van Droogenbroeck c. Bélgica)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t>Sentencia del Tribunal Europeo de Derechos Humanos de 21 de octubre de 1986 (Sánchez-Reisse c. Suiza)</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SangriaFrancesaArticulo"/>
      </w:pPr>
    </w:p>
    <w:p w:rsidR="00815992" w:rsidRDefault="00815992" w:rsidP="00815992">
      <w:pPr>
        <w:pStyle w:val="TextoNormalNegritaCursivandice"/>
      </w:pPr>
      <w:r>
        <w:lastRenderedPageBreak/>
        <w:t>Sentencia del Tribunal Europeo de Derechos Humanos de 2 de marzo de 1987 (Weeks c. Reino Unido)</w:t>
      </w:r>
    </w:p>
    <w:p w:rsidR="00815992" w:rsidRDefault="00815992" w:rsidP="00815992">
      <w:pPr>
        <w:pStyle w:val="SangriaFrancesaArticulo"/>
      </w:pPr>
      <w:r w:rsidRPr="00815992">
        <w:rPr>
          <w:rStyle w:val="TextoNormalNegritaCaracter"/>
        </w:rPr>
        <w:t>En general.</w:t>
      </w:r>
      <w:r w:rsidRPr="00815992">
        <w:rPr>
          <w:rStyle w:val="TextoNormalCaracter"/>
        </w:rPr>
        <w:t>-</w:t>
      </w:r>
      <w:r>
        <w:t xml:space="preserve"> Sentencia </w:t>
      </w:r>
      <w:hyperlink w:anchor="SENTENCIA_1992_3" w:history="1">
        <w:r w:rsidRPr="00815992">
          <w:rPr>
            <w:rStyle w:val="TextoNormalCaracter"/>
          </w:rPr>
          <w:t>3/1992</w:t>
        </w:r>
      </w:hyperlink>
      <w:r>
        <w:t>, f. 4.</w:t>
      </w:r>
    </w:p>
    <w:p w:rsidR="00815992" w:rsidRDefault="00815992" w:rsidP="00815992">
      <w:pPr>
        <w:pStyle w:val="TextoNormal"/>
      </w:pPr>
    </w:p>
    <w:p w:rsidR="00815992" w:rsidRDefault="00815992" w:rsidP="00815992">
      <w:pPr>
        <w:pStyle w:val="SangriaFrancesaArticulo"/>
      </w:pPr>
      <w:bookmarkStart w:id="204" w:name="INDICE22925"/>
    </w:p>
    <w:bookmarkEnd w:id="204"/>
    <w:p w:rsidR="00815992" w:rsidRDefault="00815992" w:rsidP="00815992">
      <w:pPr>
        <w:pStyle w:val="TextoIndiceNivel2"/>
        <w:suppressAutoHyphens/>
      </w:pPr>
      <w:r>
        <w:t>C) Tribunal Supremo</w:t>
      </w:r>
    </w:p>
    <w:p w:rsidR="00815992" w:rsidRDefault="00815992" w:rsidP="00815992">
      <w:pPr>
        <w:pStyle w:val="TextoIndiceNivel2"/>
      </w:pPr>
    </w:p>
    <w:p w:rsidR="00815992" w:rsidRDefault="00815992" w:rsidP="00815992">
      <w:pPr>
        <w:pStyle w:val="TextoNormalNegritaCursivandice"/>
      </w:pPr>
      <w:r>
        <w:t>Sentencia de la Sala de lo Militar del Tribunal Supremo de 24 de junio de 1988</w:t>
      </w:r>
    </w:p>
    <w:p w:rsidR="00815992" w:rsidRDefault="00815992" w:rsidP="00815992">
      <w:pPr>
        <w:pStyle w:val="SangriaFrancesaArticulo"/>
      </w:pPr>
      <w:r>
        <w:t xml:space="preserve">Sentencia </w:t>
      </w:r>
      <w:hyperlink w:anchor="SENTENCIA_1992_8" w:history="1">
        <w:r w:rsidRPr="00815992">
          <w:rPr>
            <w:rStyle w:val="TextoNormalCaracter"/>
          </w:rPr>
          <w:t>8/1992</w:t>
        </w:r>
      </w:hyperlink>
      <w:r>
        <w:t xml:space="preserve"> (anula).</w:t>
      </w:r>
    </w:p>
    <w:p w:rsidR="00815992" w:rsidRDefault="00815992" w:rsidP="00815992">
      <w:pPr>
        <w:pStyle w:val="SangriaFrancesaArticulo"/>
      </w:pPr>
    </w:p>
    <w:p w:rsidR="00815992" w:rsidRDefault="00815992" w:rsidP="00815992">
      <w:pPr>
        <w:pStyle w:val="TextoNormalNegritaCursivandice"/>
      </w:pPr>
      <w:r>
        <w:t>Auto de la Sala de lo Civil del Tribunal Supremo de 4 de octubre de 1988</w:t>
      </w:r>
    </w:p>
    <w:p w:rsidR="00815992" w:rsidRDefault="00815992" w:rsidP="00815992">
      <w:pPr>
        <w:pStyle w:val="SangriaFrancesaArticulo"/>
      </w:pPr>
      <w:r>
        <w:t xml:space="preserve">Sentencia </w:t>
      </w:r>
      <w:hyperlink w:anchor="SENTENCIA_1992_63" w:history="1">
        <w:r w:rsidRPr="00815992">
          <w:rPr>
            <w:rStyle w:val="TextoNormalCaracter"/>
          </w:rPr>
          <w:t>63/1992</w:t>
        </w:r>
      </w:hyperlink>
      <w:r>
        <w:t xml:space="preserve"> (anula).</w:t>
      </w:r>
    </w:p>
    <w:p w:rsidR="00815992" w:rsidRDefault="00815992" w:rsidP="00815992">
      <w:pPr>
        <w:pStyle w:val="SangriaFrancesaArticulo"/>
      </w:pPr>
    </w:p>
    <w:p w:rsidR="00815992" w:rsidRDefault="00815992" w:rsidP="00815992">
      <w:pPr>
        <w:pStyle w:val="TextoNormalNegritaCursivandice"/>
      </w:pPr>
      <w:r>
        <w:t>Sentencia de la Sala de lo Penal del Tribunal Supremo de 6 de octubre de 1988</w:t>
      </w:r>
    </w:p>
    <w:p w:rsidR="00815992" w:rsidRDefault="00815992" w:rsidP="00815992">
      <w:pPr>
        <w:pStyle w:val="SangriaFrancesaArticulo"/>
      </w:pPr>
      <w:r>
        <w:t xml:space="preserve">Sentencia </w:t>
      </w:r>
      <w:hyperlink w:anchor="SENTENCIA_1992_10" w:history="1">
        <w:r w:rsidRPr="00815992">
          <w:rPr>
            <w:rStyle w:val="TextoNormalCaracter"/>
          </w:rPr>
          <w:t>10/1992</w:t>
        </w:r>
      </w:hyperlink>
      <w:r>
        <w:t xml:space="preserve"> (anula).</w:t>
      </w:r>
    </w:p>
    <w:p w:rsidR="00815992" w:rsidRDefault="00815992" w:rsidP="00815992">
      <w:pPr>
        <w:pStyle w:val="SangriaFrancesaArticulo"/>
      </w:pPr>
    </w:p>
    <w:p w:rsidR="00815992" w:rsidRDefault="00815992" w:rsidP="00815992">
      <w:pPr>
        <w:pStyle w:val="TextoNormalNegritaCursivandice"/>
      </w:pPr>
      <w:r>
        <w:t>Auto de la Sala de lo Civil del Tribunal Supremo de 13 de abril de 1989</w:t>
      </w:r>
    </w:p>
    <w:p w:rsidR="00815992" w:rsidRDefault="00815992" w:rsidP="00815992">
      <w:pPr>
        <w:pStyle w:val="SangriaFrancesaArticulo"/>
      </w:pPr>
      <w:r>
        <w:t xml:space="preserve">Sentencia </w:t>
      </w:r>
      <w:hyperlink w:anchor="SENTENCIA_1992_55" w:history="1">
        <w:r w:rsidRPr="00815992">
          <w:rPr>
            <w:rStyle w:val="TextoNormalCaracter"/>
          </w:rPr>
          <w:t>55/1992</w:t>
        </w:r>
      </w:hyperlink>
      <w:r>
        <w:t xml:space="preserve"> (anula).</w:t>
      </w:r>
    </w:p>
    <w:p w:rsidR="00815992" w:rsidRDefault="00815992">
      <w:pPr>
        <w:rPr>
          <w:rFonts w:ascii="Times New Roman" w:eastAsia="Times New Roman" w:hAnsi="Times New Roman" w:cs="Times New Roman"/>
          <w:sz w:val="24"/>
          <w:szCs w:val="24"/>
          <w:lang w:eastAsia="es-ES"/>
        </w:rPr>
      </w:pPr>
      <w:r>
        <w:br w:type="page"/>
      </w:r>
    </w:p>
    <w:p w:rsidR="00815992" w:rsidRDefault="00815992" w:rsidP="00815992">
      <w:pPr>
        <w:pStyle w:val="SangriaFrancesaArticulo"/>
      </w:pPr>
      <w:bookmarkStart w:id="205" w:name="DESCRIPTOR1"/>
      <w:bookmarkStart w:id="206" w:name="DESCRIPTOR2"/>
      <w:bookmarkStart w:id="207" w:name="DESCRIPTOR3"/>
      <w:bookmarkStart w:id="208" w:name="DESCRIPTOR4"/>
      <w:bookmarkStart w:id="209" w:name="DESCRIPTOR5"/>
      <w:bookmarkStart w:id="210" w:name="DESCRIPTOR6"/>
      <w:bookmarkStart w:id="211" w:name="DESCRIPTOR7"/>
      <w:bookmarkStart w:id="212" w:name="DESCRIPTOR8"/>
      <w:bookmarkStart w:id="213" w:name="DESCRIPTOR9"/>
      <w:bookmarkStart w:id="214" w:name="DESCRIPTOR10"/>
      <w:bookmarkStart w:id="215" w:name="DESCRIPTOR11"/>
      <w:bookmarkStart w:id="216" w:name="DESCRIPTOR12"/>
      <w:bookmarkStart w:id="217" w:name="DESCRIPTOR13"/>
      <w:bookmarkStart w:id="218" w:name="DESCRIPTOR14"/>
      <w:bookmarkStart w:id="219" w:name="DESCRIPTOR15"/>
      <w:bookmarkStart w:id="220" w:name="DESCRIPTOR16"/>
      <w:bookmarkStart w:id="221" w:name="DESCRIPTOR17"/>
      <w:bookmarkStart w:id="222" w:name="DESCRIPTOR18"/>
      <w:bookmarkStart w:id="223" w:name="DESCRIPTOR19"/>
      <w:bookmarkStart w:id="224" w:name="DESCRIPTOR20"/>
      <w:bookmarkStart w:id="225" w:name="DESCRIPTOR21"/>
      <w:bookmarkStart w:id="226" w:name="DESCRIPTOR22"/>
      <w:bookmarkStart w:id="227" w:name="DESCRIPTOR23"/>
      <w:bookmarkStart w:id="228" w:name="DESCRIPTOR24"/>
      <w:bookmarkStart w:id="229" w:name="DESCRIPTOR25"/>
      <w:bookmarkStart w:id="230" w:name="DESCRIPTOR26"/>
      <w:bookmarkStart w:id="231" w:name="DESCRIPTOR27"/>
      <w:bookmarkStart w:id="232" w:name="DESCRIPTOR28"/>
      <w:bookmarkStart w:id="233" w:name="DESCRIPTOR29"/>
      <w:bookmarkStart w:id="234" w:name="DESCRIPTOR30"/>
      <w:bookmarkStart w:id="235" w:name="DESCRIPTOR31"/>
      <w:bookmarkStart w:id="236" w:name="DESCRIPTOR32"/>
      <w:bookmarkStart w:id="237" w:name="DESCRIPTOR33"/>
      <w:bookmarkStart w:id="238" w:name="DESCRIPTOR34"/>
      <w:bookmarkStart w:id="239" w:name="DESCRIPTOR35"/>
      <w:bookmarkStart w:id="240" w:name="DESCRIPTOR36"/>
      <w:bookmarkStart w:id="241" w:name="DESCRIPTOR37"/>
      <w:bookmarkStart w:id="242" w:name="DESCRIPTOR38"/>
      <w:bookmarkStart w:id="243" w:name="DESCRIPTOR39"/>
      <w:bookmarkStart w:id="244" w:name="DESCRIPTOR40"/>
      <w:bookmarkStart w:id="245" w:name="DESCRIPTOR41"/>
      <w:bookmarkStart w:id="246" w:name="DESCRIPTOR42"/>
      <w:bookmarkStart w:id="247" w:name="DESCRIPTOR43"/>
      <w:bookmarkStart w:id="248" w:name="DESCRIPTOR44"/>
      <w:bookmarkStart w:id="249" w:name="DESCRIPTOR45"/>
      <w:bookmarkStart w:id="250" w:name="DESCRIPTOR46"/>
      <w:bookmarkStart w:id="251" w:name="DESCRIPTOR47"/>
      <w:bookmarkStart w:id="252" w:name="DESCRIPTOR48"/>
      <w:bookmarkStart w:id="253" w:name="DESCRIPTOR49"/>
      <w:bookmarkStart w:id="254" w:name="DESCRIPTOR50"/>
      <w:bookmarkStart w:id="255" w:name="DESCRIPTOR51"/>
      <w:bookmarkStart w:id="256" w:name="DESCRIPTOR52"/>
      <w:bookmarkStart w:id="257" w:name="DESCRIPTOR53"/>
      <w:bookmarkStart w:id="258" w:name="DESCRIPTOR54"/>
      <w:bookmarkStart w:id="259" w:name="DESCRIPTOR55"/>
      <w:bookmarkStart w:id="260" w:name="DESCRIPTOR56"/>
      <w:bookmarkStart w:id="261" w:name="DESCRIPTOR57"/>
      <w:bookmarkStart w:id="262" w:name="DESCRIPTOR58"/>
      <w:bookmarkStart w:id="263" w:name="DESCRIPTOR59"/>
      <w:bookmarkStart w:id="264" w:name="DESCRIPTOR60"/>
      <w:bookmarkStart w:id="265" w:name="DESCRIPTOR61"/>
      <w:bookmarkStart w:id="266" w:name="DESCRIPTOR62"/>
      <w:bookmarkStart w:id="267" w:name="DESCRIPTOR63"/>
      <w:bookmarkStart w:id="268" w:name="DESCRIPTOR64"/>
      <w:bookmarkStart w:id="269" w:name="DESCRIPTOR65"/>
      <w:bookmarkStart w:id="270" w:name="DESCRIPTOR66"/>
      <w:bookmarkStart w:id="271" w:name="DESCRIPTOR67"/>
      <w:bookmarkStart w:id="272" w:name="DESCRIPTOR68"/>
      <w:bookmarkStart w:id="273" w:name="DESCRIPTOR69"/>
      <w:bookmarkStart w:id="274" w:name="DESCRIPTOR70"/>
      <w:bookmarkStart w:id="275" w:name="DESCRIPTOR71"/>
      <w:bookmarkStart w:id="276" w:name="DESCRIPTOR72"/>
      <w:bookmarkStart w:id="277" w:name="DESCRIPTOR73"/>
      <w:bookmarkStart w:id="278" w:name="DESCRIPTOR74"/>
      <w:bookmarkStart w:id="279" w:name="DESCRIPTOR75"/>
      <w:bookmarkStart w:id="280" w:name="DESCRIPTOR76"/>
      <w:bookmarkStart w:id="281" w:name="DESCRIPTOR77"/>
      <w:bookmarkStart w:id="282" w:name="DESCRIPTOR78"/>
      <w:bookmarkStart w:id="283" w:name="DESCRIPTOR79"/>
      <w:bookmarkStart w:id="284" w:name="DESCRIPTOR80"/>
      <w:bookmarkStart w:id="285" w:name="DESCRIPTOR81"/>
      <w:bookmarkStart w:id="286" w:name="DESCRIPTOR82"/>
      <w:bookmarkStart w:id="287" w:name="DESCRIPTOR83"/>
      <w:bookmarkStart w:id="288" w:name="DESCRIPTOR84"/>
      <w:bookmarkStart w:id="289" w:name="DESCRIPTOR85"/>
      <w:bookmarkStart w:id="290" w:name="DESCRIPTOR86"/>
      <w:bookmarkStart w:id="291" w:name="DESCRIPTOR87"/>
      <w:bookmarkStart w:id="292" w:name="DESCRIPTOR88"/>
      <w:bookmarkStart w:id="293" w:name="DESCRIPTOR89"/>
      <w:bookmarkStart w:id="294" w:name="DESCRIPTOR90"/>
      <w:bookmarkStart w:id="295" w:name="DESCRIPTOR91"/>
      <w:bookmarkStart w:id="296" w:name="DESCRIPTOR92"/>
      <w:bookmarkStart w:id="297" w:name="DESCRIPTOR93"/>
      <w:bookmarkStart w:id="298" w:name="DESCRIPTOR94"/>
      <w:bookmarkStart w:id="299" w:name="DESCRIPTOR95"/>
      <w:bookmarkStart w:id="300" w:name="DESCRIPTOR96"/>
      <w:bookmarkStart w:id="301" w:name="DESCRIPTOR97"/>
      <w:bookmarkStart w:id="302" w:name="DESCRIPTOR98"/>
      <w:bookmarkStart w:id="303" w:name="DESCRIPTOR99"/>
      <w:bookmarkStart w:id="304" w:name="DESCRIPTOR100"/>
      <w:bookmarkStart w:id="305" w:name="DESCRIPTOR101"/>
      <w:bookmarkStart w:id="306" w:name="DESCRIPTOR102"/>
      <w:bookmarkStart w:id="307" w:name="DESCRIPTOR103"/>
      <w:bookmarkStart w:id="308" w:name="DESCRIPTOR104"/>
      <w:bookmarkStart w:id="309" w:name="DESCRIPTOR105"/>
      <w:bookmarkStart w:id="310" w:name="DESCRIPTOR106"/>
      <w:bookmarkStart w:id="311" w:name="DESCRIPTOR107"/>
      <w:bookmarkStart w:id="312" w:name="DESCRIPTOR108"/>
      <w:bookmarkStart w:id="313" w:name="DESCRIPTOR109"/>
      <w:bookmarkStart w:id="314" w:name="DESCRIPTOR110"/>
      <w:bookmarkStart w:id="315" w:name="DESCRIPTOR111"/>
      <w:bookmarkStart w:id="316" w:name="DESCRIPTOR112"/>
      <w:bookmarkStart w:id="317" w:name="DESCRIPTOR113"/>
      <w:bookmarkStart w:id="318" w:name="DESCRIPTOR114"/>
      <w:bookmarkStart w:id="319" w:name="DESCRIPTOR115"/>
      <w:bookmarkStart w:id="320" w:name="DESCRIPTOR116"/>
      <w:bookmarkStart w:id="321" w:name="DESCRIPTOR117"/>
      <w:bookmarkStart w:id="322" w:name="DESCRIPTOR118"/>
      <w:bookmarkStart w:id="323" w:name="DESCRIPTOR119"/>
      <w:bookmarkStart w:id="324" w:name="DESCRIPTOR120"/>
      <w:bookmarkStart w:id="325" w:name="DESCRIPTOR121"/>
      <w:bookmarkStart w:id="326" w:name="DESCRIPTOR122"/>
      <w:bookmarkStart w:id="327" w:name="DESCRIPTOR123"/>
      <w:bookmarkStart w:id="328" w:name="DESCRIPTOR124"/>
      <w:bookmarkStart w:id="329" w:name="DESCRIPTOR125"/>
      <w:bookmarkStart w:id="330" w:name="DESCRIPTOR126"/>
      <w:bookmarkStart w:id="331" w:name="DESCRIPTOR127"/>
      <w:bookmarkStart w:id="332" w:name="DESCRIPTOR128"/>
      <w:bookmarkStart w:id="333" w:name="DESCRIPTOR129"/>
      <w:bookmarkStart w:id="334" w:name="DESCRIPTOR130"/>
      <w:bookmarkStart w:id="335" w:name="DESCRIPTOR131"/>
      <w:bookmarkStart w:id="336" w:name="DESCRIPTOR132"/>
      <w:bookmarkStart w:id="337" w:name="DESCRIPTOR133"/>
      <w:bookmarkStart w:id="338" w:name="DESCRIPTOR134"/>
      <w:bookmarkStart w:id="339" w:name="DESCRIPTOR135"/>
      <w:bookmarkStart w:id="340" w:name="DESCRIPTOR136"/>
      <w:bookmarkStart w:id="341" w:name="DESCRIPTOR137"/>
      <w:bookmarkStart w:id="342" w:name="DESCRIPTOR138"/>
      <w:bookmarkStart w:id="343" w:name="DESCRIPTOR139"/>
      <w:bookmarkStart w:id="344" w:name="DESCRIPTOR140"/>
      <w:bookmarkStart w:id="345" w:name="DESCRIPTOR141"/>
      <w:bookmarkStart w:id="346" w:name="DESCRIPTOR142"/>
      <w:bookmarkStart w:id="347" w:name="DESCRIPTOR143"/>
      <w:bookmarkStart w:id="348" w:name="DESCRIPTOR144"/>
      <w:bookmarkStart w:id="349" w:name="DESCRIPTOR145"/>
      <w:bookmarkStart w:id="350" w:name="DESCRIPTOR146"/>
      <w:bookmarkStart w:id="351" w:name="DESCRIPTOR147"/>
      <w:bookmarkStart w:id="352" w:name="DESCRIPTOR148"/>
      <w:bookmarkStart w:id="353" w:name="DESCRIPTOR149"/>
      <w:bookmarkStart w:id="354" w:name="DESCRIPTOR150"/>
      <w:bookmarkStart w:id="355" w:name="DESCRIPTOR151"/>
      <w:bookmarkStart w:id="356" w:name="DESCRIPTOR152"/>
      <w:bookmarkStart w:id="357" w:name="DESCRIPTOR153"/>
      <w:bookmarkStart w:id="358" w:name="DESCRIPTOR154"/>
      <w:bookmarkStart w:id="359" w:name="DESCRIPTOR155"/>
      <w:bookmarkStart w:id="360" w:name="DESCRIPTOR156"/>
      <w:bookmarkStart w:id="361" w:name="DESCRIPTOR157"/>
      <w:bookmarkStart w:id="362" w:name="DESCRIPTOR158"/>
      <w:bookmarkStart w:id="363" w:name="DESCRIPTOR159"/>
      <w:bookmarkStart w:id="364" w:name="DESCRIPTOR160"/>
      <w:bookmarkStart w:id="365" w:name="DESCRIPTOR161"/>
      <w:bookmarkStart w:id="366" w:name="DESCRIPTOR162"/>
      <w:bookmarkStart w:id="367" w:name="DESCRIPTOR163"/>
      <w:bookmarkStart w:id="368" w:name="DESCRIPTOR164"/>
      <w:bookmarkStart w:id="369" w:name="DESCRIPTOR165"/>
      <w:bookmarkStart w:id="370" w:name="DESCRIPTOR166"/>
      <w:bookmarkStart w:id="371" w:name="DESCRIPTOR167"/>
      <w:bookmarkStart w:id="372" w:name="DESCRIPTOR168"/>
      <w:bookmarkStart w:id="373" w:name="DESCRIPTOR169"/>
      <w:bookmarkStart w:id="374" w:name="DESCRIPTOR170"/>
      <w:bookmarkStart w:id="375" w:name="DESCRIPTOR171"/>
      <w:bookmarkStart w:id="376" w:name="DESCRIPTOR172"/>
      <w:bookmarkStart w:id="377" w:name="DESCRIPTOR173"/>
      <w:bookmarkStart w:id="378" w:name="DESCRIPTOR174"/>
      <w:bookmarkStart w:id="379" w:name="DESCRIPTOR175"/>
      <w:bookmarkStart w:id="380" w:name="DESCRIPTOR176"/>
      <w:bookmarkStart w:id="381" w:name="DESCRIPTOR177"/>
      <w:bookmarkStart w:id="382" w:name="DESCRIPTOR178"/>
      <w:bookmarkStart w:id="383" w:name="DESCRIPTOR179"/>
      <w:bookmarkStart w:id="384" w:name="DESCRIPTOR180"/>
      <w:bookmarkStart w:id="385" w:name="DESCRIPTOR181"/>
      <w:bookmarkStart w:id="386" w:name="DESCRIPTOR182"/>
      <w:bookmarkStart w:id="387" w:name="DESCRIPTOR183"/>
      <w:bookmarkStart w:id="388" w:name="DESCRIPTOR184"/>
      <w:bookmarkStart w:id="389" w:name="DESCRIPTOR185"/>
      <w:bookmarkStart w:id="390" w:name="DESCRIPTOR186"/>
      <w:bookmarkStart w:id="391" w:name="DESCRIPTOR187"/>
      <w:bookmarkStart w:id="392" w:name="DESCRIPTOR188"/>
      <w:bookmarkStart w:id="393" w:name="DESCRIPTOR189"/>
      <w:bookmarkStart w:id="394" w:name="DESCRIPTOR190"/>
      <w:bookmarkStart w:id="395" w:name="DESCRIPTOR191"/>
      <w:bookmarkStart w:id="396" w:name="DESCRIPTOR192"/>
      <w:bookmarkStart w:id="397" w:name="DESCRIPTOR193"/>
      <w:bookmarkStart w:id="398" w:name="DESCRIPTOR194"/>
      <w:bookmarkStart w:id="399" w:name="DESCRIPTOR195"/>
      <w:bookmarkStart w:id="400" w:name="DESCRIPTOR196"/>
      <w:bookmarkStart w:id="401" w:name="DESCRIPTOR197"/>
      <w:bookmarkStart w:id="402" w:name="DESCRIPTOR198"/>
      <w:bookmarkStart w:id="403" w:name="DESCRIPTOR199"/>
      <w:bookmarkStart w:id="404" w:name="DESCRIPTOR200"/>
      <w:bookmarkStart w:id="405" w:name="DESCRIPTOR201"/>
      <w:bookmarkStart w:id="406" w:name="DESCRIPTOR202"/>
      <w:bookmarkStart w:id="407" w:name="DESCRIPTOR203"/>
      <w:bookmarkStart w:id="408" w:name="DESCRIPTOR204"/>
      <w:bookmarkStart w:id="409" w:name="DESCRIPTOR205"/>
      <w:bookmarkStart w:id="410" w:name="DESCRIPTOR206"/>
      <w:bookmarkStart w:id="411" w:name="DESCRIPTOR207"/>
      <w:bookmarkStart w:id="412" w:name="DESCRIPTOR208"/>
      <w:bookmarkStart w:id="413" w:name="DESCRIPTOR209"/>
      <w:bookmarkStart w:id="414" w:name="DESCRIPTOR210"/>
      <w:bookmarkStart w:id="415" w:name="DESCRIPTOR211"/>
      <w:bookmarkStart w:id="416" w:name="DESCRIPTOR212"/>
      <w:bookmarkStart w:id="417" w:name="DESCRIPTOR213"/>
      <w:bookmarkStart w:id="418" w:name="DESCRIPTOR214"/>
      <w:bookmarkStart w:id="419" w:name="DESCRIPTOR215"/>
      <w:bookmarkStart w:id="420" w:name="DESCRIPTOR216"/>
      <w:bookmarkStart w:id="421" w:name="DESCRIPTOR217"/>
      <w:bookmarkStart w:id="422" w:name="DESCRIPTOR218"/>
      <w:bookmarkStart w:id="423" w:name="DESCRIPTOR219"/>
      <w:bookmarkStart w:id="424" w:name="DESCRIPTOR220"/>
      <w:bookmarkStart w:id="425" w:name="DESCRIPTOR221"/>
      <w:bookmarkStart w:id="426" w:name="DESCRIPTOR222"/>
      <w:bookmarkStart w:id="427" w:name="DESCRIPTOR223"/>
      <w:bookmarkStart w:id="428" w:name="DESCRIPTOR224"/>
      <w:bookmarkStart w:id="429" w:name="DESCRIPTOR225"/>
      <w:bookmarkStart w:id="430" w:name="DESCRIPTOR226"/>
      <w:bookmarkStart w:id="431" w:name="DESCRIPTOR227"/>
      <w:bookmarkStart w:id="432" w:name="DESCRIPTOR228"/>
      <w:bookmarkStart w:id="433" w:name="DESCRIPTOR229"/>
      <w:bookmarkStart w:id="434" w:name="DESCRIPTOR230"/>
      <w:bookmarkStart w:id="435" w:name="DESCRIPTOR231"/>
      <w:bookmarkStart w:id="436" w:name="DESCRIPTOR232"/>
      <w:bookmarkStart w:id="437" w:name="DESCRIPTOR233"/>
      <w:bookmarkStart w:id="438" w:name="DESCRIPTOR234"/>
      <w:bookmarkStart w:id="439" w:name="DESCRIPTOR235"/>
      <w:bookmarkStart w:id="440" w:name="DESCRIPTOR236"/>
      <w:bookmarkStart w:id="441" w:name="DESCRIPTOR237"/>
      <w:bookmarkStart w:id="442" w:name="DESCRIPTOR238"/>
      <w:bookmarkStart w:id="443" w:name="DESCRIPTOR239"/>
      <w:bookmarkStart w:id="444" w:name="DESCRIPTOR240"/>
      <w:bookmarkStart w:id="445" w:name="DESCRIPTOR241"/>
      <w:bookmarkStart w:id="446" w:name="DESCRIPTOR242"/>
      <w:bookmarkStart w:id="447" w:name="DESCRIPTOR243"/>
      <w:bookmarkStart w:id="448" w:name="DESCRIPTOR244"/>
      <w:bookmarkStart w:id="449" w:name="DESCRIPTOR245"/>
      <w:bookmarkStart w:id="450" w:name="DESCRIPTOR246"/>
      <w:bookmarkStart w:id="451" w:name="DESCRIPTOR247"/>
      <w:bookmarkStart w:id="452" w:name="DESCRIPTOR248"/>
      <w:bookmarkStart w:id="453" w:name="DESCRIPTOR249"/>
      <w:bookmarkStart w:id="454" w:name="DESCRIPTOR250"/>
      <w:bookmarkStart w:id="455" w:name="DESCRIPTOR251"/>
      <w:bookmarkStart w:id="456" w:name="DESCRIPTOR252"/>
      <w:bookmarkStart w:id="457" w:name="DESCRIPTOR253"/>
      <w:bookmarkStart w:id="458" w:name="DESCRIPTOR254"/>
      <w:bookmarkStart w:id="459" w:name="DESCRIPTOR255"/>
      <w:bookmarkStart w:id="460" w:name="DESCRIPTOR256"/>
      <w:bookmarkStart w:id="461" w:name="DESCRIPTOR257"/>
      <w:bookmarkStart w:id="462" w:name="DESCRIPTOR258"/>
      <w:bookmarkStart w:id="463" w:name="DESCRIPTOR259"/>
      <w:bookmarkStart w:id="464" w:name="DESCRIPTOR260"/>
      <w:bookmarkStart w:id="465" w:name="DESCRIPTOR261"/>
      <w:bookmarkStart w:id="466" w:name="DESCRIPTOR262"/>
      <w:bookmarkStart w:id="467" w:name="DESCRIPTOR263"/>
      <w:bookmarkStart w:id="468" w:name="DESCRIPTOR264"/>
      <w:bookmarkStart w:id="469" w:name="DESCRIPTOR265"/>
      <w:bookmarkStart w:id="470" w:name="DESCRIPTOR266"/>
      <w:bookmarkStart w:id="471" w:name="DESCRIPTOR267"/>
      <w:bookmarkStart w:id="472" w:name="DESCRIPTOR268"/>
      <w:bookmarkStart w:id="473" w:name="DESCRIPTOR269"/>
      <w:bookmarkStart w:id="474" w:name="DESCRIPTOR270"/>
      <w:bookmarkStart w:id="475" w:name="DESCRIPTOR271"/>
      <w:bookmarkStart w:id="476" w:name="DESCRIPTOR272"/>
      <w:bookmarkStart w:id="477" w:name="DESCRIPTOR273"/>
      <w:bookmarkStart w:id="478" w:name="DESCRIPTOR274"/>
      <w:bookmarkStart w:id="479" w:name="DESCRIPTOR275"/>
      <w:bookmarkStart w:id="480" w:name="DESCRIPTOR276"/>
      <w:bookmarkStart w:id="481" w:name="DESCRIPTOR277"/>
      <w:bookmarkStart w:id="482" w:name="DESCRIPTOR278"/>
      <w:bookmarkStart w:id="483" w:name="DESCRIPTOR279"/>
      <w:bookmarkStart w:id="484" w:name="DESCRIPTOR280"/>
      <w:bookmarkStart w:id="485" w:name="DESCRIPTOR281"/>
      <w:bookmarkStart w:id="486" w:name="DESCRIPTOR282"/>
      <w:bookmarkStart w:id="487" w:name="DESCRIPTOR283"/>
      <w:bookmarkStart w:id="488" w:name="DESCRIPTOR284"/>
      <w:bookmarkStart w:id="489" w:name="DESCRIPTOR285"/>
      <w:bookmarkStart w:id="490" w:name="DESCRIPTOR286"/>
      <w:bookmarkStart w:id="491" w:name="DESCRIPTOR287"/>
      <w:bookmarkStart w:id="492" w:name="DESCRIPTOR288"/>
      <w:bookmarkStart w:id="493" w:name="DESCRIPTOR289"/>
      <w:bookmarkStart w:id="494" w:name="DESCRIPTOR290"/>
      <w:bookmarkStart w:id="495" w:name="DESCRIPTOR291"/>
      <w:bookmarkStart w:id="496" w:name="DESCRIPTOR292"/>
      <w:bookmarkStart w:id="497" w:name="DESCRIPTOR293"/>
      <w:bookmarkStart w:id="498" w:name="DESCRIPTOR294"/>
      <w:bookmarkStart w:id="499" w:name="DESCRIPTOR295"/>
      <w:bookmarkStart w:id="500" w:name="DESCRIPTOR296"/>
      <w:bookmarkStart w:id="501" w:name="DESCRIPTOR297"/>
      <w:bookmarkStart w:id="502" w:name="DESCRIPTOR298"/>
      <w:bookmarkStart w:id="503" w:name="DESCRIPTOR299"/>
      <w:bookmarkStart w:id="504" w:name="DESCRIPTOR300"/>
      <w:bookmarkStart w:id="505" w:name="DESCRIPTOR301"/>
      <w:bookmarkStart w:id="506" w:name="DESCRIPTOR302"/>
      <w:bookmarkStart w:id="507" w:name="DESCRIPTOR303"/>
      <w:bookmarkStart w:id="508" w:name="DESCRIPTOR304"/>
      <w:bookmarkStart w:id="509" w:name="DESCRIPTOR305"/>
      <w:bookmarkStart w:id="510" w:name="DESCRIPTOR306"/>
      <w:bookmarkStart w:id="511" w:name="DESCRIPTOR307"/>
      <w:bookmarkStart w:id="512" w:name="DESCRIPTOR308"/>
      <w:bookmarkStart w:id="513" w:name="DESCRIPTOR309"/>
      <w:bookmarkStart w:id="514" w:name="DESCRIPTOR310"/>
      <w:bookmarkStart w:id="515" w:name="DESCRIPTOR311"/>
      <w:bookmarkStart w:id="516" w:name="DESCRIPTOR312"/>
      <w:bookmarkStart w:id="517" w:name="DESCRIPTOR313"/>
      <w:bookmarkStart w:id="518" w:name="DESCRIPTOR314"/>
      <w:bookmarkStart w:id="519" w:name="DESCRIPTOR315"/>
      <w:bookmarkStart w:id="520" w:name="DESCRIPTOR316"/>
      <w:bookmarkStart w:id="521" w:name="DESCRIPTOR317"/>
      <w:bookmarkStart w:id="522" w:name="DESCRIPTOR318"/>
      <w:bookmarkStart w:id="523" w:name="DESCRIPTOR319"/>
      <w:bookmarkStart w:id="524" w:name="DESCRIPTOR320"/>
      <w:bookmarkStart w:id="525" w:name="DESCRIPTOR321"/>
      <w:bookmarkStart w:id="526" w:name="DESCRIPTOR322"/>
      <w:bookmarkStart w:id="527" w:name="DESCRIPTOR323"/>
      <w:bookmarkStart w:id="528" w:name="DESCRIPTOR324"/>
      <w:bookmarkStart w:id="529" w:name="DESCRIPTOR325"/>
      <w:bookmarkStart w:id="530" w:name="DESCRIPTOR326"/>
      <w:bookmarkStart w:id="531" w:name="DESCRIPTOR327"/>
      <w:bookmarkStart w:id="532" w:name="DESCRIPTOR328"/>
      <w:bookmarkStart w:id="533" w:name="DESCRIPTOR329"/>
      <w:bookmarkStart w:id="534" w:name="DESCRIPTOR330"/>
      <w:bookmarkStart w:id="535" w:name="DESCRIPTOR331"/>
      <w:bookmarkStart w:id="536" w:name="DESCRIPTOR332"/>
      <w:bookmarkStart w:id="537" w:name="DESCRIPTOR333"/>
      <w:bookmarkStart w:id="538" w:name="DESCRIPTOR334"/>
      <w:bookmarkStart w:id="539" w:name="DESCRIPTOR335"/>
      <w:bookmarkStart w:id="540" w:name="DESCRIPTOR336"/>
      <w:bookmarkStart w:id="541" w:name="DESCRIPTOR337"/>
      <w:bookmarkStart w:id="542" w:name="DESCRIPTOR338"/>
      <w:bookmarkStart w:id="543" w:name="DESCRIPTOR339"/>
      <w:bookmarkStart w:id="544" w:name="DESCRIPTOR340"/>
      <w:bookmarkStart w:id="545" w:name="DESCRIPTOR341"/>
      <w:bookmarkStart w:id="546" w:name="DESCRIPTOR342"/>
      <w:bookmarkStart w:id="547" w:name="DESCRIPTOR343"/>
      <w:bookmarkStart w:id="548" w:name="DESCRIPTOR344"/>
      <w:bookmarkStart w:id="549" w:name="DESCRIPTOR345"/>
      <w:bookmarkStart w:id="550" w:name="DESCRIPTOR346"/>
      <w:bookmarkStart w:id="551" w:name="DESCRIPTOR347"/>
      <w:bookmarkStart w:id="552" w:name="DESCRIPTOR348"/>
      <w:bookmarkStart w:id="553" w:name="DESCRIPTOR349"/>
      <w:bookmarkStart w:id="554" w:name="DESCRIPTOR350"/>
      <w:bookmarkStart w:id="555" w:name="DESCRIPTOR351"/>
      <w:bookmarkStart w:id="556" w:name="DESCRIPTOR352"/>
      <w:bookmarkStart w:id="557" w:name="DESCRIPTOR353"/>
      <w:bookmarkStart w:id="558" w:name="DESCRIPTOR354"/>
      <w:bookmarkStart w:id="559" w:name="DESCRIPTOR355"/>
      <w:bookmarkStart w:id="560" w:name="DESCRIPTOR356"/>
      <w:bookmarkStart w:id="561" w:name="DESCRIPTOR357"/>
      <w:bookmarkStart w:id="562" w:name="DESCRIPTOR358"/>
      <w:bookmarkStart w:id="563" w:name="DESCRIPTOR359"/>
      <w:bookmarkStart w:id="564" w:name="DESCRIPTOR360"/>
      <w:bookmarkStart w:id="565" w:name="DESCRIPTOR361"/>
      <w:bookmarkStart w:id="566" w:name="DESCRIPTOR362"/>
      <w:bookmarkStart w:id="567" w:name="DESCRIPTOR363"/>
      <w:bookmarkStart w:id="568" w:name="DESCRIPTOR364"/>
      <w:bookmarkStart w:id="569" w:name="DESCRIPTOR365"/>
      <w:bookmarkStart w:id="570" w:name="DESCRIPTOR366"/>
      <w:bookmarkStart w:id="571" w:name="DESCRIPTOR367"/>
      <w:bookmarkStart w:id="572" w:name="DESCRIPTOR368"/>
      <w:bookmarkStart w:id="573" w:name="DESCRIPTOR369"/>
      <w:bookmarkStart w:id="574" w:name="DESCRIPTOR370"/>
      <w:bookmarkStart w:id="575" w:name="DESCRIPTOR371"/>
      <w:bookmarkStart w:id="576" w:name="DESCRIPTOR372"/>
      <w:bookmarkStart w:id="577" w:name="DESCRIPTOR373"/>
      <w:bookmarkStart w:id="578" w:name="DESCRIPTOR374"/>
      <w:bookmarkStart w:id="579" w:name="DESCRIPTOR375"/>
      <w:bookmarkStart w:id="580" w:name="DESCRIPTOR376"/>
      <w:bookmarkStart w:id="581" w:name="DESCRIPTOR377"/>
      <w:bookmarkStart w:id="582" w:name="DESCRIPTOR378"/>
      <w:bookmarkStart w:id="583" w:name="DESCRIPTOR379"/>
      <w:bookmarkStart w:id="584" w:name="DESCRIPTOR380"/>
      <w:bookmarkStart w:id="585" w:name="DESCRIPTOR381"/>
      <w:bookmarkStart w:id="586" w:name="DESCRIPTOR382"/>
      <w:bookmarkStart w:id="587" w:name="DESCRIPTOR383"/>
      <w:bookmarkStart w:id="588" w:name="DESCRIPTOR384"/>
      <w:bookmarkStart w:id="589" w:name="DESCRIPTOR385"/>
      <w:bookmarkStart w:id="590" w:name="DESCRIPTOR386"/>
      <w:bookmarkStart w:id="591" w:name="DESCRIPTOR387"/>
      <w:bookmarkStart w:id="592" w:name="DESCRIPTOR388"/>
      <w:bookmarkStart w:id="593" w:name="DESCRIPTOR389"/>
      <w:bookmarkStart w:id="594" w:name="DESCRIPTOR390"/>
      <w:bookmarkStart w:id="595" w:name="DESCRIPTOR391"/>
      <w:bookmarkStart w:id="596" w:name="DESCRIPTOR392"/>
      <w:bookmarkStart w:id="597" w:name="DESCRIPTOR393"/>
      <w:bookmarkStart w:id="598" w:name="DESCRIPTOR394"/>
      <w:bookmarkStart w:id="599" w:name="DESCRIPTOR395"/>
      <w:bookmarkStart w:id="600" w:name="DESCRIPTOR396"/>
      <w:bookmarkStart w:id="601" w:name="DESCRIPTOR397"/>
      <w:bookmarkStart w:id="602" w:name="DESCRIPTOR398"/>
      <w:bookmarkStart w:id="603" w:name="DESCRIPTOR399"/>
      <w:bookmarkStart w:id="604" w:name="DESCRIPTOR400"/>
      <w:bookmarkStart w:id="605" w:name="DESCRIPTOR401"/>
      <w:bookmarkStart w:id="606" w:name="DESCRIPTOR402"/>
      <w:bookmarkStart w:id="607" w:name="DESCRIPTOR403"/>
      <w:bookmarkStart w:id="608" w:name="DESCRIPTOR404"/>
      <w:bookmarkStart w:id="609" w:name="DESCRIPTOR405"/>
      <w:bookmarkStart w:id="610" w:name="DESCRIPTOR406"/>
      <w:bookmarkStart w:id="611" w:name="DESCRIPTOR407"/>
      <w:bookmarkStart w:id="612" w:name="DESCRIPTOR408"/>
      <w:bookmarkStart w:id="613" w:name="DESCRIPTOR409"/>
      <w:bookmarkStart w:id="614" w:name="DESCRIPTOR410"/>
      <w:bookmarkStart w:id="615" w:name="DESCRIPTOR411"/>
      <w:bookmarkStart w:id="616" w:name="DESCRIPTOR412"/>
      <w:bookmarkStart w:id="617" w:name="DESCRIPTOR413"/>
      <w:bookmarkStart w:id="618" w:name="DESCRIPTOR414"/>
      <w:bookmarkStart w:id="619" w:name="DESCRIPTOR415"/>
      <w:bookmarkStart w:id="620" w:name="DESCRIPTOR416"/>
      <w:bookmarkStart w:id="621" w:name="DESCRIPTOR417"/>
      <w:bookmarkStart w:id="622" w:name="DESCRIPTOR418"/>
      <w:bookmarkStart w:id="623" w:name="DESCRIPTOR419"/>
      <w:bookmarkStart w:id="624" w:name="DESCRIPTOR420"/>
      <w:bookmarkStart w:id="625" w:name="DESCRIPTOR421"/>
      <w:bookmarkStart w:id="626" w:name="DESCRIPTOR422"/>
      <w:bookmarkStart w:id="627" w:name="DESCRIPTOR423"/>
      <w:bookmarkStart w:id="628" w:name="DESCRIPTOR424"/>
      <w:bookmarkStart w:id="629" w:name="DESCRIPTOR425"/>
      <w:bookmarkStart w:id="630" w:name="DESCRIPTOR426"/>
      <w:bookmarkStart w:id="631" w:name="DESCRIPTOR427"/>
      <w:bookmarkStart w:id="632" w:name="DESCRIPTOR428"/>
      <w:bookmarkStart w:id="633" w:name="DESCRIPTOR429"/>
      <w:bookmarkStart w:id="634" w:name="DESCRIPTOR430"/>
      <w:bookmarkStart w:id="635" w:name="INDICE5ALFABETICO"/>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rsidR="003104DF" w:rsidRDefault="003104DF" w:rsidP="003104DF">
      <w:pPr>
        <w:pStyle w:val="TextoNormal"/>
      </w:pPr>
    </w:p>
    <w:p w:rsidR="003104DF" w:rsidRDefault="003104DF" w:rsidP="003104DF">
      <w:pPr>
        <w:pStyle w:val="TextoNormal"/>
      </w:pPr>
    </w:p>
    <w:p w:rsidR="003104DF" w:rsidRDefault="003104DF" w:rsidP="003104DF">
      <w:pPr>
        <w:pStyle w:val="TextoNormal"/>
      </w:pPr>
    </w:p>
    <w:p w:rsidR="003104DF" w:rsidRDefault="003104DF" w:rsidP="003104DF">
      <w:pPr>
        <w:pStyle w:val="Ttulondice"/>
      </w:pPr>
      <w:r>
        <w:t>7. ÍNDICE ANALÍTICO</w:t>
      </w:r>
    </w:p>
    <w:p w:rsidR="003104DF" w:rsidRDefault="003104DF" w:rsidP="003104DF">
      <w:pPr>
        <w:pStyle w:val="TextoNormal"/>
      </w:pPr>
    </w:p>
    <w:p w:rsidR="003104DF" w:rsidRDefault="003104DF" w:rsidP="003104DF">
      <w:pPr>
        <w:pStyle w:val="Ttulondice"/>
      </w:pPr>
    </w:p>
    <w:p w:rsidR="003104DF" w:rsidRDefault="003104DF" w:rsidP="003104DF">
      <w:pPr>
        <w:pStyle w:val="Ttulondice"/>
      </w:pPr>
    </w:p>
    <w:p w:rsidR="003104DF" w:rsidRDefault="003104DF" w:rsidP="003104DF">
      <w:pPr>
        <w:pStyle w:val="Ttulondice"/>
      </w:pPr>
    </w:p>
    <w:p w:rsidR="003104DF" w:rsidRDefault="003104DF" w:rsidP="003104DF">
      <w:pPr>
        <w:pStyle w:val="Ttulondice"/>
      </w:pPr>
    </w:p>
    <w:p w:rsidR="003104DF" w:rsidRDefault="003104DF" w:rsidP="003104DF">
      <w:pPr>
        <w:pStyle w:val="Ttulondice"/>
      </w:pPr>
    </w:p>
    <w:p w:rsidR="003104DF" w:rsidRDefault="003104DF" w:rsidP="003104DF">
      <w:pPr>
        <w:pStyle w:val="Ttulondice"/>
      </w:pPr>
    </w:p>
    <w:p w:rsidR="003104DF" w:rsidRDefault="003104DF" w:rsidP="003104DF">
      <w:pPr>
        <w:pStyle w:val="Ttulondice"/>
      </w:pPr>
    </w:p>
    <w:p w:rsidR="003104DF" w:rsidRDefault="003104DF" w:rsidP="003104DF">
      <w:pPr>
        <w:pStyle w:val="TextoNormalNegritaCentrado"/>
      </w:pPr>
      <w:r>
        <w:t>A</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636" w:name="DESCRIPTORALFABETICO366"/>
      <w:r w:rsidRPr="003104DF">
        <w:rPr>
          <w:rStyle w:val="TextoNormalNegritaCaracter"/>
        </w:rPr>
        <w:t>Abogados</w:t>
      </w:r>
      <w:bookmarkEnd w:id="636"/>
      <w:r w:rsidRPr="003104DF">
        <w:rPr>
          <w:rStyle w:val="TextoNormalCaracter"/>
        </w:rPr>
        <w:t xml:space="preserve">, Sentencia </w:t>
      </w:r>
      <w:hyperlink w:anchor="SENTENCIA_1992_16" w:history="1">
        <w:r w:rsidRPr="003104DF">
          <w:rPr>
            <w:rStyle w:val="TextoNormalCaracter"/>
          </w:rPr>
          <w:t>16/1992</w:t>
        </w:r>
      </w:hyperlink>
      <w:r w:rsidRPr="003104DF">
        <w:rPr>
          <w:rStyle w:val="TextoNormalCaracter"/>
        </w:rPr>
        <w:t>, f. 3.</w:t>
      </w:r>
    </w:p>
    <w:p w:rsidR="003104DF" w:rsidRPr="003104DF" w:rsidRDefault="003104DF" w:rsidP="003104DF">
      <w:pPr>
        <w:pStyle w:val="TextoNormalSangraFrancesa"/>
        <w:rPr>
          <w:rStyle w:val="TextoNormalCaracter"/>
        </w:rPr>
      </w:pPr>
      <w:bookmarkStart w:id="637" w:name="DESCRIPTORALFABETICO55"/>
      <w:r w:rsidRPr="003104DF">
        <w:rPr>
          <w:rStyle w:val="TextoNormalNegritaCaracter"/>
        </w:rPr>
        <w:t>Acceso a la justicia</w:t>
      </w:r>
      <w:bookmarkEnd w:id="637"/>
      <w:r w:rsidRPr="003104DF">
        <w:rPr>
          <w:rStyle w:val="TextoNormalCaracter"/>
        </w:rPr>
        <w:t xml:space="preserve">, Sentencias </w:t>
      </w:r>
      <w:hyperlink w:anchor="SENTENCIA_1992_43" w:history="1">
        <w:r w:rsidRPr="003104DF">
          <w:rPr>
            <w:rStyle w:val="TextoNormalCaracter"/>
          </w:rPr>
          <w:t>43/1992</w:t>
        </w:r>
      </w:hyperlink>
      <w:r w:rsidRPr="003104DF">
        <w:rPr>
          <w:rStyle w:val="TextoNormalCaracter"/>
        </w:rPr>
        <w:t xml:space="preserve">, ff. 1, 2, 3; </w:t>
      </w:r>
      <w:hyperlink w:anchor="SENTENCIA_1992_53" w:history="1">
        <w:r w:rsidRPr="003104DF">
          <w:rPr>
            <w:rStyle w:val="TextoNormalCaracter"/>
          </w:rPr>
          <w:t>53/1992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638" w:name="DESCRIPTORALFABETICO56"/>
      <w:r w:rsidRPr="003104DF">
        <w:rPr>
          <w:rStyle w:val="TextoNormalNegritaCaracter"/>
        </w:rPr>
        <w:t>Acceso al recurso legal</w:t>
      </w:r>
      <w:bookmarkEnd w:id="638"/>
      <w:r w:rsidRPr="003104DF">
        <w:rPr>
          <w:rStyle w:val="TextoNormalCaracter"/>
        </w:rPr>
        <w:t xml:space="preserve">, Sentencias </w:t>
      </w:r>
      <w:hyperlink w:anchor="SENTENCIA_1992_3" w:history="1">
        <w:r w:rsidRPr="003104DF">
          <w:rPr>
            <w:rStyle w:val="TextoNormalCaracter"/>
          </w:rPr>
          <w:t>3/1992</w:t>
        </w:r>
      </w:hyperlink>
      <w:r w:rsidRPr="003104DF">
        <w:rPr>
          <w:rStyle w:val="TextoNormalCaracter"/>
        </w:rPr>
        <w:t xml:space="preserve">, f. 3; </w:t>
      </w:r>
      <w:hyperlink w:anchor="SENTENCIA_1992_9" w:history="1">
        <w:r w:rsidRPr="003104DF">
          <w:rPr>
            <w:rStyle w:val="TextoNormalCaracter"/>
          </w:rPr>
          <w:t>9/1992</w:t>
        </w:r>
      </w:hyperlink>
      <w:r w:rsidRPr="003104DF">
        <w:rPr>
          <w:rStyle w:val="TextoNormalCaracter"/>
        </w:rPr>
        <w:t xml:space="preserve">, f. 2; </w:t>
      </w:r>
      <w:hyperlink w:anchor="SENTENCIA_1992_12" w:history="1">
        <w:r w:rsidRPr="003104DF">
          <w:rPr>
            <w:rStyle w:val="TextoNormalCaracter"/>
          </w:rPr>
          <w:t>12/1992</w:t>
        </w:r>
      </w:hyperlink>
      <w:r w:rsidRPr="003104DF">
        <w:rPr>
          <w:rStyle w:val="TextoNormalCaracter"/>
        </w:rPr>
        <w:t xml:space="preserve">, f. 2; </w:t>
      </w:r>
      <w:hyperlink w:anchor="SENTENCIA_1992_16" w:history="1">
        <w:r w:rsidRPr="003104DF">
          <w:rPr>
            <w:rStyle w:val="TextoNormalCaracter"/>
          </w:rPr>
          <w:t>16/1992</w:t>
        </w:r>
      </w:hyperlink>
      <w:r w:rsidRPr="003104DF">
        <w:rPr>
          <w:rStyle w:val="TextoNormalCaracter"/>
        </w:rPr>
        <w:t xml:space="preserve">, ff. 1, 2, 3, 4; </w:t>
      </w:r>
      <w:hyperlink w:anchor="SENTENCIA_1992_23" w:history="1">
        <w:r w:rsidRPr="003104DF">
          <w:rPr>
            <w:rStyle w:val="TextoNormalCaracter"/>
          </w:rPr>
          <w:t>23/1992</w:t>
        </w:r>
      </w:hyperlink>
      <w:r w:rsidRPr="003104DF">
        <w:rPr>
          <w:rStyle w:val="TextoNormalCaracter"/>
        </w:rPr>
        <w:t xml:space="preserve">, ff. 1, 2, 3, 4, 5; </w:t>
      </w:r>
      <w:hyperlink w:anchor="SENTENCIA_1992_31" w:history="1">
        <w:r w:rsidRPr="003104DF">
          <w:rPr>
            <w:rStyle w:val="TextoNormalCaracter"/>
          </w:rPr>
          <w:t>31/1992</w:t>
        </w:r>
      </w:hyperlink>
      <w:r w:rsidRPr="003104DF">
        <w:rPr>
          <w:rStyle w:val="TextoNormalCaracter"/>
        </w:rPr>
        <w:t xml:space="preserve">, ff. 1, 2, 3, 4; </w:t>
      </w:r>
      <w:hyperlink w:anchor="SENTENCIA_1992_32" w:history="1">
        <w:r w:rsidRPr="003104DF">
          <w:rPr>
            <w:rStyle w:val="TextoNormalCaracter"/>
          </w:rPr>
          <w:t>32/1992</w:t>
        </w:r>
      </w:hyperlink>
      <w:r w:rsidRPr="003104DF">
        <w:rPr>
          <w:rStyle w:val="TextoNormalCaracter"/>
        </w:rPr>
        <w:t xml:space="preserve">, ff. 1, 2, 3, 4, 5; </w:t>
      </w:r>
      <w:hyperlink w:anchor="SENTENCIA_1992_41" w:history="1">
        <w:r w:rsidRPr="003104DF">
          <w:rPr>
            <w:rStyle w:val="TextoNormalCaracter"/>
          </w:rPr>
          <w:t>41/1992</w:t>
        </w:r>
      </w:hyperlink>
      <w:r w:rsidRPr="003104DF">
        <w:rPr>
          <w:rStyle w:val="TextoNormalCaracter"/>
        </w:rPr>
        <w:t xml:space="preserve">, f. 3; </w:t>
      </w:r>
      <w:hyperlink w:anchor="SENTENCIA_1992_42" w:history="1">
        <w:r w:rsidRPr="003104DF">
          <w:rPr>
            <w:rStyle w:val="TextoNormalCaracter"/>
          </w:rPr>
          <w:t>42/1992</w:t>
        </w:r>
      </w:hyperlink>
      <w:r w:rsidRPr="003104DF">
        <w:rPr>
          <w:rStyle w:val="TextoNormalCaracter"/>
        </w:rPr>
        <w:t xml:space="preserve">, f. 2; </w:t>
      </w:r>
      <w:hyperlink w:anchor="SENTENCIA_1992_49" w:history="1">
        <w:r w:rsidRPr="003104DF">
          <w:rPr>
            <w:rStyle w:val="TextoNormalCaracter"/>
          </w:rPr>
          <w:t>49/1992</w:t>
        </w:r>
      </w:hyperlink>
      <w:r w:rsidRPr="003104DF">
        <w:rPr>
          <w:rStyle w:val="TextoNormalCaracter"/>
        </w:rPr>
        <w:t xml:space="preserve">, f. 3; </w:t>
      </w:r>
      <w:hyperlink w:anchor="SENTENCIA_1992_51" w:history="1">
        <w:r w:rsidRPr="003104DF">
          <w:rPr>
            <w:rStyle w:val="TextoNormalCaracter"/>
          </w:rPr>
          <w:t>51/1992</w:t>
        </w:r>
      </w:hyperlink>
      <w:r w:rsidRPr="003104DF">
        <w:rPr>
          <w:rStyle w:val="TextoNormalCaracter"/>
        </w:rPr>
        <w:t xml:space="preserve">, f. 1; </w:t>
      </w:r>
      <w:hyperlink w:anchor="SENTENCIA_1992_55" w:history="1">
        <w:r w:rsidRPr="003104DF">
          <w:rPr>
            <w:rStyle w:val="TextoNormalCaracter"/>
          </w:rPr>
          <w:t>55/1992</w:t>
        </w:r>
      </w:hyperlink>
      <w:r w:rsidRPr="003104DF">
        <w:rPr>
          <w:rStyle w:val="TextoNormalCaracter"/>
        </w:rPr>
        <w:t xml:space="preserve">, ff. 1, 2, 3; </w:t>
      </w:r>
      <w:hyperlink w:anchor="SENTENCIA_1992_60" w:history="1">
        <w:r w:rsidRPr="003104DF">
          <w:rPr>
            <w:rStyle w:val="TextoNormalCaracter"/>
          </w:rPr>
          <w:t>60/1992</w:t>
        </w:r>
      </w:hyperlink>
      <w:r w:rsidRPr="003104DF">
        <w:rPr>
          <w:rStyle w:val="TextoNormalCaracter"/>
        </w:rPr>
        <w:t xml:space="preserve">, ff. 1, 2; </w:t>
      </w:r>
      <w:hyperlink w:anchor="SENTENCIA_1992_63" w:history="1">
        <w:r w:rsidRPr="003104DF">
          <w:rPr>
            <w:rStyle w:val="TextoNormalCaracter"/>
          </w:rPr>
          <w:t>63/1992</w:t>
        </w:r>
      </w:hyperlink>
      <w:r w:rsidRPr="003104DF">
        <w:rPr>
          <w:rStyle w:val="TextoNormalCaracter"/>
        </w:rPr>
        <w:t xml:space="preserve">, ff. 1, 2, 3; </w:t>
      </w:r>
      <w:hyperlink w:anchor="SENTENCIA_1992_64" w:history="1">
        <w:r w:rsidRPr="003104DF">
          <w:rPr>
            <w:rStyle w:val="TextoNormalCaracter"/>
          </w:rPr>
          <w:t>64/1992</w:t>
        </w:r>
      </w:hyperlink>
      <w:r w:rsidRPr="003104DF">
        <w:rPr>
          <w:rStyle w:val="TextoNormalCaracter"/>
        </w:rPr>
        <w:t xml:space="preserve">, ff. 1, 2, 3, 4, 5, 6; </w:t>
      </w:r>
      <w:hyperlink w:anchor="SENTENCIA_1992_66" w:history="1">
        <w:r w:rsidRPr="003104DF">
          <w:rPr>
            <w:rStyle w:val="TextoNormalCaracter"/>
          </w:rPr>
          <w:t>66/1992</w:t>
        </w:r>
      </w:hyperlink>
      <w:r w:rsidRPr="003104DF">
        <w:rPr>
          <w:rStyle w:val="TextoNormalCaracter"/>
        </w:rPr>
        <w:t>, ff. 1,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5" w:history="1">
        <w:r w:rsidRPr="003104DF">
          <w:rPr>
            <w:rStyle w:val="TextoNormalCaracter"/>
          </w:rPr>
          <w:t>55/1992</w:t>
        </w:r>
      </w:hyperlink>
      <w:r w:rsidRPr="003104DF">
        <w:rPr>
          <w:rStyle w:val="TextoNormalCaracter"/>
        </w:rPr>
        <w:t xml:space="preserve">; </w:t>
      </w:r>
      <w:hyperlink w:anchor="AUTO_1992_62" w:history="1">
        <w:r w:rsidRPr="003104DF">
          <w:rPr>
            <w:rStyle w:val="TextoNormalCaracter"/>
          </w:rPr>
          <w:t>62/1992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Respetado, </w:t>
      </w:r>
      <w:r w:rsidRPr="003104DF">
        <w:rPr>
          <w:rStyle w:val="TextoNormalCaracter"/>
        </w:rPr>
        <w:t xml:space="preserve">Sentencia </w:t>
      </w:r>
      <w:hyperlink w:anchor="SENTENCIA_1992_41" w:history="1">
        <w:r w:rsidRPr="003104DF">
          <w:rPr>
            <w:rStyle w:val="TextoNormalCaracter"/>
          </w:rPr>
          <w:t>41/1992</w:t>
        </w:r>
      </w:hyperlink>
      <w:r w:rsidRPr="003104DF">
        <w:rPr>
          <w:rStyle w:val="TextoNormalCaracter"/>
        </w:rPr>
        <w:t>, f. 6.</w:t>
      </w:r>
    </w:p>
    <w:p w:rsidR="003104DF" w:rsidRPr="003104DF" w:rsidRDefault="003104DF" w:rsidP="003104DF">
      <w:pPr>
        <w:pStyle w:val="TextoNormalSangraFrancesa"/>
        <w:rPr>
          <w:rStyle w:val="TextoNormalCaracter"/>
        </w:rPr>
      </w:pPr>
      <w:r w:rsidRPr="003104DF">
        <w:rPr>
          <w:rStyle w:val="TextoNormalCursivaCaracter"/>
        </w:rPr>
        <w:t xml:space="preserve">    Vulnerado, </w:t>
      </w:r>
      <w:r w:rsidRPr="003104DF">
        <w:rPr>
          <w:rStyle w:val="TextoNormalCaracter"/>
        </w:rPr>
        <w:t xml:space="preserve">Sentencias </w:t>
      </w:r>
      <w:hyperlink w:anchor="SENTENCIA_1992_43" w:history="1">
        <w:r w:rsidRPr="003104DF">
          <w:rPr>
            <w:rStyle w:val="TextoNormalCaracter"/>
          </w:rPr>
          <w:t>43/1992</w:t>
        </w:r>
      </w:hyperlink>
      <w:r w:rsidRPr="003104DF">
        <w:rPr>
          <w:rStyle w:val="TextoNormalCaracter"/>
        </w:rPr>
        <w:t xml:space="preserve">, f. 2; </w:t>
      </w:r>
      <w:hyperlink w:anchor="SENTENCIA_1992_53" w:history="1">
        <w:r w:rsidRPr="003104DF">
          <w:rPr>
            <w:rStyle w:val="TextoNormalCaracter"/>
          </w:rPr>
          <w:t>53/1992</w:t>
        </w:r>
      </w:hyperlink>
      <w:r w:rsidRPr="003104DF">
        <w:rPr>
          <w:rStyle w:val="TextoNormalCaracter"/>
        </w:rPr>
        <w:t xml:space="preserve">, ff. 1, 2, 3, 4, 5; </w:t>
      </w:r>
      <w:hyperlink w:anchor="SENTENCIA_1992_55" w:history="1">
        <w:r w:rsidRPr="003104DF">
          <w:rPr>
            <w:rStyle w:val="TextoNormalCaracter"/>
          </w:rPr>
          <w:t>55/1992</w:t>
        </w:r>
      </w:hyperlink>
      <w:r w:rsidRPr="003104DF">
        <w:rPr>
          <w:rStyle w:val="TextoNormalCaracter"/>
        </w:rPr>
        <w:t xml:space="preserve">, ff. 1, 2, 3; </w:t>
      </w:r>
      <w:hyperlink w:anchor="SENTENCIA_1992_60" w:history="1">
        <w:r w:rsidRPr="003104DF">
          <w:rPr>
            <w:rStyle w:val="TextoNormalCaracter"/>
          </w:rPr>
          <w:t>60/1992</w:t>
        </w:r>
      </w:hyperlink>
      <w:r w:rsidRPr="003104DF">
        <w:rPr>
          <w:rStyle w:val="TextoNormalCaracter"/>
        </w:rPr>
        <w:t xml:space="preserve">, f. 2; </w:t>
      </w:r>
      <w:hyperlink w:anchor="SENTENCIA_1992_63" w:history="1">
        <w:r w:rsidRPr="003104DF">
          <w:rPr>
            <w:rStyle w:val="TextoNormalCaracter"/>
          </w:rPr>
          <w:t>63/1992</w:t>
        </w:r>
      </w:hyperlink>
      <w:r w:rsidRPr="003104DF">
        <w:rPr>
          <w:rStyle w:val="TextoNormalCaracter"/>
        </w:rPr>
        <w:t xml:space="preserve">, ff. 1, 2, 3; </w:t>
      </w:r>
      <w:hyperlink w:anchor="SENTENCIA_1992_66" w:history="1">
        <w:r w:rsidRPr="003104DF">
          <w:rPr>
            <w:rStyle w:val="TextoNormalCaracter"/>
          </w:rPr>
          <w:t>66/1992</w:t>
        </w:r>
      </w:hyperlink>
      <w:r w:rsidRPr="003104DF">
        <w:rPr>
          <w:rStyle w:val="TextoNormalCaracter"/>
        </w:rPr>
        <w:t>, ff. 1, 2.</w:t>
      </w:r>
    </w:p>
    <w:p w:rsidR="003104DF" w:rsidRPr="003104DF" w:rsidRDefault="003104DF" w:rsidP="003104DF">
      <w:pPr>
        <w:pStyle w:val="TextoNormalSangraFrancesa"/>
        <w:rPr>
          <w:rStyle w:val="TextoNormalCaracter"/>
        </w:rPr>
      </w:pPr>
      <w:bookmarkStart w:id="639" w:name="DESCRIPTORALFABETICO155"/>
      <w:r w:rsidRPr="003104DF">
        <w:rPr>
          <w:rStyle w:val="TextoNormalNegritaCaracter"/>
        </w:rPr>
        <w:t>Aclaración de sentencias del Tribunal Constitucional</w:t>
      </w:r>
      <w:bookmarkEnd w:id="639"/>
      <w:r w:rsidRPr="003104DF">
        <w:rPr>
          <w:rStyle w:val="TextoNormalCaracter"/>
        </w:rPr>
        <w:t xml:space="preserve">, Auto </w:t>
      </w:r>
      <w:hyperlink w:anchor="AUTO_1992_98" w:history="1">
        <w:r w:rsidRPr="003104DF">
          <w:rPr>
            <w:rStyle w:val="TextoNormalCaracter"/>
          </w:rPr>
          <w:t>98/1992</w:t>
        </w:r>
      </w:hyperlink>
      <w:r w:rsidRPr="003104DF">
        <w:rPr>
          <w:rStyle w:val="TextoNormalCaracter"/>
        </w:rPr>
        <w:t>.</w:t>
      </w:r>
    </w:p>
    <w:p w:rsidR="003104DF" w:rsidRPr="003104DF" w:rsidRDefault="003104DF" w:rsidP="003104DF">
      <w:pPr>
        <w:pStyle w:val="TextoNormalSangraFrancesa"/>
        <w:rPr>
          <w:rStyle w:val="TextoNormalCaracter"/>
        </w:rPr>
      </w:pPr>
      <w:bookmarkStart w:id="640" w:name="DESCRIPTORALFABETICO307"/>
      <w:r w:rsidRPr="003104DF">
        <w:rPr>
          <w:rStyle w:val="TextoNormalNegritaCaracter"/>
        </w:rPr>
        <w:t>Acreditación de la consignación</w:t>
      </w:r>
      <w:bookmarkEnd w:id="640"/>
      <w:r w:rsidRPr="003104DF">
        <w:rPr>
          <w:rStyle w:val="TextoNormalCaracter"/>
        </w:rPr>
        <w:t xml:space="preserve">, Sentencia </w:t>
      </w:r>
      <w:hyperlink w:anchor="SENTENCIA_1992_51" w:history="1">
        <w:r w:rsidRPr="003104DF">
          <w:rPr>
            <w:rStyle w:val="TextoNormalCaracter"/>
          </w:rPr>
          <w:t>51/1992</w:t>
        </w:r>
      </w:hyperlink>
      <w:r w:rsidRPr="003104DF">
        <w:rPr>
          <w:rStyle w:val="TextoNormalCaracter"/>
        </w:rPr>
        <w:t>, ff. 2, 3.</w:t>
      </w:r>
    </w:p>
    <w:p w:rsidR="003104DF" w:rsidRPr="003104DF" w:rsidRDefault="003104DF" w:rsidP="003104DF">
      <w:pPr>
        <w:pStyle w:val="TextoNormalSangraFrancesa"/>
        <w:rPr>
          <w:rStyle w:val="TextoNormalCaracter"/>
        </w:rPr>
      </w:pPr>
      <w:bookmarkStart w:id="641" w:name="DESCRIPTORALFABETICO344"/>
      <w:r w:rsidRPr="003104DF">
        <w:rPr>
          <w:rStyle w:val="TextoNormalNegritaCaracter"/>
        </w:rPr>
        <w:t>Actividad probatoria</w:t>
      </w:r>
      <w:bookmarkEnd w:id="641"/>
      <w:r w:rsidRPr="003104DF">
        <w:rPr>
          <w:rStyle w:val="TextoNormalCaracter"/>
        </w:rPr>
        <w:t xml:space="preserve">, Sentencias </w:t>
      </w:r>
      <w:hyperlink w:anchor="SENTENCIA_1992_24" w:history="1">
        <w:r w:rsidRPr="003104DF">
          <w:rPr>
            <w:rStyle w:val="TextoNormalCaracter"/>
          </w:rPr>
          <w:t>24/1992</w:t>
        </w:r>
      </w:hyperlink>
      <w:r w:rsidRPr="003104DF">
        <w:rPr>
          <w:rStyle w:val="TextoNormalCaracter"/>
        </w:rPr>
        <w:t xml:space="preserve">, ff. 3, 4; </w:t>
      </w:r>
      <w:hyperlink w:anchor="SENTENCIA_1992_33" w:history="1">
        <w:r w:rsidRPr="003104DF">
          <w:rPr>
            <w:rStyle w:val="TextoNormalCaracter"/>
          </w:rPr>
          <w:t>33/1992</w:t>
        </w:r>
      </w:hyperlink>
      <w:r w:rsidRPr="003104DF">
        <w:rPr>
          <w:rStyle w:val="TextoNormalCaracter"/>
        </w:rPr>
        <w:t xml:space="preserve">, f. 4; </w:t>
      </w:r>
      <w:hyperlink w:anchor="SENTENCIA_1992_50" w:history="1">
        <w:r w:rsidRPr="003104DF">
          <w:rPr>
            <w:rStyle w:val="TextoNormalCaracter"/>
          </w:rPr>
          <w:t>50/1992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21" w:history="1">
        <w:r w:rsidRPr="003104DF">
          <w:rPr>
            <w:rStyle w:val="TextoNormalCaracter"/>
          </w:rPr>
          <w:t>21/1992</w:t>
        </w:r>
      </w:hyperlink>
      <w:r w:rsidRPr="003104DF">
        <w:rPr>
          <w:rStyle w:val="TextoNormalCaracter"/>
        </w:rPr>
        <w:t xml:space="preserve">;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bookmarkStart w:id="642" w:name="DESCRIPTORALFABETICO176"/>
      <w:r w:rsidRPr="003104DF">
        <w:rPr>
          <w:rStyle w:val="TextoNormalNegritaCaracter"/>
        </w:rPr>
        <w:t>Actos parlamentarios</w:t>
      </w:r>
      <w:bookmarkEnd w:id="642"/>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2.</w:t>
      </w:r>
    </w:p>
    <w:p w:rsidR="003104DF" w:rsidRPr="003104DF" w:rsidRDefault="003104DF" w:rsidP="003104DF">
      <w:pPr>
        <w:pStyle w:val="TextoNormalSangraFrancesa"/>
        <w:rPr>
          <w:rStyle w:val="TextoNormalCaracter"/>
        </w:rPr>
      </w:pPr>
      <w:bookmarkStart w:id="643" w:name="DESCRIPTORALFABETICO298"/>
      <w:r w:rsidRPr="003104DF">
        <w:rPr>
          <w:rStyle w:val="TextoNormalNegritaCaracter"/>
        </w:rPr>
        <w:t>Actos procesales de comunicación</w:t>
      </w:r>
      <w:bookmarkEnd w:id="643"/>
      <w:r w:rsidRPr="003104DF">
        <w:rPr>
          <w:rStyle w:val="TextoNormalCaracter"/>
        </w:rPr>
        <w:t xml:space="preserve">, Sentencia </w:t>
      </w:r>
      <w:hyperlink w:anchor="SENTENCIA_1992_17" w:history="1">
        <w:r w:rsidRPr="003104DF">
          <w:rPr>
            <w:rStyle w:val="TextoNormalCaracter"/>
          </w:rPr>
          <w:t>17/1992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Sentencias </w:t>
      </w:r>
      <w:hyperlink w:anchor="SENTENCIA_1992_17" w:history="1">
        <w:r w:rsidRPr="003104DF">
          <w:rPr>
            <w:rStyle w:val="TextoNormalCaracter"/>
          </w:rPr>
          <w:t>17/1992</w:t>
        </w:r>
      </w:hyperlink>
      <w:r w:rsidRPr="003104DF">
        <w:rPr>
          <w:rStyle w:val="TextoNormalCaracter"/>
        </w:rPr>
        <w:t xml:space="preserve">, f. 2; </w:t>
      </w:r>
      <w:hyperlink w:anchor="SENTENCIA_1992_22" w:history="1">
        <w:r w:rsidRPr="003104DF">
          <w:rPr>
            <w:rStyle w:val="TextoNormalCaracter"/>
          </w:rPr>
          <w:t>22/1992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04" w:history="1">
        <w:r w:rsidRPr="003104DF">
          <w:rPr>
            <w:rStyle w:val="TextoNormalCaracter"/>
          </w:rPr>
          <w:t>104/1992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Actuaciones sumariales</w:t>
      </w:r>
      <w:r>
        <w:t xml:space="preserve"> véase </w:t>
      </w:r>
      <w:hyperlink w:anchor="DESCRIPTORALFABETICO413" w:history="1">
        <w:r w:rsidRPr="003104DF">
          <w:rPr>
            <w:rStyle w:val="TextoNormalNegritaCaracter"/>
          </w:rPr>
          <w:t>Diligencias sumariales</w:t>
        </w:r>
      </w:hyperlink>
    </w:p>
    <w:p w:rsidR="003104DF" w:rsidRPr="003104DF" w:rsidRDefault="003104DF" w:rsidP="003104DF">
      <w:pPr>
        <w:pStyle w:val="TextoNormalSangraFrancesa"/>
        <w:rPr>
          <w:rStyle w:val="TextoNormalCaracter"/>
        </w:rPr>
      </w:pPr>
      <w:bookmarkStart w:id="644" w:name="DESCRIPTORALFABETICO184"/>
      <w:r w:rsidRPr="003104DF">
        <w:rPr>
          <w:rStyle w:val="TextoNormalNegritaCaracter"/>
        </w:rPr>
        <w:t>Acuerdo de la Mesa resolviendo la pérdida de condición de Diputado</w:t>
      </w:r>
      <w:bookmarkEnd w:id="644"/>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645" w:name="DESCRIPTORALFABETICO408"/>
      <w:r w:rsidRPr="003104DF">
        <w:rPr>
          <w:rStyle w:val="TextoNormalNegritaCaracter"/>
        </w:rPr>
        <w:t>Acusación</w:t>
      </w:r>
      <w:bookmarkEnd w:id="645"/>
      <w:r w:rsidRPr="003104DF">
        <w:rPr>
          <w:rStyle w:val="TextoNormalCaracter"/>
        </w:rPr>
        <w:t xml:space="preserve">, Auto </w:t>
      </w:r>
      <w:hyperlink w:anchor="AUTO_1992_17" w:history="1">
        <w:r w:rsidRPr="003104DF">
          <w:rPr>
            <w:rStyle w:val="TextoNormalCaracter"/>
          </w:rPr>
          <w:t>17/1992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Acusación penal</w:t>
      </w:r>
      <w:r>
        <w:t xml:space="preserve"> véase </w:t>
      </w:r>
      <w:hyperlink w:anchor="DESCRIPTORALFABETICO408" w:history="1">
        <w:r w:rsidRPr="003104DF">
          <w:rPr>
            <w:rStyle w:val="TextoNormalNegritaCaracter"/>
          </w:rPr>
          <w:t>Acusación</w:t>
        </w:r>
      </w:hyperlink>
    </w:p>
    <w:p w:rsidR="003104DF" w:rsidRPr="003104DF" w:rsidRDefault="003104DF" w:rsidP="003104DF">
      <w:pPr>
        <w:pStyle w:val="TextoNormalSangraFrancesa"/>
        <w:rPr>
          <w:rStyle w:val="TextoNormalNegritaCaracter"/>
        </w:rPr>
      </w:pPr>
      <w:r w:rsidRPr="003104DF">
        <w:rPr>
          <w:rStyle w:val="TextoNormalCursivaCaracter"/>
        </w:rPr>
        <w:t>Adjudicación de escaños</w:t>
      </w:r>
      <w:r>
        <w:t xml:space="preserve"> véase </w:t>
      </w:r>
      <w:hyperlink w:anchor="DESCRIPTORALFABETICO29" w:history="1">
        <w:r w:rsidRPr="003104DF">
          <w:rPr>
            <w:rStyle w:val="TextoNormalNegritaCaracter"/>
          </w:rPr>
          <w:t>Atribución de escaños</w:t>
        </w:r>
      </w:hyperlink>
    </w:p>
    <w:p w:rsidR="003104DF" w:rsidRPr="003104DF" w:rsidRDefault="003104DF" w:rsidP="003104DF">
      <w:pPr>
        <w:pStyle w:val="TextoNormalSangraFrancesa"/>
        <w:rPr>
          <w:rStyle w:val="TextoNormalCaracter"/>
        </w:rPr>
      </w:pPr>
      <w:bookmarkStart w:id="646" w:name="DESCRIPTORALFABETICO404"/>
      <w:r w:rsidRPr="003104DF">
        <w:rPr>
          <w:rStyle w:val="TextoNormalNegritaCaracter"/>
        </w:rPr>
        <w:t>Admisión de recurso de suplicación</w:t>
      </w:r>
      <w:bookmarkEnd w:id="646"/>
      <w:r w:rsidRPr="003104DF">
        <w:rPr>
          <w:rStyle w:val="TextoNormalCaracter"/>
        </w:rPr>
        <w:t xml:space="preserve">, Sentencias </w:t>
      </w:r>
      <w:hyperlink w:anchor="SENTENCIA_1992_34" w:history="1">
        <w:r w:rsidRPr="003104DF">
          <w:rPr>
            <w:rStyle w:val="TextoNormalCaracter"/>
          </w:rPr>
          <w:t>34/1992</w:t>
        </w:r>
      </w:hyperlink>
      <w:r w:rsidRPr="003104DF">
        <w:rPr>
          <w:rStyle w:val="TextoNormalCaracter"/>
        </w:rPr>
        <w:t xml:space="preserve">, f. 3; </w:t>
      </w:r>
      <w:hyperlink w:anchor="SENTENCIA_1992_49" w:history="1">
        <w:r w:rsidRPr="003104DF">
          <w:rPr>
            <w:rStyle w:val="TextoNormalCaracter"/>
          </w:rPr>
          <w:t>49/1992</w:t>
        </w:r>
      </w:hyperlink>
      <w:r w:rsidRPr="003104DF">
        <w:rPr>
          <w:rStyle w:val="TextoNormalCaracter"/>
        </w:rPr>
        <w:t>, ff. 3, 6.</w:t>
      </w:r>
    </w:p>
    <w:p w:rsidR="003104DF" w:rsidRPr="003104DF" w:rsidRDefault="003104DF" w:rsidP="003104DF">
      <w:pPr>
        <w:pStyle w:val="TextoNormalSangraFrancesa"/>
        <w:rPr>
          <w:rStyle w:val="TextoNormalCaracter"/>
        </w:rPr>
      </w:pPr>
      <w:bookmarkStart w:id="647" w:name="DESCRIPTORALFABETICO229"/>
      <w:r w:rsidRPr="003104DF">
        <w:rPr>
          <w:rStyle w:val="TextoNormalNegritaCaracter"/>
        </w:rPr>
        <w:lastRenderedPageBreak/>
        <w:t>Adopción</w:t>
      </w:r>
      <w:bookmarkEnd w:id="647"/>
      <w:r w:rsidRPr="003104DF">
        <w:rPr>
          <w:rStyle w:val="TextoNormalCaracter"/>
        </w:rPr>
        <w:t xml:space="preserve">, Auto </w:t>
      </w:r>
      <w:hyperlink w:anchor="AUTO_1992_22" w:history="1">
        <w:r w:rsidRPr="003104DF">
          <w:rPr>
            <w:rStyle w:val="TextoNormalCaracter"/>
          </w:rPr>
          <w:t>22/1992</w:t>
        </w:r>
      </w:hyperlink>
      <w:r w:rsidRPr="003104DF">
        <w:rPr>
          <w:rStyle w:val="TextoNormalCaracter"/>
        </w:rPr>
        <w:t>.</w:t>
      </w:r>
    </w:p>
    <w:p w:rsidR="003104DF" w:rsidRPr="003104DF" w:rsidRDefault="003104DF" w:rsidP="003104DF">
      <w:pPr>
        <w:pStyle w:val="TextoNormalSangraFrancesa"/>
        <w:rPr>
          <w:rStyle w:val="TextoNormalCaracter"/>
        </w:rPr>
      </w:pPr>
      <w:bookmarkStart w:id="648" w:name="DESCRIPTORALFABETICO269"/>
      <w:r w:rsidRPr="003104DF">
        <w:rPr>
          <w:rStyle w:val="TextoNormalNegritaCaracter"/>
        </w:rPr>
        <w:t>Afiliación al Régimen Especial de la Seguridad Social del servicio doméstico</w:t>
      </w:r>
      <w:bookmarkEnd w:id="648"/>
      <w:r w:rsidRPr="003104DF">
        <w:rPr>
          <w:rStyle w:val="TextoNormalCaracter"/>
        </w:rPr>
        <w:t xml:space="preserve">, Sentencia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Caracter"/>
        </w:rPr>
      </w:pPr>
      <w:bookmarkStart w:id="649" w:name="DESCRIPTORALFABETICO148"/>
      <w:r w:rsidRPr="003104DF">
        <w:rPr>
          <w:rStyle w:val="TextoNormalNegritaCaracter"/>
        </w:rPr>
        <w:t>Agotamiento de la vía judicial</w:t>
      </w:r>
      <w:bookmarkEnd w:id="649"/>
      <w:r w:rsidRPr="003104DF">
        <w:rPr>
          <w:rStyle w:val="TextoNormalCaracter"/>
        </w:rPr>
        <w:t xml:space="preserve">, Sentencias </w:t>
      </w:r>
      <w:hyperlink w:anchor="SENTENCIA_1992_31" w:history="1">
        <w:r w:rsidRPr="003104DF">
          <w:rPr>
            <w:rStyle w:val="TextoNormalCaracter"/>
          </w:rPr>
          <w:t>31/1992</w:t>
        </w:r>
      </w:hyperlink>
      <w:r w:rsidRPr="003104DF">
        <w:rPr>
          <w:rStyle w:val="TextoNormalCaracter"/>
        </w:rPr>
        <w:t xml:space="preserve">, f. 1; </w:t>
      </w:r>
      <w:hyperlink w:anchor="SENTENCIA_1992_41" w:history="1">
        <w:r w:rsidRPr="003104DF">
          <w:rPr>
            <w:rStyle w:val="TextoNormalCaracter"/>
          </w:rPr>
          <w:t>41/1992</w:t>
        </w:r>
      </w:hyperlink>
      <w:r w:rsidRPr="003104DF">
        <w:rPr>
          <w:rStyle w:val="TextoNormalCaracter"/>
        </w:rPr>
        <w:t xml:space="preserve">, f. 2; </w:t>
      </w:r>
      <w:hyperlink w:anchor="SENTENCIA_1992_50" w:history="1">
        <w:r w:rsidRPr="003104DF">
          <w:rPr>
            <w:rStyle w:val="TextoNormalCaracter"/>
          </w:rPr>
          <w:t>50/1992</w:t>
        </w:r>
      </w:hyperlink>
      <w:r w:rsidRPr="003104DF">
        <w:rPr>
          <w:rStyle w:val="TextoNormalCaracter"/>
        </w:rPr>
        <w:t>, f. 1.</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89" w:history="1">
        <w:r w:rsidRPr="003104DF">
          <w:rPr>
            <w:rStyle w:val="TextoNormalCaracter"/>
          </w:rPr>
          <w:t>89/1992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Agotamiento de recursos en la vía judicial</w:t>
      </w:r>
      <w:r>
        <w:t xml:space="preserve"> véase </w:t>
      </w:r>
      <w:hyperlink w:anchor="DESCRIPTORALFABETICO148" w:history="1">
        <w:r w:rsidRPr="003104DF">
          <w:rPr>
            <w:rStyle w:val="TextoNormalNegritaCaracter"/>
          </w:rPr>
          <w:t>Agotamiento de la vía judicial</w:t>
        </w:r>
      </w:hyperlink>
    </w:p>
    <w:p w:rsidR="003104DF" w:rsidRPr="003104DF" w:rsidRDefault="003104DF" w:rsidP="003104DF">
      <w:pPr>
        <w:pStyle w:val="TextoNormalSangraFrancesa"/>
        <w:rPr>
          <w:rStyle w:val="TextoNormalCaracter"/>
        </w:rPr>
      </w:pPr>
      <w:bookmarkStart w:id="650" w:name="DESCRIPTORALFABETICO157"/>
      <w:r w:rsidRPr="003104DF">
        <w:rPr>
          <w:rStyle w:val="TextoNormalNegritaCaracter"/>
        </w:rPr>
        <w:t>Alcance del fallo en recurso de amparo</w:t>
      </w:r>
      <w:bookmarkEnd w:id="650"/>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 7; </w:t>
      </w:r>
      <w:hyperlink w:anchor="SENTENCIA_1992_15" w:history="1">
        <w:r w:rsidRPr="003104DF">
          <w:rPr>
            <w:rStyle w:val="TextoNormalCaracter"/>
          </w:rPr>
          <w:t>15/1992</w:t>
        </w:r>
      </w:hyperlink>
      <w:r w:rsidRPr="003104DF">
        <w:rPr>
          <w:rStyle w:val="TextoNormalCaracter"/>
        </w:rPr>
        <w:t xml:space="preserve">, f. 7; </w:t>
      </w:r>
      <w:hyperlink w:anchor="SENTENCIA_1992_53" w:history="1">
        <w:r w:rsidRPr="003104DF">
          <w:rPr>
            <w:rStyle w:val="TextoNormalCaracter"/>
          </w:rPr>
          <w:t>53/1992</w:t>
        </w:r>
      </w:hyperlink>
      <w:r w:rsidRPr="003104DF">
        <w:rPr>
          <w:rStyle w:val="TextoNormalCaracter"/>
        </w:rPr>
        <w:t xml:space="preserve">, f. 5; </w:t>
      </w:r>
      <w:hyperlink w:anchor="SENTENCIA_1992_56" w:history="1">
        <w:r w:rsidRPr="003104DF">
          <w:rPr>
            <w:rStyle w:val="TextoNormalCaracter"/>
          </w:rPr>
          <w:t>56/1992</w:t>
        </w:r>
      </w:hyperlink>
      <w:r w:rsidRPr="003104DF">
        <w:rPr>
          <w:rStyle w:val="TextoNormalCaracter"/>
        </w:rPr>
        <w:t>, f. 5.</w:t>
      </w:r>
    </w:p>
    <w:p w:rsidR="003104DF" w:rsidRPr="003104DF" w:rsidRDefault="003104DF" w:rsidP="003104DF">
      <w:pPr>
        <w:pStyle w:val="TextoNormalSangraFrancesa"/>
        <w:rPr>
          <w:rStyle w:val="TextoNormalCaracter"/>
        </w:rPr>
      </w:pPr>
      <w:bookmarkStart w:id="651" w:name="DESCRIPTORALFABETICO131"/>
      <w:r w:rsidRPr="003104DF">
        <w:rPr>
          <w:rStyle w:val="TextoNormalNegritaCaracter"/>
        </w:rPr>
        <w:t>Alcance del fallo en recurso de inconstitucionalidad</w:t>
      </w:r>
      <w:bookmarkEnd w:id="651"/>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652" w:name="DESCRIPTORALFABETICO390"/>
      <w:r w:rsidRPr="003104DF">
        <w:rPr>
          <w:rStyle w:val="TextoNormalNegritaCaracter"/>
        </w:rPr>
        <w:t>Allanamiento procesal</w:t>
      </w:r>
      <w:bookmarkEnd w:id="652"/>
      <w:r w:rsidRPr="003104DF">
        <w:rPr>
          <w:rStyle w:val="TextoNormalCaracter"/>
        </w:rPr>
        <w:t xml:space="preserve">, Autos </w:t>
      </w:r>
      <w:hyperlink w:anchor="AUTO_1992_79" w:history="1">
        <w:r w:rsidRPr="003104DF">
          <w:rPr>
            <w:rStyle w:val="TextoNormalCaracter"/>
          </w:rPr>
          <w:t>79/1992</w:t>
        </w:r>
      </w:hyperlink>
      <w:r w:rsidRPr="003104DF">
        <w:rPr>
          <w:rStyle w:val="TextoNormalCaracter"/>
        </w:rPr>
        <w:t xml:space="preserve">; </w:t>
      </w:r>
      <w:hyperlink w:anchor="AUTO_1992_80" w:history="1">
        <w:r w:rsidRPr="003104DF">
          <w:rPr>
            <w:rStyle w:val="TextoNormalCaracter"/>
          </w:rPr>
          <w:t>80/1992</w:t>
        </w:r>
      </w:hyperlink>
      <w:r w:rsidRPr="003104DF">
        <w:rPr>
          <w:rStyle w:val="TextoNormalCaracter"/>
        </w:rPr>
        <w:t>.</w:t>
      </w:r>
    </w:p>
    <w:p w:rsidR="003104DF" w:rsidRPr="003104DF" w:rsidRDefault="003104DF" w:rsidP="003104DF">
      <w:pPr>
        <w:pStyle w:val="TextoNormalSangraFrancesa"/>
        <w:rPr>
          <w:rStyle w:val="TextoNormalCaracter"/>
        </w:rPr>
      </w:pPr>
      <w:bookmarkStart w:id="653" w:name="DESCRIPTORALFABETICO132"/>
      <w:r w:rsidRPr="003104DF">
        <w:rPr>
          <w:rStyle w:val="TextoNormalNegritaCaracter"/>
        </w:rPr>
        <w:t>Ámbito subjetivo del recurso de amparo</w:t>
      </w:r>
      <w:bookmarkEnd w:id="653"/>
      <w:r w:rsidRPr="003104DF">
        <w:rPr>
          <w:rStyle w:val="TextoNormalCaracter"/>
        </w:rPr>
        <w:t xml:space="preserve">, Sentencia </w:t>
      </w:r>
      <w:hyperlink w:anchor="SENTENCIA_1992_11" w:history="1">
        <w:r w:rsidRPr="003104DF">
          <w:rPr>
            <w:rStyle w:val="TextoNormalCaracter"/>
          </w:rPr>
          <w:t>11/1992</w:t>
        </w:r>
      </w:hyperlink>
      <w:r w:rsidRPr="003104DF">
        <w:rPr>
          <w:rStyle w:val="TextoNormalCaracter"/>
        </w:rPr>
        <w:t>, f. 2.</w:t>
      </w:r>
    </w:p>
    <w:p w:rsidR="003104DF" w:rsidRPr="003104DF" w:rsidRDefault="003104DF" w:rsidP="003104DF">
      <w:pPr>
        <w:pStyle w:val="TextoNormalSangraFrancesa"/>
        <w:rPr>
          <w:rStyle w:val="TextoNormalCaracter"/>
        </w:rPr>
      </w:pPr>
      <w:bookmarkStart w:id="654" w:name="DESCRIPTORALFABETICO253"/>
      <w:r w:rsidRPr="003104DF">
        <w:rPr>
          <w:rStyle w:val="TextoNormalNegritaCaracter"/>
        </w:rPr>
        <w:t>Aplicación de las normas jurídicas</w:t>
      </w:r>
      <w:bookmarkEnd w:id="654"/>
      <w:r w:rsidRPr="003104DF">
        <w:rPr>
          <w:rStyle w:val="TextoNormalCaracter"/>
        </w:rPr>
        <w:t xml:space="preserve">, Auto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Apreciación de la prueba</w:t>
      </w:r>
      <w:r>
        <w:t xml:space="preserve"> véase </w:t>
      </w:r>
      <w:hyperlink w:anchor="DESCRIPTORALFABETICO353" w:history="1">
        <w:r w:rsidRPr="003104DF">
          <w:rPr>
            <w:rStyle w:val="TextoNormalNegritaCaracter"/>
          </w:rPr>
          <w:t>Valoración de la prueba</w:t>
        </w:r>
      </w:hyperlink>
    </w:p>
    <w:p w:rsidR="003104DF" w:rsidRPr="003104DF" w:rsidRDefault="003104DF" w:rsidP="003104DF">
      <w:pPr>
        <w:pStyle w:val="TextoNormalSangraFrancesa"/>
        <w:rPr>
          <w:rStyle w:val="TextoNormalCaracter"/>
        </w:rPr>
      </w:pPr>
      <w:bookmarkStart w:id="655" w:name="DESCRIPTORALFABETICO297"/>
      <w:r w:rsidRPr="003104DF">
        <w:rPr>
          <w:rStyle w:val="TextoNormalNegritaCaracter"/>
        </w:rPr>
        <w:t>Apreciación de prescripción de la acción</w:t>
      </w:r>
      <w:bookmarkEnd w:id="655"/>
      <w:r w:rsidRPr="003104DF">
        <w:rPr>
          <w:rStyle w:val="TextoNormalCaracter"/>
        </w:rPr>
        <w:t xml:space="preserve">, Sentencia </w:t>
      </w:r>
      <w:hyperlink w:anchor="SENTENCIA_1992_32" w:history="1">
        <w:r w:rsidRPr="003104DF">
          <w:rPr>
            <w:rStyle w:val="TextoNormalCaracter"/>
          </w:rPr>
          <w:t>32/1992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656" w:name="DESCRIPTORALFABETICO216"/>
      <w:r w:rsidRPr="003104DF">
        <w:rPr>
          <w:rStyle w:val="TextoNormalNegritaCaracter"/>
        </w:rPr>
        <w:t>Arrendamientos urbanos</w:t>
      </w:r>
      <w:bookmarkEnd w:id="656"/>
      <w:r w:rsidRPr="003104DF">
        <w:rPr>
          <w:rStyle w:val="TextoNormalCaracter"/>
        </w:rPr>
        <w:t xml:space="preserve">, Sentencias </w:t>
      </w:r>
      <w:hyperlink w:anchor="SENTENCIA_1992_6" w:history="1">
        <w:r w:rsidRPr="003104DF">
          <w:rPr>
            <w:rStyle w:val="TextoNormalCaracter"/>
          </w:rPr>
          <w:t>6/1992</w:t>
        </w:r>
      </w:hyperlink>
      <w:r w:rsidRPr="003104DF">
        <w:rPr>
          <w:rStyle w:val="TextoNormalCaracter"/>
        </w:rPr>
        <w:t xml:space="preserve">, ff. 6, 7; </w:t>
      </w:r>
      <w:hyperlink w:anchor="SENTENCIA_1992_31" w:history="1">
        <w:r w:rsidRPr="003104DF">
          <w:rPr>
            <w:rStyle w:val="TextoNormalCaracter"/>
          </w:rPr>
          <w:t>31/1992</w:t>
        </w:r>
      </w:hyperlink>
      <w:r w:rsidRPr="003104DF">
        <w:rPr>
          <w:rStyle w:val="TextoNormalCaracter"/>
        </w:rPr>
        <w:t xml:space="preserve">, f. 2; </w:t>
      </w:r>
      <w:hyperlink w:anchor="SENTENCIA_1992_51" w:history="1">
        <w:r w:rsidRPr="003104DF">
          <w:rPr>
            <w:rStyle w:val="TextoNormalCaracter"/>
          </w:rPr>
          <w:t>51/1992</w:t>
        </w:r>
      </w:hyperlink>
      <w:r w:rsidRPr="003104DF">
        <w:rPr>
          <w:rStyle w:val="TextoNormalCaracter"/>
        </w:rPr>
        <w:t>, ff. 2, 3.</w:t>
      </w:r>
    </w:p>
    <w:p w:rsidR="003104DF" w:rsidRPr="003104DF" w:rsidRDefault="003104DF" w:rsidP="003104DF">
      <w:pPr>
        <w:pStyle w:val="TextoNormalSangraFrancesa"/>
        <w:rPr>
          <w:rStyle w:val="TextoNormalCaracter"/>
        </w:rPr>
      </w:pPr>
      <w:bookmarkStart w:id="657" w:name="DESCRIPTORALFABETICO261"/>
      <w:r w:rsidRPr="003104DF">
        <w:rPr>
          <w:rStyle w:val="TextoNormalNegritaCaracter"/>
        </w:rPr>
        <w:t>Asociaciones empresariales</w:t>
      </w:r>
      <w:bookmarkEnd w:id="657"/>
      <w:r w:rsidRPr="003104DF">
        <w:rPr>
          <w:rStyle w:val="TextoNormalCaracter"/>
        </w:rPr>
        <w:t xml:space="preserve">, Sentencia </w:t>
      </w:r>
      <w:hyperlink w:anchor="SENTENCIA_1992_52" w:history="1">
        <w:r w:rsidRPr="003104DF">
          <w:rPr>
            <w:rStyle w:val="TextoNormalCaracter"/>
          </w:rPr>
          <w:t>52/1992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658" w:name="DESCRIPTORALFABETICO29"/>
      <w:r w:rsidRPr="003104DF">
        <w:rPr>
          <w:rStyle w:val="TextoNormalNegritaCaracter"/>
        </w:rPr>
        <w:t>Atribución de escaños</w:t>
      </w:r>
      <w:bookmarkEnd w:id="658"/>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ff. 2, 3.</w:t>
      </w:r>
    </w:p>
    <w:p w:rsidR="003104DF" w:rsidRPr="003104DF" w:rsidRDefault="003104DF" w:rsidP="003104DF">
      <w:pPr>
        <w:pStyle w:val="TextoNormalSangraFrancesa"/>
        <w:rPr>
          <w:rStyle w:val="TextoNormalNegritaCaracter"/>
        </w:rPr>
      </w:pPr>
      <w:r w:rsidRPr="003104DF">
        <w:rPr>
          <w:rStyle w:val="TextoNormalCursivaCaracter"/>
        </w:rPr>
        <w:t>Audiencia de las partes</w:t>
      </w:r>
      <w:r>
        <w:t xml:space="preserve"> véase </w:t>
      </w:r>
      <w:hyperlink w:anchor="DESCRIPTORALFABETICO339" w:history="1">
        <w:r w:rsidRPr="003104DF">
          <w:rPr>
            <w:rStyle w:val="TextoNormalNegritaCaracter"/>
          </w:rPr>
          <w:t>Trámite de audiencia</w:t>
        </w:r>
      </w:hyperlink>
    </w:p>
    <w:p w:rsidR="003104DF" w:rsidRPr="003104DF" w:rsidRDefault="003104DF" w:rsidP="003104DF">
      <w:pPr>
        <w:pStyle w:val="TextoNormalSangraFrancesa"/>
        <w:rPr>
          <w:rStyle w:val="TextoNormalCaracter"/>
        </w:rPr>
      </w:pPr>
      <w:bookmarkStart w:id="659" w:name="DESCRIPTORALFABETICO17"/>
      <w:r w:rsidRPr="003104DF">
        <w:rPr>
          <w:rStyle w:val="TextoNormalNegritaCaracter"/>
        </w:rPr>
        <w:t>Autonomía financiera</w:t>
      </w:r>
      <w:bookmarkEnd w:id="659"/>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3, 7.</w:t>
      </w:r>
    </w:p>
    <w:p w:rsidR="003104DF" w:rsidRPr="003104DF" w:rsidRDefault="003104DF" w:rsidP="003104DF">
      <w:pPr>
        <w:pStyle w:val="TextoNormalSangraFrancesa"/>
        <w:rPr>
          <w:rStyle w:val="TextoNormalCaracter"/>
        </w:rPr>
      </w:pPr>
      <w:bookmarkStart w:id="660" w:name="DESCRIPTORALFABETICO193"/>
      <w:r w:rsidRPr="003104DF">
        <w:rPr>
          <w:rStyle w:val="TextoNormalNegritaCaracter"/>
        </w:rPr>
        <w:t>Autonomía local</w:t>
      </w:r>
      <w:bookmarkEnd w:id="660"/>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2.</w:t>
      </w:r>
    </w:p>
    <w:p w:rsidR="003104DF" w:rsidRPr="003104DF" w:rsidRDefault="003104DF" w:rsidP="003104DF">
      <w:pPr>
        <w:pStyle w:val="TextoNormalSangraFrancesa"/>
        <w:rPr>
          <w:rStyle w:val="TextoNormalCaracter"/>
        </w:rPr>
      </w:pPr>
      <w:bookmarkStart w:id="661" w:name="DESCRIPTORALFABETICO192"/>
      <w:r w:rsidRPr="003104DF">
        <w:rPr>
          <w:rStyle w:val="TextoNormalNegritaCaracter"/>
        </w:rPr>
        <w:t>Autonomía política</w:t>
      </w:r>
      <w:bookmarkEnd w:id="661"/>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662" w:name="DESCRIPTORALFABETICO311"/>
      <w:r w:rsidRPr="003104DF">
        <w:rPr>
          <w:rStyle w:val="TextoNormalNegritaCaracter"/>
        </w:rPr>
        <w:t>Autorización judicial de entrada en domicilio</w:t>
      </w:r>
      <w:bookmarkEnd w:id="662"/>
      <w:r w:rsidRPr="003104DF">
        <w:rPr>
          <w:rStyle w:val="TextoNormalCaracter"/>
        </w:rPr>
        <w:t xml:space="preserve">, Auto </w:t>
      </w:r>
      <w:hyperlink w:anchor="AUTO_1992_85" w:history="1">
        <w:r w:rsidRPr="003104DF">
          <w:rPr>
            <w:rStyle w:val="TextoNormalCaracter"/>
          </w:rPr>
          <w:t>85/1992</w:t>
        </w:r>
      </w:hyperlink>
      <w:r w:rsidRPr="003104DF">
        <w:rPr>
          <w:rStyle w:val="TextoNormalCaracter"/>
        </w:rPr>
        <w:t>.</w:t>
      </w:r>
    </w:p>
    <w:p w:rsidR="003104DF" w:rsidRPr="003104DF" w:rsidRDefault="003104DF" w:rsidP="003104DF">
      <w:pPr>
        <w:pStyle w:val="TextoNormalSangraFrancesa"/>
        <w:rPr>
          <w:rStyle w:val="TextoNormalCaracter"/>
        </w:rPr>
      </w:pPr>
      <w:bookmarkStart w:id="663" w:name="DESCRIPTORALFABETICO21"/>
      <w:r w:rsidRPr="003104DF">
        <w:rPr>
          <w:rStyle w:val="TextoNormalNegritaCaracter"/>
        </w:rPr>
        <w:t>Autorización presupuestaria de gasto</w:t>
      </w:r>
      <w:bookmarkEnd w:id="663"/>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5, 7.</w:t>
      </w:r>
    </w:p>
    <w:p w:rsidR="003104DF" w:rsidRPr="003104DF" w:rsidRDefault="003104DF" w:rsidP="003104DF">
      <w:pPr>
        <w:pStyle w:val="TextoNormalSangraFrancesa"/>
        <w:rPr>
          <w:rStyle w:val="TextoNormalNegritaCaracter"/>
        </w:rPr>
      </w:pPr>
      <w:r w:rsidRPr="003104DF">
        <w:rPr>
          <w:rStyle w:val="TextoNormalCursivaCaracter"/>
        </w:rPr>
        <w:t>Autorizaciones de gasto</w:t>
      </w:r>
      <w:r>
        <w:t xml:space="preserve"> véase </w:t>
      </w:r>
      <w:hyperlink w:anchor="DESCRIPTORALFABETICO21" w:history="1">
        <w:r w:rsidRPr="003104DF">
          <w:rPr>
            <w:rStyle w:val="TextoNormalNegritaCaracter"/>
          </w:rPr>
          <w:t>Autorización presupuestaria de gasto</w:t>
        </w:r>
      </w:hyperlink>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B</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664" w:name="DESCRIPTORALFABETICO426"/>
      <w:r w:rsidRPr="003104DF">
        <w:rPr>
          <w:rStyle w:val="TextoNormalNegritaCaracter"/>
        </w:rPr>
        <w:t>Baleares</w:t>
      </w:r>
      <w:bookmarkEnd w:id="664"/>
      <w:r w:rsidRPr="003104DF">
        <w:rPr>
          <w:rStyle w:val="TextoNormalCaracter"/>
        </w:rPr>
        <w:t xml:space="preserve">, Sentencia </w:t>
      </w:r>
      <w:hyperlink w:anchor="SENTENCIA_1992_45" w:history="1">
        <w:r w:rsidRPr="003104DF">
          <w:rPr>
            <w:rStyle w:val="TextoNormalCaracter"/>
          </w:rPr>
          <w:t>45/1992</w:t>
        </w:r>
      </w:hyperlink>
      <w:r w:rsidRPr="003104DF">
        <w:rPr>
          <w:rStyle w:val="TextoNormalCaracter"/>
        </w:rPr>
        <w:t>, ff. 1, 2, 3, 4, 5.</w:t>
      </w:r>
    </w:p>
    <w:p w:rsidR="003104DF" w:rsidRPr="003104DF" w:rsidRDefault="003104DF" w:rsidP="003104DF">
      <w:pPr>
        <w:pStyle w:val="TextoNormalSangraFrancesa"/>
        <w:rPr>
          <w:rStyle w:val="TextoNormalNegritaCaracter"/>
        </w:rPr>
      </w:pPr>
      <w:r w:rsidRPr="003104DF">
        <w:rPr>
          <w:rStyle w:val="TextoNormalCursivaCaracter"/>
        </w:rPr>
        <w:t>Bancos</w:t>
      </w:r>
      <w:r>
        <w:t xml:space="preserve"> véase </w:t>
      </w:r>
      <w:hyperlink w:anchor="DESCRIPTORALFABETICO214" w:history="1">
        <w:r w:rsidRPr="003104DF">
          <w:rPr>
            <w:rStyle w:val="TextoNormalNegritaCaracter"/>
          </w:rPr>
          <w:t>Entidades de crédito</w:t>
        </w:r>
      </w:hyperlink>
    </w:p>
    <w:p w:rsidR="003104DF" w:rsidRPr="003104DF" w:rsidRDefault="003104DF" w:rsidP="003104DF">
      <w:pPr>
        <w:pStyle w:val="TextoNormalSangraFrancesa"/>
        <w:rPr>
          <w:rStyle w:val="TextoNormalNegritaCaracter"/>
        </w:rPr>
      </w:pPr>
      <w:r w:rsidRPr="003104DF">
        <w:rPr>
          <w:rStyle w:val="TextoNormalCursivaCaracter"/>
        </w:rPr>
        <w:t>Bases</w:t>
      </w:r>
      <w:r>
        <w:t xml:space="preserve"> véase </w:t>
      </w:r>
      <w:hyperlink w:anchor="DESCRIPTORALFABETICO247" w:history="1">
        <w:r w:rsidRPr="003104DF">
          <w:rPr>
            <w:rStyle w:val="TextoNormalNegritaCaracter"/>
          </w:rPr>
          <w:t>Legislación básica</w:t>
        </w:r>
      </w:hyperlink>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C</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665" w:name="DESCRIPTORALFABETICO296"/>
      <w:r w:rsidRPr="003104DF">
        <w:rPr>
          <w:rStyle w:val="TextoNormalNegritaCaracter"/>
        </w:rPr>
        <w:t>Caducidad de la acción</w:t>
      </w:r>
      <w:bookmarkEnd w:id="665"/>
      <w:r w:rsidRPr="003104DF">
        <w:rPr>
          <w:rStyle w:val="TextoNormalCaracter"/>
        </w:rPr>
        <w:t xml:space="preserve">, Sentencia </w:t>
      </w:r>
      <w:hyperlink w:anchor="SENTENCIA_1992_18" w:history="1">
        <w:r w:rsidRPr="003104DF">
          <w:rPr>
            <w:rStyle w:val="TextoNormalCaracter"/>
          </w:rPr>
          <w:t>18/1992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7" w:history="1">
        <w:r w:rsidRPr="003104DF">
          <w:rPr>
            <w:rStyle w:val="TextoNormalCaracter"/>
          </w:rPr>
          <w:t>7/1992</w:t>
        </w:r>
      </w:hyperlink>
      <w:r w:rsidRPr="003104DF">
        <w:rPr>
          <w:rStyle w:val="TextoNormalCaracter"/>
        </w:rPr>
        <w:t>.</w:t>
      </w:r>
    </w:p>
    <w:p w:rsidR="003104DF" w:rsidRPr="003104DF" w:rsidRDefault="003104DF" w:rsidP="003104DF">
      <w:pPr>
        <w:pStyle w:val="TextoNormalSangraFrancesa"/>
        <w:rPr>
          <w:rStyle w:val="TextoNormalCaracter"/>
        </w:rPr>
      </w:pPr>
      <w:bookmarkStart w:id="666" w:name="DESCRIPTORALFABETICO409"/>
      <w:r w:rsidRPr="003104DF">
        <w:rPr>
          <w:rStyle w:val="TextoNormalNegritaCaracter"/>
        </w:rPr>
        <w:t>Calificación jurídica de los hechos</w:t>
      </w:r>
      <w:bookmarkEnd w:id="666"/>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Carácter imperativo de los requisitos procesales</w:t>
      </w:r>
      <w:r>
        <w:t xml:space="preserve"> véase </w:t>
      </w:r>
      <w:hyperlink w:anchor="DESCRIPTORALFABETICO387" w:history="1">
        <w:r w:rsidRPr="003104DF">
          <w:rPr>
            <w:rStyle w:val="TextoNormalNegritaCaracter"/>
          </w:rPr>
          <w:t>Indisponibilidad de los requisitos procesales</w:t>
        </w:r>
      </w:hyperlink>
    </w:p>
    <w:p w:rsidR="003104DF" w:rsidRPr="003104DF" w:rsidRDefault="003104DF" w:rsidP="003104DF">
      <w:pPr>
        <w:pStyle w:val="TextoNormalSangraFrancesa"/>
        <w:rPr>
          <w:rStyle w:val="TextoNormalNegritaCaracter"/>
        </w:rPr>
      </w:pPr>
      <w:r w:rsidRPr="003104DF">
        <w:rPr>
          <w:rStyle w:val="TextoNormalCursivaCaracter"/>
        </w:rPr>
        <w:t>Carencia de contenido constitucional</w:t>
      </w:r>
      <w:r>
        <w:t xml:space="preserve"> véase </w:t>
      </w:r>
      <w:hyperlink w:anchor="DESCRIPTORALFABETICO152" w:history="1">
        <w:r w:rsidRPr="003104DF">
          <w:rPr>
            <w:rStyle w:val="TextoNormalNegritaCaracter"/>
          </w:rPr>
          <w:t>Carencia de contenido que justifique una decisión sobre el fondo del asunto</w:t>
        </w:r>
      </w:hyperlink>
    </w:p>
    <w:p w:rsidR="003104DF" w:rsidRPr="003104DF" w:rsidRDefault="003104DF" w:rsidP="003104DF">
      <w:pPr>
        <w:pStyle w:val="TextoNormalSangraFrancesa"/>
        <w:rPr>
          <w:rStyle w:val="TextoNormalCaracter"/>
        </w:rPr>
      </w:pPr>
      <w:bookmarkStart w:id="667" w:name="DESCRIPTORALFABETICO152"/>
      <w:r w:rsidRPr="003104DF">
        <w:rPr>
          <w:rStyle w:val="TextoNormalNegritaCaracter"/>
        </w:rPr>
        <w:lastRenderedPageBreak/>
        <w:t>Carencia de contenido que justifique una decisión sobre el fondo del asunto</w:t>
      </w:r>
      <w:bookmarkEnd w:id="667"/>
      <w:r w:rsidRPr="003104DF">
        <w:rPr>
          <w:rStyle w:val="TextoNormalCaracter"/>
        </w:rPr>
        <w:t xml:space="preserve">, Autos </w:t>
      </w:r>
      <w:hyperlink w:anchor="AUTO_1992_3" w:history="1">
        <w:r w:rsidRPr="003104DF">
          <w:rPr>
            <w:rStyle w:val="TextoNormalCaracter"/>
          </w:rPr>
          <w:t>3/1992</w:t>
        </w:r>
      </w:hyperlink>
      <w:r w:rsidRPr="003104DF">
        <w:rPr>
          <w:rStyle w:val="TextoNormalCaracter"/>
        </w:rPr>
        <w:t xml:space="preserve">; </w:t>
      </w:r>
      <w:hyperlink w:anchor="AUTO_1992_4" w:history="1">
        <w:r w:rsidRPr="003104DF">
          <w:rPr>
            <w:rStyle w:val="TextoNormalCaracter"/>
          </w:rPr>
          <w:t>4/1992</w:t>
        </w:r>
      </w:hyperlink>
      <w:r w:rsidRPr="003104DF">
        <w:rPr>
          <w:rStyle w:val="TextoNormalCaracter"/>
        </w:rPr>
        <w:t xml:space="preserve">; </w:t>
      </w:r>
      <w:hyperlink w:anchor="AUTO_1992_6" w:history="1">
        <w:r w:rsidRPr="003104DF">
          <w:rPr>
            <w:rStyle w:val="TextoNormalCaracter"/>
          </w:rPr>
          <w:t>6/1992</w:t>
        </w:r>
      </w:hyperlink>
      <w:r w:rsidRPr="003104DF">
        <w:rPr>
          <w:rStyle w:val="TextoNormalCaracter"/>
        </w:rPr>
        <w:t xml:space="preserve">; </w:t>
      </w:r>
      <w:hyperlink w:anchor="AUTO_1992_7" w:history="1">
        <w:r w:rsidRPr="003104DF">
          <w:rPr>
            <w:rStyle w:val="TextoNormalCaracter"/>
          </w:rPr>
          <w:t>7/1992</w:t>
        </w:r>
      </w:hyperlink>
      <w:r w:rsidRPr="003104DF">
        <w:rPr>
          <w:rStyle w:val="TextoNormalCaracter"/>
        </w:rPr>
        <w:t xml:space="preserve">; </w:t>
      </w:r>
      <w:hyperlink w:anchor="AUTO_1992_13" w:history="1">
        <w:r w:rsidRPr="003104DF">
          <w:rPr>
            <w:rStyle w:val="TextoNormalCaracter"/>
          </w:rPr>
          <w:t>13/1992</w:t>
        </w:r>
      </w:hyperlink>
      <w:r w:rsidRPr="003104DF">
        <w:rPr>
          <w:rStyle w:val="TextoNormalCaracter"/>
        </w:rPr>
        <w:t xml:space="preserve">; </w:t>
      </w:r>
      <w:hyperlink w:anchor="AUTO_1992_16" w:history="1">
        <w:r w:rsidRPr="003104DF">
          <w:rPr>
            <w:rStyle w:val="TextoNormalCaracter"/>
          </w:rPr>
          <w:t>16/1992</w:t>
        </w:r>
      </w:hyperlink>
      <w:r w:rsidRPr="003104DF">
        <w:rPr>
          <w:rStyle w:val="TextoNormalCaracter"/>
        </w:rPr>
        <w:t xml:space="preserve">; </w:t>
      </w:r>
      <w:hyperlink w:anchor="AUTO_1992_17" w:history="1">
        <w:r w:rsidRPr="003104DF">
          <w:rPr>
            <w:rStyle w:val="TextoNormalCaracter"/>
          </w:rPr>
          <w:t>17/1992</w:t>
        </w:r>
      </w:hyperlink>
      <w:r w:rsidRPr="003104DF">
        <w:rPr>
          <w:rStyle w:val="TextoNormalCaracter"/>
        </w:rPr>
        <w:t xml:space="preserve">; </w:t>
      </w:r>
      <w:hyperlink w:anchor="AUTO_1992_19" w:history="1">
        <w:r w:rsidRPr="003104DF">
          <w:rPr>
            <w:rStyle w:val="TextoNormalCaracter"/>
          </w:rPr>
          <w:t>19/1992</w:t>
        </w:r>
      </w:hyperlink>
      <w:r w:rsidRPr="003104DF">
        <w:rPr>
          <w:rStyle w:val="TextoNormalCaracter"/>
        </w:rPr>
        <w:t xml:space="preserve">; </w:t>
      </w:r>
      <w:hyperlink w:anchor="AUTO_1992_21" w:history="1">
        <w:r w:rsidRPr="003104DF">
          <w:rPr>
            <w:rStyle w:val="TextoNormalCaracter"/>
          </w:rPr>
          <w:t>21/1992</w:t>
        </w:r>
      </w:hyperlink>
      <w:r w:rsidRPr="003104DF">
        <w:rPr>
          <w:rStyle w:val="TextoNormalCaracter"/>
        </w:rPr>
        <w:t xml:space="preserve">; </w:t>
      </w:r>
      <w:hyperlink w:anchor="AUTO_1992_22" w:history="1">
        <w:r w:rsidRPr="003104DF">
          <w:rPr>
            <w:rStyle w:val="TextoNormalCaracter"/>
          </w:rPr>
          <w:t>22/1992</w:t>
        </w:r>
      </w:hyperlink>
      <w:r w:rsidRPr="003104DF">
        <w:rPr>
          <w:rStyle w:val="TextoNormalCaracter"/>
        </w:rPr>
        <w:t xml:space="preserve">; </w:t>
      </w:r>
      <w:hyperlink w:anchor="AUTO_1992_23" w:history="1">
        <w:r w:rsidRPr="003104DF">
          <w:rPr>
            <w:rStyle w:val="TextoNormalCaracter"/>
          </w:rPr>
          <w:t>23/1992</w:t>
        </w:r>
      </w:hyperlink>
      <w:r w:rsidRPr="003104DF">
        <w:rPr>
          <w:rStyle w:val="TextoNormalCaracter"/>
        </w:rPr>
        <w:t xml:space="preserve">; </w:t>
      </w:r>
      <w:hyperlink w:anchor="AUTO_1992_24" w:history="1">
        <w:r w:rsidRPr="003104DF">
          <w:rPr>
            <w:rStyle w:val="TextoNormalCaracter"/>
          </w:rPr>
          <w:t>24/1992</w:t>
        </w:r>
      </w:hyperlink>
      <w:r w:rsidRPr="003104DF">
        <w:rPr>
          <w:rStyle w:val="TextoNormalCaracter"/>
        </w:rPr>
        <w:t xml:space="preserve">; </w:t>
      </w:r>
      <w:hyperlink w:anchor="AUTO_1992_25" w:history="1">
        <w:r w:rsidRPr="003104DF">
          <w:rPr>
            <w:rStyle w:val="TextoNormalCaracter"/>
          </w:rPr>
          <w:t>25/1992</w:t>
        </w:r>
      </w:hyperlink>
      <w:r w:rsidRPr="003104DF">
        <w:rPr>
          <w:rStyle w:val="TextoNormalCaracter"/>
        </w:rPr>
        <w:t xml:space="preserve">; </w:t>
      </w:r>
      <w:hyperlink w:anchor="AUTO_1992_26" w:history="1">
        <w:r w:rsidRPr="003104DF">
          <w:rPr>
            <w:rStyle w:val="TextoNormalCaracter"/>
          </w:rPr>
          <w:t>26/1992</w:t>
        </w:r>
      </w:hyperlink>
      <w:r w:rsidRPr="003104DF">
        <w:rPr>
          <w:rStyle w:val="TextoNormalCaracter"/>
        </w:rPr>
        <w:t xml:space="preserve">; </w:t>
      </w:r>
      <w:hyperlink w:anchor="AUTO_1992_27" w:history="1">
        <w:r w:rsidRPr="003104DF">
          <w:rPr>
            <w:rStyle w:val="TextoNormalCaracter"/>
          </w:rPr>
          <w:t>27/1992</w:t>
        </w:r>
      </w:hyperlink>
      <w:r w:rsidRPr="003104DF">
        <w:rPr>
          <w:rStyle w:val="TextoNormalCaracter"/>
        </w:rPr>
        <w:t xml:space="preserve">; </w:t>
      </w:r>
      <w:hyperlink w:anchor="AUTO_1992_37" w:history="1">
        <w:r w:rsidRPr="003104DF">
          <w:rPr>
            <w:rStyle w:val="TextoNormalCaracter"/>
          </w:rPr>
          <w:t>37/1992</w:t>
        </w:r>
      </w:hyperlink>
      <w:r w:rsidRPr="003104DF">
        <w:rPr>
          <w:rStyle w:val="TextoNormalCaracter"/>
        </w:rPr>
        <w:t xml:space="preserve">; </w:t>
      </w:r>
      <w:hyperlink w:anchor="AUTO_1992_38" w:history="1">
        <w:r w:rsidRPr="003104DF">
          <w:rPr>
            <w:rStyle w:val="TextoNormalCaracter"/>
          </w:rPr>
          <w:t>38/1992</w:t>
        </w:r>
      </w:hyperlink>
      <w:r w:rsidRPr="003104DF">
        <w:rPr>
          <w:rStyle w:val="TextoNormalCaracter"/>
        </w:rPr>
        <w:t xml:space="preserve">; </w:t>
      </w:r>
      <w:hyperlink w:anchor="AUTO_1992_40" w:history="1">
        <w:r w:rsidRPr="003104DF">
          <w:rPr>
            <w:rStyle w:val="TextoNormalCaracter"/>
          </w:rPr>
          <w:t>40/1992</w:t>
        </w:r>
      </w:hyperlink>
      <w:r w:rsidRPr="003104DF">
        <w:rPr>
          <w:rStyle w:val="TextoNormalCaracter"/>
        </w:rPr>
        <w:t xml:space="preserve">; </w:t>
      </w:r>
      <w:hyperlink w:anchor="AUTO_1992_42" w:history="1">
        <w:r w:rsidRPr="003104DF">
          <w:rPr>
            <w:rStyle w:val="TextoNormalCaracter"/>
          </w:rPr>
          <w:t>42/1992</w:t>
        </w:r>
      </w:hyperlink>
      <w:r w:rsidRPr="003104DF">
        <w:rPr>
          <w:rStyle w:val="TextoNormalCaracter"/>
        </w:rPr>
        <w:t xml:space="preserve">; </w:t>
      </w:r>
      <w:hyperlink w:anchor="AUTO_1992_50" w:history="1">
        <w:r w:rsidRPr="003104DF">
          <w:rPr>
            <w:rStyle w:val="TextoNormalCaracter"/>
          </w:rPr>
          <w:t>50/1992</w:t>
        </w:r>
      </w:hyperlink>
      <w:r w:rsidRPr="003104DF">
        <w:rPr>
          <w:rStyle w:val="TextoNormalCaracter"/>
        </w:rPr>
        <w:t xml:space="preserve">; </w:t>
      </w:r>
      <w:hyperlink w:anchor="AUTO_1992_51" w:history="1">
        <w:r w:rsidRPr="003104DF">
          <w:rPr>
            <w:rStyle w:val="TextoNormalCaracter"/>
          </w:rPr>
          <w:t>51/1992</w:t>
        </w:r>
      </w:hyperlink>
      <w:r w:rsidRPr="003104DF">
        <w:rPr>
          <w:rStyle w:val="TextoNormalCaracter"/>
        </w:rPr>
        <w:t xml:space="preserve">; </w:t>
      </w:r>
      <w:hyperlink w:anchor="AUTO_1992_52" w:history="1">
        <w:r w:rsidRPr="003104DF">
          <w:rPr>
            <w:rStyle w:val="TextoNormalCaracter"/>
          </w:rPr>
          <w:t>52/1992</w:t>
        </w:r>
      </w:hyperlink>
      <w:r w:rsidRPr="003104DF">
        <w:rPr>
          <w:rStyle w:val="TextoNormalCaracter"/>
        </w:rPr>
        <w:t xml:space="preserve">; </w:t>
      </w:r>
      <w:hyperlink w:anchor="AUTO_1992_54" w:history="1">
        <w:r w:rsidRPr="003104DF">
          <w:rPr>
            <w:rStyle w:val="TextoNormalCaracter"/>
          </w:rPr>
          <w:t>54/1992</w:t>
        </w:r>
      </w:hyperlink>
      <w:r w:rsidRPr="003104DF">
        <w:rPr>
          <w:rStyle w:val="TextoNormalCaracter"/>
        </w:rPr>
        <w:t xml:space="preserve">; </w:t>
      </w:r>
      <w:hyperlink w:anchor="AUTO_1992_55" w:history="1">
        <w:r w:rsidRPr="003104DF">
          <w:rPr>
            <w:rStyle w:val="TextoNormalCaracter"/>
          </w:rPr>
          <w:t>55/1992</w:t>
        </w:r>
      </w:hyperlink>
      <w:r w:rsidRPr="003104DF">
        <w:rPr>
          <w:rStyle w:val="TextoNormalCaracter"/>
        </w:rPr>
        <w:t xml:space="preserve">; </w:t>
      </w:r>
      <w:hyperlink w:anchor="AUTO_1992_58" w:history="1">
        <w:r w:rsidRPr="003104DF">
          <w:rPr>
            <w:rStyle w:val="TextoNormalCaracter"/>
          </w:rPr>
          <w:t>58/1992</w:t>
        </w:r>
      </w:hyperlink>
      <w:r w:rsidRPr="003104DF">
        <w:rPr>
          <w:rStyle w:val="TextoNormalCaracter"/>
        </w:rPr>
        <w:t xml:space="preserve">; </w:t>
      </w:r>
      <w:hyperlink w:anchor="AUTO_1992_59" w:history="1">
        <w:r w:rsidRPr="003104DF">
          <w:rPr>
            <w:rStyle w:val="TextoNormalCaracter"/>
          </w:rPr>
          <w:t>59/1992</w:t>
        </w:r>
      </w:hyperlink>
      <w:r w:rsidRPr="003104DF">
        <w:rPr>
          <w:rStyle w:val="TextoNormalCaracter"/>
        </w:rPr>
        <w:t xml:space="preserve">; </w:t>
      </w:r>
      <w:hyperlink w:anchor="AUTO_1992_60" w:history="1">
        <w:r w:rsidRPr="003104DF">
          <w:rPr>
            <w:rStyle w:val="TextoNormalCaracter"/>
          </w:rPr>
          <w:t>60/1992</w:t>
        </w:r>
      </w:hyperlink>
      <w:r w:rsidRPr="003104DF">
        <w:rPr>
          <w:rStyle w:val="TextoNormalCaracter"/>
        </w:rPr>
        <w:t xml:space="preserve">; </w:t>
      </w:r>
      <w:hyperlink w:anchor="AUTO_1992_61" w:history="1">
        <w:r w:rsidRPr="003104DF">
          <w:rPr>
            <w:rStyle w:val="TextoNormalCaracter"/>
          </w:rPr>
          <w:t>61/1992</w:t>
        </w:r>
      </w:hyperlink>
      <w:r w:rsidRPr="003104DF">
        <w:rPr>
          <w:rStyle w:val="TextoNormalCaracter"/>
        </w:rPr>
        <w:t xml:space="preserve">; </w:t>
      </w:r>
      <w:hyperlink w:anchor="AUTO_1992_62" w:history="1">
        <w:r w:rsidRPr="003104DF">
          <w:rPr>
            <w:rStyle w:val="TextoNormalCaracter"/>
          </w:rPr>
          <w:t>62/1992</w:t>
        </w:r>
      </w:hyperlink>
      <w:r w:rsidRPr="003104DF">
        <w:rPr>
          <w:rStyle w:val="TextoNormalCaracter"/>
        </w:rPr>
        <w:t xml:space="preserve">; </w:t>
      </w:r>
      <w:hyperlink w:anchor="AUTO_1992_70" w:history="1">
        <w:r w:rsidRPr="003104DF">
          <w:rPr>
            <w:rStyle w:val="TextoNormalCaracter"/>
          </w:rPr>
          <w:t>70/1992</w:t>
        </w:r>
      </w:hyperlink>
      <w:r w:rsidRPr="003104DF">
        <w:rPr>
          <w:rStyle w:val="TextoNormalCaracter"/>
        </w:rPr>
        <w:t xml:space="preserve">; </w:t>
      </w:r>
      <w:hyperlink w:anchor="AUTO_1992_71" w:history="1">
        <w:r w:rsidRPr="003104DF">
          <w:rPr>
            <w:rStyle w:val="TextoNormalCaracter"/>
          </w:rPr>
          <w:t>71/1992</w:t>
        </w:r>
      </w:hyperlink>
      <w:r w:rsidRPr="003104DF">
        <w:rPr>
          <w:rStyle w:val="TextoNormalCaracter"/>
        </w:rPr>
        <w:t xml:space="preserve">; </w:t>
      </w:r>
      <w:hyperlink w:anchor="AUTO_1992_72" w:history="1">
        <w:r w:rsidRPr="003104DF">
          <w:rPr>
            <w:rStyle w:val="TextoNormalCaracter"/>
          </w:rPr>
          <w:t>72/1992</w:t>
        </w:r>
      </w:hyperlink>
      <w:r w:rsidRPr="003104DF">
        <w:rPr>
          <w:rStyle w:val="TextoNormalCaracter"/>
        </w:rPr>
        <w:t xml:space="preserve">; </w:t>
      </w:r>
      <w:hyperlink w:anchor="AUTO_1992_73" w:history="1">
        <w:r w:rsidRPr="003104DF">
          <w:rPr>
            <w:rStyle w:val="TextoNormalCaracter"/>
          </w:rPr>
          <w:t>73/1992</w:t>
        </w:r>
      </w:hyperlink>
      <w:r w:rsidRPr="003104DF">
        <w:rPr>
          <w:rStyle w:val="TextoNormalCaracter"/>
        </w:rPr>
        <w:t xml:space="preserve">; </w:t>
      </w:r>
      <w:hyperlink w:anchor="AUTO_1992_74" w:history="1">
        <w:r w:rsidRPr="003104DF">
          <w:rPr>
            <w:rStyle w:val="TextoNormalCaracter"/>
          </w:rPr>
          <w:t>74/1992</w:t>
        </w:r>
      </w:hyperlink>
      <w:r w:rsidRPr="003104DF">
        <w:rPr>
          <w:rStyle w:val="TextoNormalCaracter"/>
        </w:rPr>
        <w:t xml:space="preserve">; </w:t>
      </w:r>
      <w:hyperlink w:anchor="AUTO_1992_83" w:history="1">
        <w:r w:rsidRPr="003104DF">
          <w:rPr>
            <w:rStyle w:val="TextoNormalCaracter"/>
          </w:rPr>
          <w:t>83/1992</w:t>
        </w:r>
      </w:hyperlink>
      <w:r w:rsidRPr="003104DF">
        <w:rPr>
          <w:rStyle w:val="TextoNormalCaracter"/>
        </w:rPr>
        <w:t xml:space="preserve">; </w:t>
      </w:r>
      <w:hyperlink w:anchor="AUTO_1992_84" w:history="1">
        <w:r w:rsidRPr="003104DF">
          <w:rPr>
            <w:rStyle w:val="TextoNormalCaracter"/>
          </w:rPr>
          <w:t>84/1992</w:t>
        </w:r>
      </w:hyperlink>
      <w:r w:rsidRPr="003104DF">
        <w:rPr>
          <w:rStyle w:val="TextoNormalCaracter"/>
        </w:rPr>
        <w:t xml:space="preserve">; </w:t>
      </w:r>
      <w:hyperlink w:anchor="AUTO_1992_85" w:history="1">
        <w:r w:rsidRPr="003104DF">
          <w:rPr>
            <w:rStyle w:val="TextoNormalCaracter"/>
          </w:rPr>
          <w:t>85/1992</w:t>
        </w:r>
      </w:hyperlink>
      <w:r w:rsidRPr="003104DF">
        <w:rPr>
          <w:rStyle w:val="TextoNormalCaracter"/>
        </w:rPr>
        <w:t xml:space="preserve">; </w:t>
      </w:r>
      <w:hyperlink w:anchor="AUTO_1992_86" w:history="1">
        <w:r w:rsidRPr="003104DF">
          <w:rPr>
            <w:rStyle w:val="TextoNormalCaracter"/>
          </w:rPr>
          <w:t>86/1992</w:t>
        </w:r>
      </w:hyperlink>
      <w:r w:rsidRPr="003104DF">
        <w:rPr>
          <w:rStyle w:val="TextoNormalCaracter"/>
        </w:rPr>
        <w:t xml:space="preserve">; </w:t>
      </w:r>
      <w:hyperlink w:anchor="AUTO_1992_92" w:history="1">
        <w:r w:rsidRPr="003104DF">
          <w:rPr>
            <w:rStyle w:val="TextoNormalCaracter"/>
          </w:rPr>
          <w:t>92/1992</w:t>
        </w:r>
      </w:hyperlink>
      <w:r w:rsidRPr="003104DF">
        <w:rPr>
          <w:rStyle w:val="TextoNormalCaracter"/>
        </w:rPr>
        <w:t xml:space="preserve">; </w:t>
      </w:r>
      <w:hyperlink w:anchor="AUTO_1992_93" w:history="1">
        <w:r w:rsidRPr="003104DF">
          <w:rPr>
            <w:rStyle w:val="TextoNormalCaracter"/>
          </w:rPr>
          <w:t>93/1992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 xml:space="preserve">; </w:t>
      </w:r>
      <w:hyperlink w:anchor="AUTO_1992_100" w:history="1">
        <w:r w:rsidRPr="003104DF">
          <w:rPr>
            <w:rStyle w:val="TextoNormalCaracter"/>
          </w:rPr>
          <w:t>100/1992</w:t>
        </w:r>
      </w:hyperlink>
      <w:r w:rsidRPr="003104DF">
        <w:rPr>
          <w:rStyle w:val="TextoNormalCaracter"/>
        </w:rPr>
        <w:t xml:space="preserve">; </w:t>
      </w:r>
      <w:hyperlink w:anchor="AUTO_1992_101" w:history="1">
        <w:r w:rsidRPr="003104DF">
          <w:rPr>
            <w:rStyle w:val="TextoNormalCaracter"/>
          </w:rPr>
          <w:t>101/1992</w:t>
        </w:r>
      </w:hyperlink>
      <w:r w:rsidRPr="003104DF">
        <w:rPr>
          <w:rStyle w:val="TextoNormalCaracter"/>
        </w:rPr>
        <w:t xml:space="preserve">; </w:t>
      </w:r>
      <w:hyperlink w:anchor="AUTO_1992_104" w:history="1">
        <w:r w:rsidRPr="003104DF">
          <w:rPr>
            <w:rStyle w:val="TextoNormalCaracter"/>
          </w:rPr>
          <w:t>104/1992</w:t>
        </w:r>
      </w:hyperlink>
      <w:r w:rsidRPr="003104DF">
        <w:rPr>
          <w:rStyle w:val="TextoNormalCaracter"/>
        </w:rPr>
        <w:t xml:space="preserve">; </w:t>
      </w:r>
      <w:hyperlink w:anchor="AUTO_1992_105" w:history="1">
        <w:r w:rsidRPr="003104DF">
          <w:rPr>
            <w:rStyle w:val="TextoNormalCaracter"/>
          </w:rPr>
          <w:t>105/1992</w:t>
        </w:r>
      </w:hyperlink>
      <w:r w:rsidRPr="003104DF">
        <w:rPr>
          <w:rStyle w:val="TextoNormalCaracter"/>
        </w:rPr>
        <w:t xml:space="preserve">; </w:t>
      </w:r>
      <w:hyperlink w:anchor="AUTO_1992_108" w:history="1">
        <w:r w:rsidRPr="003104DF">
          <w:rPr>
            <w:rStyle w:val="TextoNormalCaracter"/>
          </w:rPr>
          <w:t>108/1992</w:t>
        </w:r>
      </w:hyperlink>
      <w:r w:rsidRPr="003104DF">
        <w:rPr>
          <w:rStyle w:val="TextoNormalCaracter"/>
        </w:rPr>
        <w:t xml:space="preserve">; </w:t>
      </w:r>
      <w:hyperlink w:anchor="AUTO_1992_111" w:history="1">
        <w:r w:rsidRPr="003104DF">
          <w:rPr>
            <w:rStyle w:val="TextoNormalCaracter"/>
          </w:rPr>
          <w:t>111/1992</w:t>
        </w:r>
      </w:hyperlink>
      <w:r w:rsidRPr="003104DF">
        <w:rPr>
          <w:rStyle w:val="TextoNormalCaracter"/>
        </w:rPr>
        <w:t>.</w:t>
      </w:r>
    </w:p>
    <w:p w:rsidR="003104DF" w:rsidRPr="003104DF" w:rsidRDefault="003104DF" w:rsidP="003104DF">
      <w:pPr>
        <w:pStyle w:val="TextoNormalSangraFrancesa"/>
        <w:rPr>
          <w:rStyle w:val="TextoNormalCaracter"/>
        </w:rPr>
      </w:pPr>
      <w:bookmarkStart w:id="668" w:name="DESCRIPTORALFABETICO341"/>
      <w:r w:rsidRPr="003104DF">
        <w:rPr>
          <w:rStyle w:val="TextoNormalNegritaCaracter"/>
        </w:rPr>
        <w:t>Carga de la prueba</w:t>
      </w:r>
      <w:bookmarkEnd w:id="668"/>
      <w:r w:rsidRPr="003104DF">
        <w:rPr>
          <w:rStyle w:val="TextoNormalCaracter"/>
        </w:rPr>
        <w:t xml:space="preserve">, Sentencia </w:t>
      </w:r>
      <w:hyperlink w:anchor="SENTENCIA_1992_21" w:history="1">
        <w:r w:rsidRPr="003104DF">
          <w:rPr>
            <w:rStyle w:val="TextoNormalCaracter"/>
          </w:rPr>
          <w:t>21/1992</w:t>
        </w:r>
      </w:hyperlink>
      <w:r w:rsidRPr="003104DF">
        <w:rPr>
          <w:rStyle w:val="TextoNormalCaracter"/>
        </w:rPr>
        <w:t>, f. 2.</w:t>
      </w:r>
    </w:p>
    <w:p w:rsidR="003104DF" w:rsidRPr="003104DF" w:rsidRDefault="003104DF" w:rsidP="003104DF">
      <w:pPr>
        <w:pStyle w:val="TextoNormalSangraFrancesa"/>
        <w:rPr>
          <w:rStyle w:val="TextoNormalCaracter"/>
        </w:rPr>
      </w:pPr>
      <w:bookmarkStart w:id="669" w:name="DESCRIPTORALFABETICO32"/>
      <w:r w:rsidRPr="003104DF">
        <w:rPr>
          <w:rStyle w:val="TextoNormalNegritaCaracter"/>
        </w:rPr>
        <w:t>Cargos públicos de representación política</w:t>
      </w:r>
      <w:bookmarkEnd w:id="669"/>
      <w:r w:rsidRPr="003104DF">
        <w:rPr>
          <w:rStyle w:val="TextoNormalCaracter"/>
        </w:rPr>
        <w:t xml:space="preserve">, Sentencias </w:t>
      </w:r>
      <w:hyperlink w:anchor="SENTENCIA_1992_7" w:history="1">
        <w:r w:rsidRPr="003104DF">
          <w:rPr>
            <w:rStyle w:val="TextoNormalCaracter"/>
          </w:rPr>
          <w:t>7/1992</w:t>
        </w:r>
      </w:hyperlink>
      <w:r w:rsidRPr="003104DF">
        <w:rPr>
          <w:rStyle w:val="TextoNormalCaracter"/>
        </w:rPr>
        <w:t xml:space="preserve">, ff. 2, 3; </w:t>
      </w:r>
      <w:hyperlink w:anchor="SENTENCIA_1992_15" w:history="1">
        <w:r w:rsidRPr="003104DF">
          <w:rPr>
            <w:rStyle w:val="TextoNormalCaracter"/>
          </w:rPr>
          <w:t>15/1992</w:t>
        </w:r>
      </w:hyperlink>
      <w:r w:rsidRPr="003104DF">
        <w:rPr>
          <w:rStyle w:val="TextoNormalCaracter"/>
        </w:rPr>
        <w:t>, f. 3.</w:t>
      </w:r>
    </w:p>
    <w:p w:rsidR="003104DF" w:rsidRPr="003104DF" w:rsidRDefault="003104DF" w:rsidP="003104DF">
      <w:pPr>
        <w:pStyle w:val="TextoNormalSangraFrancesa"/>
        <w:rPr>
          <w:rStyle w:val="TextoNormalCaracter"/>
        </w:rPr>
      </w:pPr>
      <w:bookmarkStart w:id="670" w:name="DESCRIPTORALFABETICO427"/>
      <w:r w:rsidRPr="003104DF">
        <w:rPr>
          <w:rStyle w:val="TextoNormalNegritaCaracter"/>
        </w:rPr>
        <w:t>Cataluña</w:t>
      </w:r>
      <w:bookmarkEnd w:id="670"/>
      <w:r w:rsidRPr="003104DF">
        <w:rPr>
          <w:rStyle w:val="TextoNormalCaracter"/>
        </w:rPr>
        <w:t xml:space="preserve">, Sentencias </w:t>
      </w:r>
      <w:hyperlink w:anchor="SENTENCIA_1992_25" w:history="1">
        <w:r w:rsidRPr="003104DF">
          <w:rPr>
            <w:rStyle w:val="TextoNormalCaracter"/>
          </w:rPr>
          <w:t>25/1992</w:t>
        </w:r>
      </w:hyperlink>
      <w:r w:rsidRPr="003104DF">
        <w:rPr>
          <w:rStyle w:val="TextoNormalCaracter"/>
        </w:rPr>
        <w:t xml:space="preserve">, f. único; </w:t>
      </w:r>
      <w:hyperlink w:anchor="SENTENCIA_1992_35" w:history="1">
        <w:r w:rsidRPr="003104DF">
          <w:rPr>
            <w:rStyle w:val="TextoNormalCaracter"/>
          </w:rPr>
          <w:t>35/1992</w:t>
        </w:r>
      </w:hyperlink>
      <w:r w:rsidRPr="003104DF">
        <w:rPr>
          <w:rStyle w:val="TextoNormalCaracter"/>
        </w:rPr>
        <w:t xml:space="preserve">, f. 2; </w:t>
      </w:r>
      <w:hyperlink w:anchor="SENTENCIA_1992_44" w:history="1">
        <w:r w:rsidRPr="003104DF">
          <w:rPr>
            <w:rStyle w:val="TextoNormalCaracter"/>
          </w:rPr>
          <w:t>44/1992</w:t>
        </w:r>
      </w:hyperlink>
      <w:r w:rsidRPr="003104DF">
        <w:rPr>
          <w:rStyle w:val="TextoNormalCaracter"/>
        </w:rPr>
        <w:t xml:space="preserve">, f. 3; </w:t>
      </w:r>
      <w:hyperlink w:anchor="SENTENCIA_1992_57" w:history="1">
        <w:r w:rsidRPr="003104DF">
          <w:rPr>
            <w:rStyle w:val="TextoNormalCaracter"/>
          </w:rPr>
          <w:t>57/1992</w:t>
        </w:r>
      </w:hyperlink>
      <w:r w:rsidRPr="003104DF">
        <w:rPr>
          <w:rStyle w:val="TextoNormalCaracter"/>
        </w:rPr>
        <w:t>, ff. 2, 3.</w:t>
      </w:r>
    </w:p>
    <w:p w:rsidR="003104DF" w:rsidRPr="003104DF" w:rsidRDefault="003104DF" w:rsidP="003104DF">
      <w:pPr>
        <w:pStyle w:val="TextoNormalSangraFrancesa"/>
        <w:rPr>
          <w:rStyle w:val="TextoNormalCaracter"/>
        </w:rPr>
      </w:pPr>
      <w:bookmarkStart w:id="671" w:name="DESCRIPTORALFABETICO127"/>
      <w:r w:rsidRPr="003104DF">
        <w:rPr>
          <w:rStyle w:val="TextoNormalNegritaCaracter"/>
        </w:rPr>
        <w:t>Causas de inadmisión de la cuestión de inconstitucionalidad</w:t>
      </w:r>
      <w:bookmarkEnd w:id="671"/>
      <w:r w:rsidRPr="003104DF">
        <w:rPr>
          <w:rStyle w:val="TextoNormalCaracter"/>
        </w:rPr>
        <w:t xml:space="preserve">, Sentencia </w:t>
      </w:r>
      <w:hyperlink w:anchor="SENTENCIA_1992_5" w:history="1">
        <w:r w:rsidRPr="003104DF">
          <w:rPr>
            <w:rStyle w:val="TextoNormalCaracter"/>
          </w:rPr>
          <w:t>5/1992</w:t>
        </w:r>
      </w:hyperlink>
      <w:r w:rsidRPr="003104DF">
        <w:rPr>
          <w:rStyle w:val="TextoNormalCaracter"/>
        </w:rPr>
        <w:t>, ff. 2,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Pr="003104DF" w:rsidRDefault="003104DF" w:rsidP="003104DF">
      <w:pPr>
        <w:pStyle w:val="TextoNormalSangraFrancesa"/>
        <w:rPr>
          <w:rStyle w:val="TextoNormalCaracter"/>
        </w:rPr>
      </w:pPr>
      <w:bookmarkStart w:id="672" w:name="DESCRIPTORALFABETICO406"/>
      <w:r w:rsidRPr="003104DF">
        <w:rPr>
          <w:rStyle w:val="TextoNormalNegritaCaracter"/>
        </w:rPr>
        <w:t>Causas de inadmisión del recurso de suplicación</w:t>
      </w:r>
      <w:bookmarkEnd w:id="672"/>
      <w:r w:rsidRPr="003104DF">
        <w:rPr>
          <w:rStyle w:val="TextoNormalCaracter"/>
        </w:rPr>
        <w:t xml:space="preserve">, Sentencia </w:t>
      </w:r>
      <w:hyperlink w:anchor="SENTENCIA_1992_60" w:history="1">
        <w:r w:rsidRPr="003104DF">
          <w:rPr>
            <w:rStyle w:val="TextoNormalCaracter"/>
          </w:rPr>
          <w:t>60/1992</w:t>
        </w:r>
      </w:hyperlink>
      <w:r w:rsidRPr="003104DF">
        <w:rPr>
          <w:rStyle w:val="TextoNormalCaracter"/>
        </w:rPr>
        <w:t>, f. 2.</w:t>
      </w:r>
    </w:p>
    <w:p w:rsidR="003104DF" w:rsidRPr="003104DF" w:rsidRDefault="003104DF" w:rsidP="003104DF">
      <w:pPr>
        <w:pStyle w:val="TextoNormalSangraFrancesa"/>
        <w:rPr>
          <w:rStyle w:val="TextoNormalCaracter"/>
        </w:rPr>
      </w:pPr>
      <w:bookmarkStart w:id="673" w:name="DESCRIPTORALFABETICO36"/>
      <w:r w:rsidRPr="003104DF">
        <w:rPr>
          <w:rStyle w:val="TextoNormalNegritaCaracter"/>
        </w:rPr>
        <w:t>Causas de inelegibilidad establecidas por el Código Penal</w:t>
      </w:r>
      <w:bookmarkEnd w:id="673"/>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 3.</w:t>
      </w:r>
    </w:p>
    <w:p w:rsidR="003104DF" w:rsidRPr="003104DF" w:rsidRDefault="003104DF" w:rsidP="003104DF">
      <w:pPr>
        <w:pStyle w:val="TextoNormalSangraFrancesa"/>
        <w:rPr>
          <w:rStyle w:val="TextoNormalCaracter"/>
        </w:rPr>
      </w:pPr>
      <w:bookmarkStart w:id="674" w:name="DESCRIPTORALFABETICO299"/>
      <w:r w:rsidRPr="003104DF">
        <w:rPr>
          <w:rStyle w:val="TextoNormalNegritaCaracter"/>
        </w:rPr>
        <w:t>Citación judicial</w:t>
      </w:r>
      <w:bookmarkEnd w:id="674"/>
      <w:r w:rsidRPr="003104DF">
        <w:rPr>
          <w:rStyle w:val="TextoNormalCaracter"/>
        </w:rPr>
        <w:t xml:space="preserve">, Sentencia </w:t>
      </w:r>
      <w:hyperlink w:anchor="SENTENCIA_1992_17" w:history="1">
        <w:r w:rsidRPr="003104DF">
          <w:rPr>
            <w:rStyle w:val="TextoNormalCaracter"/>
          </w:rPr>
          <w:t>17/1992</w:t>
        </w:r>
      </w:hyperlink>
      <w:r w:rsidRPr="003104DF">
        <w:rPr>
          <w:rStyle w:val="TextoNormalCaracter"/>
        </w:rPr>
        <w:t>, f. 2.</w:t>
      </w:r>
    </w:p>
    <w:p w:rsidR="003104DF" w:rsidRPr="003104DF" w:rsidRDefault="003104DF" w:rsidP="003104DF">
      <w:pPr>
        <w:pStyle w:val="TextoNormalSangraFrancesa"/>
        <w:rPr>
          <w:rStyle w:val="TextoNormalCaracter"/>
        </w:rPr>
      </w:pPr>
      <w:bookmarkStart w:id="675" w:name="DESCRIPTORALFABETICO239"/>
      <w:r w:rsidRPr="003104DF">
        <w:rPr>
          <w:rStyle w:val="TextoNormalNegritaCaracter"/>
        </w:rPr>
        <w:t>Clases pasivas</w:t>
      </w:r>
      <w:bookmarkEnd w:id="675"/>
      <w:r w:rsidRPr="003104DF">
        <w:rPr>
          <w:rStyle w:val="TextoNormalCaracter"/>
        </w:rPr>
        <w:t xml:space="preserve">, Sentencia </w:t>
      </w:r>
      <w:hyperlink w:anchor="SENTENCIA_1992_5" w:history="1">
        <w:r w:rsidRPr="003104DF">
          <w:rPr>
            <w:rStyle w:val="TextoNormalCaracter"/>
          </w:rPr>
          <w:t>5/1992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676" w:name="DESCRIPTORALFABETICO2"/>
      <w:r w:rsidRPr="003104DF">
        <w:rPr>
          <w:rStyle w:val="TextoNormalNegritaCaracter"/>
        </w:rPr>
        <w:t>Competencias</w:t>
      </w:r>
      <w:bookmarkEnd w:id="676"/>
      <w:r w:rsidRPr="003104DF">
        <w:rPr>
          <w:rStyle w:val="TextoNormalCaracter"/>
        </w:rPr>
        <w:t xml:space="preserve">, Sentencias </w:t>
      </w:r>
      <w:hyperlink w:anchor="SENTENCIA_1992_13" w:history="1">
        <w:r w:rsidRPr="003104DF">
          <w:rPr>
            <w:rStyle w:val="TextoNormalCaracter"/>
          </w:rPr>
          <w:t>13/1992</w:t>
        </w:r>
      </w:hyperlink>
      <w:r w:rsidRPr="003104DF">
        <w:rPr>
          <w:rStyle w:val="TextoNormalCaracter"/>
        </w:rPr>
        <w:t xml:space="preserve">, ff. 7, 8, 10; </w:t>
      </w:r>
      <w:hyperlink w:anchor="SENTENCIA_1992_36" w:history="1">
        <w:r w:rsidRPr="003104DF">
          <w:rPr>
            <w:rStyle w:val="TextoNormalCaracter"/>
          </w:rPr>
          <w:t>36/1992</w:t>
        </w:r>
      </w:hyperlink>
      <w:r w:rsidRPr="003104DF">
        <w:rPr>
          <w:rStyle w:val="TextoNormalCaracter"/>
        </w:rPr>
        <w:t>, ff. 1, 3.</w:t>
      </w:r>
    </w:p>
    <w:p w:rsidR="003104DF" w:rsidRPr="003104DF" w:rsidRDefault="003104DF" w:rsidP="003104DF">
      <w:pPr>
        <w:pStyle w:val="TextoNormalSangraFrancesa"/>
        <w:rPr>
          <w:rStyle w:val="TextoNormalNegritaCaracter"/>
        </w:rPr>
      </w:pPr>
      <w:r w:rsidRPr="003104DF">
        <w:rPr>
          <w:rStyle w:val="TextoNormalCursivaCaracter"/>
        </w:rPr>
        <w:t>Competencias autonómicas</w:t>
      </w:r>
      <w:r>
        <w:t xml:space="preserve"> véase </w:t>
      </w:r>
      <w:hyperlink w:anchor="DESCRIPTORALFABETICO3" w:history="1">
        <w:r w:rsidRPr="003104DF">
          <w:rPr>
            <w:rStyle w:val="TextoNormalNegritaCaracter"/>
          </w:rPr>
          <w:t>Competencias de las Comunidades Autónomas</w:t>
        </w:r>
      </w:hyperlink>
    </w:p>
    <w:p w:rsidR="003104DF" w:rsidRPr="003104DF" w:rsidRDefault="003104DF" w:rsidP="003104DF">
      <w:pPr>
        <w:pStyle w:val="TextoNormalSangraFrancesa"/>
        <w:rPr>
          <w:rStyle w:val="TextoNormalCaracter"/>
        </w:rPr>
      </w:pPr>
      <w:bookmarkStart w:id="677" w:name="DESCRIPTORALFABETICO3"/>
      <w:r w:rsidRPr="003104DF">
        <w:rPr>
          <w:rStyle w:val="TextoNormalNegritaCaracter"/>
        </w:rPr>
        <w:t>Competencias de las Comunidades Autónomas</w:t>
      </w:r>
      <w:bookmarkEnd w:id="677"/>
      <w:r w:rsidRPr="003104DF">
        <w:rPr>
          <w:rStyle w:val="TextoNormalCaracter"/>
        </w:rPr>
        <w:t xml:space="preserve">, Sentencias </w:t>
      </w:r>
      <w:hyperlink w:anchor="SENTENCIA_1992_13" w:history="1">
        <w:r w:rsidRPr="003104DF">
          <w:rPr>
            <w:rStyle w:val="TextoNormalCaracter"/>
          </w:rPr>
          <w:t>13/1992</w:t>
        </w:r>
      </w:hyperlink>
      <w:r w:rsidRPr="003104DF">
        <w:rPr>
          <w:rStyle w:val="TextoNormalCaracter"/>
        </w:rPr>
        <w:t xml:space="preserve">, f. 6;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678" w:name="DESCRIPTORALFABETICO4"/>
      <w:r w:rsidRPr="003104DF">
        <w:rPr>
          <w:rStyle w:val="TextoNormalNegritaCaracter"/>
        </w:rPr>
        <w:t>Competencias del Estado</w:t>
      </w:r>
      <w:bookmarkEnd w:id="678"/>
      <w:r w:rsidRPr="003104DF">
        <w:rPr>
          <w:rStyle w:val="TextoNormalCaracter"/>
        </w:rPr>
        <w:t xml:space="preserve">, Sentencias </w:t>
      </w:r>
      <w:hyperlink w:anchor="SENTENCIA_1992_44" w:history="1">
        <w:r w:rsidRPr="003104DF">
          <w:rPr>
            <w:rStyle w:val="TextoNormalCaracter"/>
          </w:rPr>
          <w:t>44/1992</w:t>
        </w:r>
      </w:hyperlink>
      <w:r w:rsidRPr="003104DF">
        <w:rPr>
          <w:rStyle w:val="TextoNormalCaracter"/>
        </w:rPr>
        <w:t xml:space="preserve">, f. 3; </w:t>
      </w:r>
      <w:hyperlink w:anchor="SENTENCIA_1992_57" w:history="1">
        <w:r w:rsidRPr="003104DF">
          <w:rPr>
            <w:rStyle w:val="TextoNormalCaracter"/>
          </w:rPr>
          <w:t>57/1992</w:t>
        </w:r>
      </w:hyperlink>
      <w:r w:rsidRPr="003104DF">
        <w:rPr>
          <w:rStyle w:val="TextoNormalCaracter"/>
        </w:rPr>
        <w:t xml:space="preserve">, ff. 2, 3; </w:t>
      </w:r>
      <w:hyperlink w:anchor="SENTENCIA_1992_67" w:history="1">
        <w:r w:rsidRPr="003104DF">
          <w:rPr>
            <w:rStyle w:val="TextoNormalCaracter"/>
          </w:rPr>
          <w:t>67/1992</w:t>
        </w:r>
      </w:hyperlink>
      <w:r w:rsidRPr="003104DF">
        <w:rPr>
          <w:rStyle w:val="TextoNormalCaracter"/>
        </w:rPr>
        <w:t xml:space="preserve">, ff. 3, 4; </w:t>
      </w:r>
      <w:hyperlink w:anchor="SENTENCIA_1992_68" w:history="1">
        <w:r w:rsidRPr="003104DF">
          <w:rPr>
            <w:rStyle w:val="TextoNormalCaracter"/>
          </w:rPr>
          <w:t>68/1992</w:t>
        </w:r>
      </w:hyperlink>
      <w:r w:rsidRPr="003104DF">
        <w:rPr>
          <w:rStyle w:val="TextoNormalCaracter"/>
        </w:rPr>
        <w:t>, f. 2, VP.</w:t>
      </w:r>
    </w:p>
    <w:p w:rsidR="003104DF" w:rsidRPr="003104DF" w:rsidRDefault="003104DF" w:rsidP="003104DF">
      <w:pPr>
        <w:pStyle w:val="TextoNormalSangraFrancesa"/>
        <w:rPr>
          <w:rStyle w:val="TextoNormalCaracter"/>
        </w:rPr>
      </w:pPr>
      <w:bookmarkStart w:id="679" w:name="DESCRIPTORALFABETICO10"/>
      <w:r w:rsidRPr="003104DF">
        <w:rPr>
          <w:rStyle w:val="TextoNormalNegritaCaracter"/>
        </w:rPr>
        <w:t>Competencias en materia de educación</w:t>
      </w:r>
      <w:bookmarkEnd w:id="679"/>
      <w:r w:rsidRPr="003104DF">
        <w:rPr>
          <w:rStyle w:val="TextoNormalCaracter"/>
        </w:rPr>
        <w:t xml:space="preserve">, Sentencia </w:t>
      </w:r>
      <w:hyperlink w:anchor="SENTENCIA_1992_38" w:history="1">
        <w:r w:rsidRPr="003104DF">
          <w:rPr>
            <w:rStyle w:val="TextoNormalCaracter"/>
          </w:rPr>
          <w:t>38/1992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680" w:name="DESCRIPTORALFABETICO11"/>
      <w:r w:rsidRPr="003104DF">
        <w:rPr>
          <w:rStyle w:val="TextoNormalNegritaCaracter"/>
        </w:rPr>
        <w:t>Competencias en materia de energía eléctrica</w:t>
      </w:r>
      <w:bookmarkEnd w:id="680"/>
      <w:r w:rsidRPr="003104DF">
        <w:rPr>
          <w:rStyle w:val="TextoNormalCaracter"/>
        </w:rPr>
        <w:t xml:space="preserve">, Sentencia </w:t>
      </w:r>
      <w:hyperlink w:anchor="SENTENCIA_1992_67" w:history="1">
        <w:r w:rsidRPr="003104DF">
          <w:rPr>
            <w:rStyle w:val="TextoNormalCaracter"/>
          </w:rPr>
          <w:t>67/1992</w:t>
        </w:r>
      </w:hyperlink>
      <w:r w:rsidRPr="003104DF">
        <w:rPr>
          <w:rStyle w:val="TextoNormalCaracter"/>
        </w:rPr>
        <w:t>, ff. 1, 2, 3, 4.</w:t>
      </w:r>
    </w:p>
    <w:p w:rsidR="003104DF" w:rsidRPr="003104DF" w:rsidRDefault="003104DF" w:rsidP="003104DF">
      <w:pPr>
        <w:pStyle w:val="TextoNormalSangraFrancesa"/>
        <w:rPr>
          <w:rStyle w:val="TextoNormalNegritaCaracter"/>
        </w:rPr>
      </w:pPr>
      <w:r w:rsidRPr="003104DF">
        <w:rPr>
          <w:rStyle w:val="TextoNormalCursivaCaracter"/>
        </w:rPr>
        <w:t>Competencias en materia de enseñanza</w:t>
      </w:r>
      <w:r>
        <w:t xml:space="preserve"> véase </w:t>
      </w:r>
      <w:hyperlink w:anchor="DESCRIPTORALFABETICO10" w:history="1">
        <w:r w:rsidRPr="003104DF">
          <w:rPr>
            <w:rStyle w:val="TextoNormalNegritaCaracter"/>
          </w:rPr>
          <w:t>Competencias en materia de educación</w:t>
        </w:r>
      </w:hyperlink>
    </w:p>
    <w:p w:rsidR="003104DF" w:rsidRPr="003104DF" w:rsidRDefault="003104DF" w:rsidP="003104DF">
      <w:pPr>
        <w:pStyle w:val="TextoNormalSangraFrancesa"/>
        <w:rPr>
          <w:rStyle w:val="TextoNormalCaracter"/>
        </w:rPr>
      </w:pPr>
      <w:bookmarkStart w:id="681" w:name="DESCRIPTORALFABETICO12"/>
      <w:r w:rsidRPr="003104DF">
        <w:rPr>
          <w:rStyle w:val="TextoNormalNegritaCaracter"/>
        </w:rPr>
        <w:t>Competencias en materia de pesca</w:t>
      </w:r>
      <w:bookmarkEnd w:id="681"/>
      <w:r w:rsidRPr="003104DF">
        <w:rPr>
          <w:rStyle w:val="TextoNormalCaracter"/>
        </w:rPr>
        <w:t xml:space="preserve">, Sentencias </w:t>
      </w:r>
      <w:hyperlink w:anchor="SENTENCIA_1992_44" w:history="1">
        <w:r w:rsidRPr="003104DF">
          <w:rPr>
            <w:rStyle w:val="TextoNormalCaracter"/>
          </w:rPr>
          <w:t>44/1992</w:t>
        </w:r>
      </w:hyperlink>
      <w:r w:rsidRPr="003104DF">
        <w:rPr>
          <w:rStyle w:val="TextoNormalCaracter"/>
        </w:rPr>
        <w:t xml:space="preserve">, f. 3; </w:t>
      </w:r>
      <w:hyperlink w:anchor="SENTENCIA_1992_57" w:history="1">
        <w:r w:rsidRPr="003104DF">
          <w:rPr>
            <w:rStyle w:val="TextoNormalCaracter"/>
          </w:rPr>
          <w:t>57/1992</w:t>
        </w:r>
      </w:hyperlink>
      <w:r w:rsidRPr="003104DF">
        <w:rPr>
          <w:rStyle w:val="TextoNormalCaracter"/>
        </w:rPr>
        <w:t xml:space="preserve">, ff. 2, 3; </w:t>
      </w:r>
      <w:hyperlink w:anchor="SENTENCIA_1992_68" w:history="1">
        <w:r w:rsidRPr="003104DF">
          <w:rPr>
            <w:rStyle w:val="TextoNormalCaracter"/>
          </w:rPr>
          <w:t>68/1992</w:t>
        </w:r>
      </w:hyperlink>
      <w:r w:rsidRPr="003104DF">
        <w:rPr>
          <w:rStyle w:val="TextoNormalCaracter"/>
        </w:rPr>
        <w:t>, ff. 1, 2, 3, VP.</w:t>
      </w:r>
    </w:p>
    <w:p w:rsidR="003104DF" w:rsidRPr="003104DF" w:rsidRDefault="003104DF" w:rsidP="003104DF">
      <w:pPr>
        <w:pStyle w:val="TextoNormalSangraFrancesa"/>
        <w:rPr>
          <w:rStyle w:val="TextoNormalCaracter"/>
        </w:rPr>
      </w:pPr>
      <w:bookmarkStart w:id="682" w:name="DESCRIPTORALFABETICO13"/>
      <w:r w:rsidRPr="003104DF">
        <w:rPr>
          <w:rStyle w:val="TextoNormalNegritaCaracter"/>
        </w:rPr>
        <w:t>Competencias en materia de seguros privados</w:t>
      </w:r>
      <w:bookmarkEnd w:id="682"/>
      <w:r w:rsidRPr="003104DF">
        <w:rPr>
          <w:rStyle w:val="TextoNormalCaracter"/>
        </w:rPr>
        <w:t xml:space="preserve">, Sentencias </w:t>
      </w:r>
      <w:hyperlink w:anchor="SENTENCIA_1992_35" w:history="1">
        <w:r w:rsidRPr="003104DF">
          <w:rPr>
            <w:rStyle w:val="TextoNormalCaracter"/>
          </w:rPr>
          <w:t>35/1992</w:t>
        </w:r>
      </w:hyperlink>
      <w:r w:rsidRPr="003104DF">
        <w:rPr>
          <w:rStyle w:val="TextoNormalCaracter"/>
        </w:rPr>
        <w:t xml:space="preserve">, f. 2; </w:t>
      </w:r>
      <w:hyperlink w:anchor="SENTENCIA_1992_36" w:history="1">
        <w:r w:rsidRPr="003104DF">
          <w:rPr>
            <w:rStyle w:val="TextoNormalCaracter"/>
          </w:rPr>
          <w:t>36/1992</w:t>
        </w:r>
      </w:hyperlink>
      <w:r w:rsidRPr="003104DF">
        <w:rPr>
          <w:rStyle w:val="TextoNormalCaracter"/>
        </w:rPr>
        <w:t>, ff. 1, 2, 3, 4.</w:t>
      </w:r>
    </w:p>
    <w:p w:rsidR="003104DF" w:rsidRPr="003104DF" w:rsidRDefault="003104DF" w:rsidP="003104DF">
      <w:pPr>
        <w:pStyle w:val="TextoNormalSangraFrancesa"/>
        <w:rPr>
          <w:rStyle w:val="TextoNormalCaracter"/>
        </w:rPr>
      </w:pPr>
      <w:bookmarkStart w:id="683" w:name="DESCRIPTORALFABETICO14"/>
      <w:r w:rsidRPr="003104DF">
        <w:rPr>
          <w:rStyle w:val="TextoNormalNegritaCaracter"/>
        </w:rPr>
        <w:t>Competencias en materia de urbanismo</w:t>
      </w:r>
      <w:bookmarkEnd w:id="683"/>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3.</w:t>
      </w:r>
    </w:p>
    <w:p w:rsidR="003104DF" w:rsidRPr="003104DF" w:rsidRDefault="003104DF" w:rsidP="003104DF">
      <w:pPr>
        <w:pStyle w:val="TextoNormalSangraFrancesa"/>
        <w:rPr>
          <w:rStyle w:val="TextoNormalCaracter"/>
        </w:rPr>
      </w:pPr>
      <w:bookmarkStart w:id="684" w:name="DESCRIPTORALFABETICO224"/>
      <w:r w:rsidRPr="003104DF">
        <w:rPr>
          <w:rStyle w:val="TextoNormalNegritaCaracter"/>
        </w:rPr>
        <w:t>Competencias para fijar enseñanzas comunes</w:t>
      </w:r>
      <w:bookmarkEnd w:id="684"/>
      <w:r w:rsidRPr="003104DF">
        <w:rPr>
          <w:rStyle w:val="TextoNormalCaracter"/>
        </w:rPr>
        <w:t xml:space="preserve">, Sentencia </w:t>
      </w:r>
      <w:hyperlink w:anchor="SENTENCIA_1992_38" w:history="1">
        <w:r w:rsidRPr="003104DF">
          <w:rPr>
            <w:rStyle w:val="TextoNormalCaracter"/>
          </w:rPr>
          <w:t>38/1992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685" w:name="DESCRIPTORALFABETICO286"/>
      <w:r w:rsidRPr="003104DF">
        <w:rPr>
          <w:rStyle w:val="TextoNormalNegritaCaracter"/>
        </w:rPr>
        <w:t>Complementos salariales</w:t>
      </w:r>
      <w:bookmarkEnd w:id="685"/>
      <w:r w:rsidRPr="003104DF">
        <w:rPr>
          <w:rStyle w:val="TextoNormalCaracter"/>
        </w:rPr>
        <w:t xml:space="preserve">, Auto </w:t>
      </w:r>
      <w:hyperlink w:anchor="AUTO_1992_100" w:history="1">
        <w:r w:rsidRPr="003104DF">
          <w:rPr>
            <w:rStyle w:val="TextoNormalCaracter"/>
          </w:rPr>
          <w:t>100/1992</w:t>
        </w:r>
      </w:hyperlink>
      <w:r w:rsidRPr="003104DF">
        <w:rPr>
          <w:rStyle w:val="TextoNormalCaracter"/>
        </w:rPr>
        <w:t>.</w:t>
      </w:r>
    </w:p>
    <w:p w:rsidR="003104DF" w:rsidRPr="003104DF" w:rsidRDefault="003104DF" w:rsidP="003104DF">
      <w:pPr>
        <w:pStyle w:val="TextoNormalSangraFrancesa"/>
        <w:rPr>
          <w:rStyle w:val="TextoNormalCaracter"/>
        </w:rPr>
      </w:pPr>
      <w:bookmarkStart w:id="686" w:name="DESCRIPTORALFABETICO363"/>
      <w:r w:rsidRPr="003104DF">
        <w:rPr>
          <w:rStyle w:val="TextoNormalNegritaCaracter"/>
        </w:rPr>
        <w:t>Cómputo de plazos procesales</w:t>
      </w:r>
      <w:bookmarkEnd w:id="686"/>
      <w:r w:rsidRPr="003104DF">
        <w:rPr>
          <w:rStyle w:val="TextoNormalCaracter"/>
        </w:rPr>
        <w:t xml:space="preserve">, Sentencias </w:t>
      </w:r>
      <w:hyperlink w:anchor="SENTENCIA_1992_29" w:history="1">
        <w:r w:rsidRPr="003104DF">
          <w:rPr>
            <w:rStyle w:val="TextoNormalCaracter"/>
          </w:rPr>
          <w:t>29/1992</w:t>
        </w:r>
      </w:hyperlink>
      <w:r w:rsidRPr="003104DF">
        <w:rPr>
          <w:rStyle w:val="TextoNormalCaracter"/>
        </w:rPr>
        <w:t xml:space="preserve">, f. 1; </w:t>
      </w:r>
      <w:hyperlink w:anchor="SENTENCIA_1992_43" w:history="1">
        <w:r w:rsidRPr="003104DF">
          <w:rPr>
            <w:rStyle w:val="TextoNormalCaracter"/>
          </w:rPr>
          <w:t>43/1992</w:t>
        </w:r>
      </w:hyperlink>
      <w:r w:rsidRPr="003104DF">
        <w:rPr>
          <w:rStyle w:val="TextoNormalCaracter"/>
        </w:rPr>
        <w:t>, f. 2.</w:t>
      </w:r>
    </w:p>
    <w:p w:rsidR="003104DF" w:rsidRPr="003104DF" w:rsidRDefault="003104DF" w:rsidP="003104DF">
      <w:pPr>
        <w:pStyle w:val="TextoNormalSangraFrancesa"/>
        <w:rPr>
          <w:rStyle w:val="TextoNormalNegritaCaracter"/>
        </w:rPr>
      </w:pPr>
      <w:r w:rsidRPr="003104DF">
        <w:rPr>
          <w:rStyle w:val="TextoNormalCursivaCaracter"/>
        </w:rPr>
        <w:t>Comunicación pública libre</w:t>
      </w:r>
      <w:r>
        <w:t xml:space="preserve"> véase </w:t>
      </w:r>
      <w:hyperlink w:anchor="DESCRIPTORALFABETICO100" w:history="1">
        <w:r w:rsidRPr="003104DF">
          <w:rPr>
            <w:rStyle w:val="TextoNormalNegritaCaracter"/>
          </w:rPr>
          <w:t>Opinión pública libre</w:t>
        </w:r>
      </w:hyperlink>
    </w:p>
    <w:p w:rsidR="003104DF" w:rsidRPr="003104DF" w:rsidRDefault="003104DF" w:rsidP="003104DF">
      <w:pPr>
        <w:pStyle w:val="TextoNormalSangraFrancesa"/>
        <w:rPr>
          <w:rStyle w:val="TextoNormalCaracter"/>
        </w:rPr>
      </w:pPr>
      <w:bookmarkStart w:id="687" w:name="DESCRIPTORALFABETICO428"/>
      <w:r w:rsidRPr="003104DF">
        <w:rPr>
          <w:rStyle w:val="TextoNormalNegritaCaracter"/>
        </w:rPr>
        <w:t>Comunidad de Madrid</w:t>
      </w:r>
      <w:bookmarkEnd w:id="687"/>
      <w:r w:rsidRPr="003104DF">
        <w:rPr>
          <w:rStyle w:val="TextoNormalCaracter"/>
        </w:rPr>
        <w:t xml:space="preserve">, Sentencias </w:t>
      </w:r>
      <w:hyperlink w:anchor="SENTENCIA_1992_46" w:history="1">
        <w:r w:rsidRPr="003104DF">
          <w:rPr>
            <w:rStyle w:val="TextoNormalCaracter"/>
          </w:rPr>
          <w:t>46/1992</w:t>
        </w:r>
      </w:hyperlink>
      <w:r w:rsidRPr="003104DF">
        <w:rPr>
          <w:rStyle w:val="TextoNormalCaracter"/>
        </w:rPr>
        <w:t xml:space="preserve">, f. 3; </w:t>
      </w:r>
      <w:hyperlink w:anchor="SENTENCIA_1992_67" w:history="1">
        <w:r w:rsidRPr="003104DF">
          <w:rPr>
            <w:rStyle w:val="TextoNormalCaracter"/>
          </w:rPr>
          <w:t>67/1992</w:t>
        </w:r>
      </w:hyperlink>
      <w:r w:rsidRPr="003104DF">
        <w:rPr>
          <w:rStyle w:val="TextoNormalCaracter"/>
        </w:rPr>
        <w:t>, ff. 1, 2, 3, 4.</w:t>
      </w:r>
    </w:p>
    <w:p w:rsidR="003104DF" w:rsidRPr="003104DF" w:rsidRDefault="003104DF" w:rsidP="003104DF">
      <w:pPr>
        <w:pStyle w:val="TextoNormalSangraFrancesa"/>
        <w:rPr>
          <w:rStyle w:val="TextoNormalCaracter"/>
        </w:rPr>
      </w:pPr>
      <w:bookmarkStart w:id="688" w:name="DESCRIPTORALFABETICO204"/>
      <w:r w:rsidRPr="003104DF">
        <w:rPr>
          <w:rStyle w:val="TextoNormalNegritaCaracter"/>
        </w:rPr>
        <w:t>Comunidades Autónomas</w:t>
      </w:r>
      <w:bookmarkEnd w:id="688"/>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689" w:name="DESCRIPTORALFABETICO410"/>
      <w:r w:rsidRPr="003104DF">
        <w:rPr>
          <w:rStyle w:val="TextoNormalNegritaCaracter"/>
        </w:rPr>
        <w:t>Conclusiones definitivas</w:t>
      </w:r>
      <w:bookmarkEnd w:id="689"/>
      <w:r w:rsidRPr="003104DF">
        <w:rPr>
          <w:rStyle w:val="TextoNormalCaracter"/>
        </w:rPr>
        <w:t xml:space="preserve">, Auto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bookmarkStart w:id="690" w:name="DESCRIPTORALFABETICO9"/>
      <w:r w:rsidRPr="003104DF">
        <w:rPr>
          <w:rStyle w:val="TextoNormalNegritaCaracter"/>
        </w:rPr>
        <w:t>Concurrencia de títulos competenciales</w:t>
      </w:r>
      <w:bookmarkEnd w:id="690"/>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691" w:name="DESCRIPTORALFABETICO37"/>
      <w:r w:rsidRPr="003104DF">
        <w:rPr>
          <w:rStyle w:val="TextoNormalNegritaCaracter"/>
        </w:rPr>
        <w:t>Condiciones de elegibilidad</w:t>
      </w:r>
      <w:bookmarkEnd w:id="691"/>
      <w:r w:rsidRPr="003104DF">
        <w:rPr>
          <w:rStyle w:val="TextoNormalCaracter"/>
        </w:rPr>
        <w:t xml:space="preserve">, Sentencia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692" w:name="DESCRIPTORALFABETICO122"/>
      <w:r w:rsidRPr="003104DF">
        <w:rPr>
          <w:rStyle w:val="TextoNormalNegritaCaracter"/>
        </w:rPr>
        <w:t>Conflictos negativos de competencia</w:t>
      </w:r>
      <w:bookmarkEnd w:id="692"/>
      <w:r w:rsidRPr="003104DF">
        <w:rPr>
          <w:rStyle w:val="TextoNormalCaracter"/>
        </w:rPr>
        <w:t xml:space="preserve">, Sentencia </w:t>
      </w:r>
      <w:hyperlink w:anchor="SENTENCIA_1992_37" w:history="1">
        <w:r w:rsidRPr="003104DF">
          <w:rPr>
            <w:rStyle w:val="TextoNormalCaracter"/>
          </w:rPr>
          <w:t>37/1992</w:t>
        </w:r>
      </w:hyperlink>
      <w:r w:rsidRPr="003104DF">
        <w:rPr>
          <w:rStyle w:val="TextoNormalCaracter"/>
        </w:rPr>
        <w:t>, f. 3.</w:t>
      </w:r>
    </w:p>
    <w:p w:rsidR="003104DF" w:rsidRPr="003104DF" w:rsidRDefault="003104DF" w:rsidP="003104DF">
      <w:pPr>
        <w:pStyle w:val="TextoNormalSangraFrancesa"/>
        <w:rPr>
          <w:rStyle w:val="TextoNormalCaracter"/>
        </w:rPr>
      </w:pPr>
      <w:bookmarkStart w:id="693" w:name="DESCRIPTORALFABETICO123"/>
      <w:r w:rsidRPr="003104DF">
        <w:rPr>
          <w:rStyle w:val="TextoNormalNegritaCaracter"/>
        </w:rPr>
        <w:t>Conflictos positivos de competencia</w:t>
      </w:r>
      <w:bookmarkEnd w:id="693"/>
      <w:r w:rsidRPr="003104DF">
        <w:rPr>
          <w:rStyle w:val="TextoNormalCaracter"/>
        </w:rPr>
        <w:t xml:space="preserve">, Autos </w:t>
      </w:r>
      <w:hyperlink w:anchor="AUTO_1992_29" w:history="1">
        <w:r w:rsidRPr="003104DF">
          <w:rPr>
            <w:rStyle w:val="TextoNormalCaracter"/>
          </w:rPr>
          <w:t>29/1992</w:t>
        </w:r>
      </w:hyperlink>
      <w:r w:rsidRPr="003104DF">
        <w:rPr>
          <w:rStyle w:val="TextoNormalCaracter"/>
        </w:rPr>
        <w:t xml:space="preserve">; </w:t>
      </w:r>
      <w:hyperlink w:anchor="AUTO_1992_30" w:history="1">
        <w:r w:rsidRPr="003104DF">
          <w:rPr>
            <w:rStyle w:val="TextoNormalCaracter"/>
          </w:rPr>
          <w:t>30/1992</w:t>
        </w:r>
      </w:hyperlink>
      <w:r w:rsidRPr="003104DF">
        <w:rPr>
          <w:rStyle w:val="TextoNormalCaracter"/>
        </w:rPr>
        <w:t xml:space="preserve">; </w:t>
      </w:r>
      <w:hyperlink w:anchor="AUTO_1992_31" w:history="1">
        <w:r w:rsidRPr="003104DF">
          <w:rPr>
            <w:rStyle w:val="TextoNormalCaracter"/>
          </w:rPr>
          <w:t>31/1992</w:t>
        </w:r>
      </w:hyperlink>
      <w:r w:rsidRPr="003104DF">
        <w:rPr>
          <w:rStyle w:val="TextoNormalCaracter"/>
        </w:rPr>
        <w:t>.</w:t>
      </w:r>
    </w:p>
    <w:p w:rsidR="003104DF" w:rsidRPr="003104DF" w:rsidRDefault="003104DF" w:rsidP="003104DF">
      <w:pPr>
        <w:pStyle w:val="TextoNormalSangraFrancesa"/>
        <w:rPr>
          <w:rStyle w:val="TextoNormalCaracter"/>
        </w:rPr>
      </w:pPr>
      <w:bookmarkStart w:id="694" w:name="DESCRIPTORALFABETICO62"/>
      <w:r w:rsidRPr="003104DF">
        <w:rPr>
          <w:rStyle w:val="TextoNormalNegritaCaracter"/>
        </w:rPr>
        <w:t>Congruencia de las sentencias</w:t>
      </w:r>
      <w:bookmarkEnd w:id="694"/>
      <w:r w:rsidRPr="003104DF">
        <w:rPr>
          <w:rStyle w:val="TextoNormalCaracter"/>
        </w:rPr>
        <w:t xml:space="preserve">, Sentencia </w:t>
      </w:r>
      <w:hyperlink w:anchor="SENTENCIA_1992_62" w:history="1">
        <w:r w:rsidRPr="003104DF">
          <w:rPr>
            <w:rStyle w:val="TextoNormalCaracter"/>
          </w:rPr>
          <w:t>62/1992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Caracter"/>
        </w:rPr>
      </w:pPr>
      <w:bookmarkStart w:id="695" w:name="DESCRIPTORALFABETICO306"/>
      <w:r w:rsidRPr="003104DF">
        <w:rPr>
          <w:rStyle w:val="TextoNormalNegritaCaracter"/>
        </w:rPr>
        <w:t>Consignación</w:t>
      </w:r>
      <w:bookmarkEnd w:id="695"/>
      <w:r w:rsidRPr="003104DF">
        <w:rPr>
          <w:rStyle w:val="TextoNormalCaracter"/>
        </w:rPr>
        <w:t xml:space="preserve">, Sentencia </w:t>
      </w:r>
      <w:hyperlink w:anchor="SENTENCIA_1992_12" w:history="1">
        <w:r w:rsidRPr="003104DF">
          <w:rPr>
            <w:rStyle w:val="TextoNormalCaracter"/>
          </w:rPr>
          <w:t>12/1992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5" w:history="1">
        <w:r w:rsidRPr="003104DF">
          <w:rPr>
            <w:rStyle w:val="TextoNormalCaracter"/>
          </w:rPr>
          <w:t>55/1992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Auto </w:t>
      </w:r>
      <w:hyperlink w:anchor="AUTO_1992_55" w:history="1">
        <w:r w:rsidRPr="003104DF">
          <w:rPr>
            <w:rStyle w:val="TextoNormalCaracter"/>
          </w:rPr>
          <w:t>55/1992</w:t>
        </w:r>
      </w:hyperlink>
      <w:r w:rsidRPr="003104DF">
        <w:rPr>
          <w:rStyle w:val="TextoNormalCaracter"/>
        </w:rPr>
        <w:t>.</w:t>
      </w:r>
    </w:p>
    <w:p w:rsidR="003104DF" w:rsidRPr="003104DF" w:rsidRDefault="003104DF" w:rsidP="003104DF">
      <w:pPr>
        <w:pStyle w:val="TextoNormalSangraFrancesa"/>
        <w:rPr>
          <w:rStyle w:val="TextoNormalCaracter"/>
        </w:rPr>
      </w:pPr>
      <w:bookmarkStart w:id="696" w:name="DESCRIPTORALFABETICO308"/>
      <w:r w:rsidRPr="003104DF">
        <w:rPr>
          <w:rStyle w:val="TextoNormalNegritaCaracter"/>
        </w:rPr>
        <w:t>Consignación de rentas en juicio de desahucio</w:t>
      </w:r>
      <w:bookmarkEnd w:id="696"/>
      <w:r w:rsidRPr="003104DF">
        <w:rPr>
          <w:rStyle w:val="TextoNormalCaracter"/>
        </w:rPr>
        <w:t xml:space="preserve">, Sentencia </w:t>
      </w:r>
      <w:hyperlink w:anchor="SENTENCIA_1992_31" w:history="1">
        <w:r w:rsidRPr="003104DF">
          <w:rPr>
            <w:rStyle w:val="TextoNormalCaracter"/>
          </w:rPr>
          <w:t>31/1992</w:t>
        </w:r>
      </w:hyperlink>
      <w:r w:rsidRPr="003104DF">
        <w:rPr>
          <w:rStyle w:val="TextoNormalCaracter"/>
        </w:rPr>
        <w:t>, ff. 2, 3.</w:t>
      </w:r>
    </w:p>
    <w:p w:rsidR="003104DF" w:rsidRPr="003104DF" w:rsidRDefault="003104DF" w:rsidP="003104DF">
      <w:pPr>
        <w:pStyle w:val="TextoNormalSangraFrancesa"/>
        <w:rPr>
          <w:rStyle w:val="TextoNormalNegritaCaracter"/>
        </w:rPr>
      </w:pPr>
      <w:r w:rsidRPr="003104DF">
        <w:rPr>
          <w:rStyle w:val="TextoNormalCursivaCaracter"/>
        </w:rPr>
        <w:t>Consignación de rentas vencidas</w:t>
      </w:r>
      <w:r>
        <w:t xml:space="preserve"> véase </w:t>
      </w:r>
      <w:hyperlink w:anchor="DESCRIPTORALFABETICO308" w:history="1">
        <w:r w:rsidRPr="003104DF">
          <w:rPr>
            <w:rStyle w:val="TextoNormalNegritaCaracter"/>
          </w:rPr>
          <w:t>Consignación de rentas en juicio de desahucio</w:t>
        </w:r>
      </w:hyperlink>
    </w:p>
    <w:p w:rsidR="003104DF" w:rsidRPr="003104DF" w:rsidRDefault="003104DF" w:rsidP="003104DF">
      <w:pPr>
        <w:pStyle w:val="TextoNormalSangraFrancesa"/>
        <w:rPr>
          <w:rStyle w:val="TextoNormalCaracter"/>
        </w:rPr>
      </w:pPr>
      <w:bookmarkStart w:id="697" w:name="DESCRIPTORALFABETICO309"/>
      <w:r w:rsidRPr="003104DF">
        <w:rPr>
          <w:rStyle w:val="TextoNormalNegritaCaracter"/>
        </w:rPr>
        <w:lastRenderedPageBreak/>
        <w:t>Consignación del precio en juicio de retracto</w:t>
      </w:r>
      <w:bookmarkEnd w:id="697"/>
      <w:r w:rsidRPr="003104DF">
        <w:rPr>
          <w:rStyle w:val="TextoNormalCaracter"/>
        </w:rPr>
        <w:t xml:space="preserve">, Sentencia </w:t>
      </w:r>
      <w:hyperlink w:anchor="SENTENCIA_1992_12" w:history="1">
        <w:r w:rsidRPr="003104DF">
          <w:rPr>
            <w:rStyle w:val="TextoNormalCaracter"/>
          </w:rPr>
          <w:t>12/1992</w:t>
        </w:r>
      </w:hyperlink>
      <w:r w:rsidRPr="003104DF">
        <w:rPr>
          <w:rStyle w:val="TextoNormalCaracter"/>
        </w:rPr>
        <w:t>, f. 3.</w:t>
      </w:r>
    </w:p>
    <w:p w:rsidR="003104DF" w:rsidRPr="003104DF" w:rsidRDefault="003104DF" w:rsidP="003104DF">
      <w:pPr>
        <w:pStyle w:val="TextoNormalSangraFrancesa"/>
        <w:rPr>
          <w:rStyle w:val="TextoNormalCaracter"/>
        </w:rPr>
      </w:pPr>
      <w:bookmarkStart w:id="698" w:name="DESCRIPTORALFABETICO310"/>
      <w:r w:rsidRPr="003104DF">
        <w:rPr>
          <w:rStyle w:val="TextoNormalNegritaCaracter"/>
        </w:rPr>
        <w:t>Consignación mediante cheque bancario</w:t>
      </w:r>
      <w:bookmarkEnd w:id="698"/>
      <w:r w:rsidRPr="003104DF">
        <w:rPr>
          <w:rStyle w:val="TextoNormalCaracter"/>
        </w:rPr>
        <w:t xml:space="preserve">, Sentencia </w:t>
      </w:r>
      <w:hyperlink w:anchor="SENTENCIA_1992_12" w:history="1">
        <w:r w:rsidRPr="003104DF">
          <w:rPr>
            <w:rStyle w:val="TextoNormalCaracter"/>
          </w:rPr>
          <w:t>12/1992</w:t>
        </w:r>
      </w:hyperlink>
      <w:r w:rsidRPr="003104DF">
        <w:rPr>
          <w:rStyle w:val="TextoNormalCaracter"/>
        </w:rPr>
        <w:t>, f. 5.</w:t>
      </w:r>
    </w:p>
    <w:p w:rsidR="003104DF" w:rsidRPr="003104DF" w:rsidRDefault="003104DF" w:rsidP="003104DF">
      <w:pPr>
        <w:pStyle w:val="TextoNormalSangraFrancesa"/>
        <w:rPr>
          <w:rStyle w:val="TextoNormalCaracter"/>
        </w:rPr>
      </w:pPr>
      <w:bookmarkStart w:id="699" w:name="DESCRIPTORALFABETICO198"/>
      <w:r w:rsidRPr="003104DF">
        <w:rPr>
          <w:rStyle w:val="TextoNormalNegritaCaracter"/>
        </w:rPr>
        <w:t>Constitución española</w:t>
      </w:r>
      <w:bookmarkEnd w:id="699"/>
      <w:r w:rsidRPr="003104DF">
        <w:rPr>
          <w:rStyle w:val="TextoNormalCaracter"/>
        </w:rPr>
        <w:t xml:space="preserve">, Auto </w:t>
      </w:r>
      <w:hyperlink w:anchor="AUTO_1992_22" w:history="1">
        <w:r w:rsidRPr="003104DF">
          <w:rPr>
            <w:rStyle w:val="TextoNormalCaracter"/>
          </w:rPr>
          <w:t>22/1992</w:t>
        </w:r>
      </w:hyperlink>
      <w:r w:rsidRPr="003104DF">
        <w:rPr>
          <w:rStyle w:val="TextoNormalCaracter"/>
        </w:rPr>
        <w:t>.</w:t>
      </w:r>
    </w:p>
    <w:p w:rsidR="003104DF" w:rsidRPr="003104DF" w:rsidRDefault="003104DF" w:rsidP="003104DF">
      <w:pPr>
        <w:pStyle w:val="TextoNormalSangraFrancesa"/>
        <w:rPr>
          <w:rStyle w:val="TextoNormalCaracter"/>
        </w:rPr>
      </w:pPr>
      <w:bookmarkStart w:id="700" w:name="DESCRIPTORALFABETICO110"/>
      <w:r w:rsidRPr="003104DF">
        <w:rPr>
          <w:rStyle w:val="TextoNormalNegritaCaracter"/>
        </w:rPr>
        <w:t>Contenido adicional de la libertad sindical</w:t>
      </w:r>
      <w:bookmarkEnd w:id="700"/>
      <w:r w:rsidRPr="003104DF">
        <w:rPr>
          <w:rStyle w:val="TextoNormalCaracter"/>
        </w:rPr>
        <w:t xml:space="preserve">, Sentencia </w:t>
      </w:r>
      <w:hyperlink w:anchor="SENTENCIA_1992_30" w:history="1">
        <w:r w:rsidRPr="003104DF">
          <w:rPr>
            <w:rStyle w:val="TextoNormalCaracter"/>
          </w:rPr>
          <w:t>30/1992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701" w:name="DESCRIPTORALFABETICO98"/>
      <w:r w:rsidRPr="003104DF">
        <w:rPr>
          <w:rStyle w:val="TextoNormalNegritaCaracter"/>
        </w:rPr>
        <w:t>Contenido de la libertad de cátedra</w:t>
      </w:r>
      <w:bookmarkEnd w:id="701"/>
      <w:r w:rsidRPr="003104DF">
        <w:rPr>
          <w:rStyle w:val="TextoNormalCaracter"/>
        </w:rPr>
        <w:t xml:space="preserve">, Auto </w:t>
      </w:r>
      <w:hyperlink w:anchor="AUTO_1992_42" w:history="1">
        <w:r w:rsidRPr="003104DF">
          <w:rPr>
            <w:rStyle w:val="TextoNormalCaracter"/>
          </w:rPr>
          <w:t>42/1992</w:t>
        </w:r>
      </w:hyperlink>
      <w:r w:rsidRPr="003104DF">
        <w:rPr>
          <w:rStyle w:val="TextoNormalCaracter"/>
        </w:rPr>
        <w:t>.</w:t>
      </w:r>
    </w:p>
    <w:p w:rsidR="003104DF" w:rsidRPr="003104DF" w:rsidRDefault="003104DF" w:rsidP="003104DF">
      <w:pPr>
        <w:pStyle w:val="TextoNormalSangraFrancesa"/>
        <w:rPr>
          <w:rStyle w:val="TextoNormalCaracter"/>
        </w:rPr>
      </w:pPr>
      <w:bookmarkStart w:id="702" w:name="DESCRIPTORALFABETICO106"/>
      <w:r w:rsidRPr="003104DF">
        <w:rPr>
          <w:rStyle w:val="TextoNormalNegritaCaracter"/>
        </w:rPr>
        <w:t>Contenido de la libertad ideológica, religiosa y de culto</w:t>
      </w:r>
      <w:bookmarkEnd w:id="702"/>
      <w:r w:rsidRPr="003104DF">
        <w:rPr>
          <w:rStyle w:val="TextoNormalCaracter"/>
        </w:rPr>
        <w:t xml:space="preserve">, Auto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Caracter"/>
        </w:rPr>
      </w:pPr>
      <w:bookmarkStart w:id="703" w:name="DESCRIPTORALFABETICO86"/>
      <w:r w:rsidRPr="003104DF">
        <w:rPr>
          <w:rStyle w:val="TextoNormalNegritaCaracter"/>
        </w:rPr>
        <w:t>Contenido del derecho a la prueba</w:t>
      </w:r>
      <w:bookmarkEnd w:id="703"/>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 4; </w:t>
      </w:r>
      <w:hyperlink w:anchor="SENTENCIA_1992_65" w:history="1">
        <w:r w:rsidRPr="003104DF">
          <w:rPr>
            <w:rStyle w:val="TextoNormalCaracter"/>
          </w:rPr>
          <w:t>65/1992</w:t>
        </w:r>
      </w:hyperlink>
      <w:r w:rsidRPr="003104DF">
        <w:rPr>
          <w:rStyle w:val="TextoNormalCaracter"/>
        </w:rPr>
        <w:t>, f. 3.</w:t>
      </w:r>
    </w:p>
    <w:p w:rsidR="003104DF" w:rsidRPr="003104DF" w:rsidRDefault="003104DF" w:rsidP="003104DF">
      <w:pPr>
        <w:pStyle w:val="TextoNormalSangraFrancesa"/>
        <w:rPr>
          <w:rStyle w:val="TextoNormalCaracter"/>
        </w:rPr>
      </w:pPr>
      <w:bookmarkStart w:id="704" w:name="DESCRIPTORALFABETICO57"/>
      <w:r w:rsidRPr="003104DF">
        <w:rPr>
          <w:rStyle w:val="TextoNormalNegritaCaracter"/>
        </w:rPr>
        <w:t>Contenido del derecho a la tutela judicial efectiva</w:t>
      </w:r>
      <w:bookmarkEnd w:id="704"/>
      <w:r w:rsidRPr="003104DF">
        <w:rPr>
          <w:rStyle w:val="TextoNormalCaracter"/>
        </w:rPr>
        <w:t xml:space="preserve">, Sentencias </w:t>
      </w:r>
      <w:hyperlink w:anchor="SENTENCIA_1992_6" w:history="1">
        <w:r w:rsidRPr="003104DF">
          <w:rPr>
            <w:rStyle w:val="TextoNormalCaracter"/>
          </w:rPr>
          <w:t>6/1992</w:t>
        </w:r>
      </w:hyperlink>
      <w:r w:rsidRPr="003104DF">
        <w:rPr>
          <w:rStyle w:val="TextoNormalCaracter"/>
        </w:rPr>
        <w:t xml:space="preserve">, f. 5; </w:t>
      </w:r>
      <w:hyperlink w:anchor="SENTENCIA_1992_23" w:history="1">
        <w:r w:rsidRPr="003104DF">
          <w:rPr>
            <w:rStyle w:val="TextoNormalCaracter"/>
          </w:rPr>
          <w:t>23/1992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25" w:history="1">
        <w:r w:rsidRPr="003104DF">
          <w:rPr>
            <w:rStyle w:val="TextoNormalCaracter"/>
          </w:rPr>
          <w:t>25/1992</w:t>
        </w:r>
      </w:hyperlink>
      <w:r w:rsidRPr="003104DF">
        <w:rPr>
          <w:rStyle w:val="TextoNormalCaracter"/>
        </w:rPr>
        <w:t>.</w:t>
      </w:r>
    </w:p>
    <w:p w:rsidR="003104DF" w:rsidRPr="003104DF" w:rsidRDefault="003104DF" w:rsidP="003104DF">
      <w:pPr>
        <w:pStyle w:val="TextoNormalSangraFrancesa"/>
        <w:rPr>
          <w:rStyle w:val="TextoNormalCaracter"/>
        </w:rPr>
      </w:pPr>
      <w:bookmarkStart w:id="705" w:name="DESCRIPTORALFABETICO60"/>
      <w:r w:rsidRPr="003104DF">
        <w:rPr>
          <w:rStyle w:val="TextoNormalNegritaCaracter"/>
        </w:rPr>
        <w:t>Contenido del derecho al recurso legal</w:t>
      </w:r>
      <w:bookmarkEnd w:id="705"/>
      <w:r w:rsidRPr="003104DF">
        <w:rPr>
          <w:rStyle w:val="TextoNormalCaracter"/>
        </w:rPr>
        <w:t xml:space="preserve">, Auto </w:t>
      </w:r>
      <w:hyperlink w:anchor="AUTO_1992_62" w:history="1">
        <w:r w:rsidRPr="003104DF">
          <w:rPr>
            <w:rStyle w:val="TextoNormalCaracter"/>
          </w:rPr>
          <w:t>62/1992</w:t>
        </w:r>
      </w:hyperlink>
      <w:r w:rsidRPr="003104DF">
        <w:rPr>
          <w:rStyle w:val="TextoNormalCaracter"/>
        </w:rPr>
        <w:t>.</w:t>
      </w:r>
    </w:p>
    <w:p w:rsidR="003104DF" w:rsidRPr="003104DF" w:rsidRDefault="003104DF" w:rsidP="003104DF">
      <w:pPr>
        <w:pStyle w:val="TextoNormalSangraFrancesa"/>
        <w:rPr>
          <w:rStyle w:val="TextoNormalCaracter"/>
        </w:rPr>
      </w:pPr>
      <w:bookmarkStart w:id="706" w:name="DESCRIPTORALFABETICO103"/>
      <w:r w:rsidRPr="003104DF">
        <w:rPr>
          <w:rStyle w:val="TextoNormalNegritaCaracter"/>
        </w:rPr>
        <w:t>Contenido del derecho de rectificación</w:t>
      </w:r>
      <w:bookmarkEnd w:id="706"/>
      <w:r w:rsidRPr="003104DF">
        <w:rPr>
          <w:rStyle w:val="TextoNormalCaracter"/>
        </w:rPr>
        <w:t xml:space="preserve">, Auto </w:t>
      </w:r>
      <w:hyperlink w:anchor="AUTO_1992_70" w:history="1">
        <w:r w:rsidRPr="003104DF">
          <w:rPr>
            <w:rStyle w:val="TextoNormalCaracter"/>
          </w:rPr>
          <w:t>70/1992</w:t>
        </w:r>
      </w:hyperlink>
      <w:r w:rsidRPr="003104DF">
        <w:rPr>
          <w:rStyle w:val="TextoNormalCaracter"/>
        </w:rPr>
        <w:t>.</w:t>
      </w:r>
    </w:p>
    <w:p w:rsidR="003104DF" w:rsidRPr="003104DF" w:rsidRDefault="003104DF" w:rsidP="003104DF">
      <w:pPr>
        <w:pStyle w:val="TextoNormalSangraFrancesa"/>
        <w:rPr>
          <w:rStyle w:val="TextoNormalCaracter"/>
        </w:rPr>
      </w:pPr>
      <w:bookmarkStart w:id="707" w:name="DESCRIPTORALFABETICO95"/>
      <w:r w:rsidRPr="003104DF">
        <w:rPr>
          <w:rStyle w:val="TextoNormalNegritaCaracter"/>
        </w:rPr>
        <w:t>Contenido distinto del prestigio profesional</w:t>
      </w:r>
      <w:bookmarkEnd w:id="707"/>
      <w:r w:rsidRPr="003104DF">
        <w:rPr>
          <w:rStyle w:val="TextoNormalCaracter"/>
        </w:rPr>
        <w:t xml:space="preserve">, Sentencia </w:t>
      </w:r>
      <w:hyperlink w:anchor="SENTENCIA_1992_40" w:history="1">
        <w:r w:rsidRPr="003104DF">
          <w:rPr>
            <w:rStyle w:val="TextoNormalCaracter"/>
          </w:rPr>
          <w:t>40/1992</w:t>
        </w:r>
      </w:hyperlink>
      <w:r w:rsidRPr="003104DF">
        <w:rPr>
          <w:rStyle w:val="TextoNormalCaracter"/>
        </w:rPr>
        <w:t>, ff. 1, 3.</w:t>
      </w:r>
    </w:p>
    <w:p w:rsidR="003104DF" w:rsidRPr="003104DF" w:rsidRDefault="003104DF" w:rsidP="003104DF">
      <w:pPr>
        <w:pStyle w:val="TextoNormalSangraFrancesa"/>
        <w:rPr>
          <w:rStyle w:val="TextoNormalNegritaCaracter"/>
        </w:rPr>
      </w:pPr>
      <w:r w:rsidRPr="003104DF">
        <w:rPr>
          <w:rStyle w:val="TextoNormalCursivaCaracter"/>
        </w:rPr>
        <w:t>Contenido negativo de la libertad de cátedra</w:t>
      </w:r>
      <w:r>
        <w:t xml:space="preserve"> véase </w:t>
      </w:r>
      <w:hyperlink w:anchor="DESCRIPTORALFABETICO98" w:history="1">
        <w:r w:rsidRPr="003104DF">
          <w:rPr>
            <w:rStyle w:val="TextoNormalNegritaCaracter"/>
          </w:rPr>
          <w:t>Contenido de la libertad de cátedra</w:t>
        </w:r>
      </w:hyperlink>
    </w:p>
    <w:p w:rsidR="003104DF" w:rsidRPr="003104DF" w:rsidRDefault="003104DF" w:rsidP="003104DF">
      <w:pPr>
        <w:pStyle w:val="TextoNormalSangraFrancesa"/>
        <w:rPr>
          <w:rStyle w:val="TextoNormalNegritaCaracter"/>
        </w:rPr>
      </w:pPr>
      <w:r w:rsidRPr="003104DF">
        <w:rPr>
          <w:rStyle w:val="TextoNormalCursivaCaracter"/>
        </w:rPr>
        <w:t>Contenido positivo de la libertad de cátedra</w:t>
      </w:r>
      <w:r>
        <w:t xml:space="preserve"> véase </w:t>
      </w:r>
      <w:hyperlink w:anchor="DESCRIPTORALFABETICO98" w:history="1">
        <w:r w:rsidRPr="003104DF">
          <w:rPr>
            <w:rStyle w:val="TextoNormalNegritaCaracter"/>
          </w:rPr>
          <w:t>Contenido de la libertad de cátedra</w:t>
        </w:r>
      </w:hyperlink>
    </w:p>
    <w:p w:rsidR="003104DF" w:rsidRPr="003104DF" w:rsidRDefault="003104DF" w:rsidP="003104DF">
      <w:pPr>
        <w:pStyle w:val="TextoNormalSangraFrancesa"/>
        <w:rPr>
          <w:rStyle w:val="TextoNormalNegritaCaracter"/>
        </w:rPr>
      </w:pPr>
      <w:r w:rsidRPr="003104DF">
        <w:rPr>
          <w:rStyle w:val="TextoNormalCursivaCaracter"/>
        </w:rPr>
        <w:t>Contradicción procesal</w:t>
      </w:r>
      <w:r>
        <w:t xml:space="preserve"> véase </w:t>
      </w:r>
      <w:hyperlink w:anchor="DESCRIPTORALFABETICO370" w:history="1">
        <w:r w:rsidRPr="003104DF">
          <w:rPr>
            <w:rStyle w:val="TextoNormalNegritaCaracter"/>
          </w:rPr>
          <w:t>Principio de contradicción</w:t>
        </w:r>
      </w:hyperlink>
    </w:p>
    <w:p w:rsidR="003104DF" w:rsidRPr="003104DF" w:rsidRDefault="003104DF" w:rsidP="003104DF">
      <w:pPr>
        <w:pStyle w:val="TextoNormalSangraFrancesa"/>
        <w:rPr>
          <w:rStyle w:val="TextoNormalCaracter"/>
        </w:rPr>
      </w:pPr>
      <w:bookmarkStart w:id="708" w:name="DESCRIPTORALFABETICO217"/>
      <w:r w:rsidRPr="003104DF">
        <w:rPr>
          <w:rStyle w:val="TextoNormalNegritaCaracter"/>
        </w:rPr>
        <w:t>Contrato mercantil</w:t>
      </w:r>
      <w:bookmarkEnd w:id="708"/>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ff. 2, 5, 7, 11, 12, VP.</w:t>
      </w:r>
    </w:p>
    <w:p w:rsidR="003104DF" w:rsidRPr="003104DF" w:rsidRDefault="003104DF" w:rsidP="003104DF">
      <w:pPr>
        <w:pStyle w:val="TextoNormalSangraFrancesa"/>
        <w:rPr>
          <w:rStyle w:val="TextoNormalCaracter"/>
        </w:rPr>
      </w:pPr>
      <w:bookmarkStart w:id="709" w:name="DESCRIPTORALFABETICO162"/>
      <w:r w:rsidRPr="003104DF">
        <w:rPr>
          <w:rStyle w:val="TextoNormalNegritaCaracter"/>
        </w:rPr>
        <w:t>Control administrativo</w:t>
      </w:r>
      <w:bookmarkEnd w:id="709"/>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2.</w:t>
      </w:r>
    </w:p>
    <w:p w:rsidR="003104DF" w:rsidRPr="003104DF" w:rsidRDefault="003104DF" w:rsidP="003104DF">
      <w:pPr>
        <w:pStyle w:val="TextoNormalSangraFrancesa"/>
        <w:rPr>
          <w:rStyle w:val="TextoNormalCaracter"/>
        </w:rPr>
      </w:pPr>
      <w:bookmarkStart w:id="710" w:name="DESCRIPTORALFABETICO175"/>
      <w:r w:rsidRPr="003104DF">
        <w:rPr>
          <w:rStyle w:val="TextoNormalNegritaCaracter"/>
        </w:rPr>
        <w:t>Control judicial</w:t>
      </w:r>
      <w:bookmarkEnd w:id="710"/>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2.</w:t>
      </w:r>
    </w:p>
    <w:p w:rsidR="003104DF" w:rsidRPr="003104DF" w:rsidRDefault="003104DF" w:rsidP="003104DF">
      <w:pPr>
        <w:pStyle w:val="TextoNormalSangraFrancesa"/>
        <w:rPr>
          <w:rStyle w:val="TextoNormalNegritaCaracter"/>
        </w:rPr>
      </w:pPr>
      <w:r w:rsidRPr="003104DF">
        <w:rPr>
          <w:rStyle w:val="TextoNormalCursivaCaracter"/>
        </w:rPr>
        <w:t>Control jurisdiccional</w:t>
      </w:r>
      <w:r>
        <w:t xml:space="preserve"> véase </w:t>
      </w:r>
      <w:hyperlink w:anchor="DESCRIPTORALFABETICO175" w:history="1">
        <w:r w:rsidRPr="003104DF">
          <w:rPr>
            <w:rStyle w:val="TextoNormalNegritaCaracter"/>
          </w:rPr>
          <w:t>Control judicial</w:t>
        </w:r>
      </w:hyperlink>
    </w:p>
    <w:p w:rsidR="003104DF" w:rsidRPr="003104DF" w:rsidRDefault="003104DF" w:rsidP="003104DF">
      <w:pPr>
        <w:pStyle w:val="TextoNormalSangraFrancesa"/>
        <w:rPr>
          <w:rStyle w:val="TextoNormalCaracter"/>
        </w:rPr>
      </w:pPr>
      <w:bookmarkStart w:id="711" w:name="DESCRIPTORALFABETICO206"/>
      <w:r w:rsidRPr="003104DF">
        <w:rPr>
          <w:rStyle w:val="TextoNormalNegritaCaracter"/>
        </w:rPr>
        <w:t>Controles de las Comunidades Autónomas sobre los entes locales</w:t>
      </w:r>
      <w:bookmarkEnd w:id="711"/>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2.</w:t>
      </w:r>
    </w:p>
    <w:p w:rsidR="003104DF" w:rsidRPr="003104DF" w:rsidRDefault="003104DF" w:rsidP="003104DF">
      <w:pPr>
        <w:pStyle w:val="TextoNormalSangraFrancesa"/>
        <w:rPr>
          <w:rStyle w:val="TextoNormalCaracter"/>
        </w:rPr>
      </w:pPr>
      <w:bookmarkStart w:id="712" w:name="DESCRIPTORALFABETICO280"/>
      <w:r w:rsidRPr="003104DF">
        <w:rPr>
          <w:rStyle w:val="TextoNormalNegritaCaracter"/>
        </w:rPr>
        <w:t>Convenios colectivos</w:t>
      </w:r>
      <w:bookmarkEnd w:id="712"/>
      <w:r w:rsidRPr="003104DF">
        <w:rPr>
          <w:rStyle w:val="TextoNormalCaracter"/>
        </w:rPr>
        <w:t xml:space="preserve">, Sentencia </w:t>
      </w:r>
      <w:hyperlink w:anchor="SENTENCIA_1992_28" w:history="1">
        <w:r w:rsidRPr="003104DF">
          <w:rPr>
            <w:rStyle w:val="TextoNormalCaracter"/>
          </w:rPr>
          <w:t>28/1992</w:t>
        </w:r>
      </w:hyperlink>
      <w:r w:rsidRPr="003104DF">
        <w:rPr>
          <w:rStyle w:val="TextoNormalCaracter"/>
        </w:rPr>
        <w:t>, f. 3.</w:t>
      </w:r>
    </w:p>
    <w:p w:rsidR="003104DF" w:rsidRPr="003104DF" w:rsidRDefault="003104DF" w:rsidP="003104DF">
      <w:pPr>
        <w:pStyle w:val="TextoNormalSangraFrancesa"/>
        <w:rPr>
          <w:rStyle w:val="TextoNormalCaracter"/>
        </w:rPr>
      </w:pPr>
      <w:bookmarkStart w:id="713" w:name="DESCRIPTORALFABETICO166"/>
      <w:r w:rsidRPr="003104DF">
        <w:rPr>
          <w:rStyle w:val="TextoNormalNegritaCaracter"/>
        </w:rPr>
        <w:t>Convenios de cooperación</w:t>
      </w:r>
      <w:bookmarkEnd w:id="713"/>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10.</w:t>
      </w:r>
    </w:p>
    <w:p w:rsidR="003104DF" w:rsidRPr="003104DF" w:rsidRDefault="003104DF" w:rsidP="003104DF">
      <w:pPr>
        <w:pStyle w:val="TextoNormalSangraFrancesa"/>
        <w:rPr>
          <w:rStyle w:val="TextoNormalCaracter"/>
        </w:rPr>
      </w:pPr>
      <w:bookmarkStart w:id="714" w:name="DESCRIPTORALFABETICO230"/>
      <w:r w:rsidRPr="003104DF">
        <w:rPr>
          <w:rStyle w:val="TextoNormalNegritaCaracter"/>
        </w:rPr>
        <w:t>Convivencia marital</w:t>
      </w:r>
      <w:bookmarkEnd w:id="714"/>
      <w:r w:rsidRPr="003104DF">
        <w:rPr>
          <w:rStyle w:val="TextoNormalCaracter"/>
        </w:rPr>
        <w:t xml:space="preserve">, Sentencia </w:t>
      </w:r>
      <w:hyperlink w:anchor="SENTENCIA_1992_29" w:history="1">
        <w:r w:rsidRPr="003104DF">
          <w:rPr>
            <w:rStyle w:val="TextoNormalCaracter"/>
          </w:rPr>
          <w:t>29/1992</w:t>
        </w:r>
      </w:hyperlink>
      <w:r w:rsidRPr="003104DF">
        <w:rPr>
          <w:rStyle w:val="TextoNormalCaracter"/>
        </w:rPr>
        <w:t>, ff. 4, 5.</w:t>
      </w:r>
    </w:p>
    <w:p w:rsidR="003104DF" w:rsidRPr="003104DF" w:rsidRDefault="003104DF" w:rsidP="003104DF">
      <w:pPr>
        <w:pStyle w:val="TextoNormalSangraFrancesa"/>
        <w:rPr>
          <w:rStyle w:val="TextoNormalCaracter"/>
        </w:rPr>
      </w:pPr>
      <w:bookmarkStart w:id="715" w:name="DESCRIPTORALFABETICO167"/>
      <w:r w:rsidRPr="003104DF">
        <w:rPr>
          <w:rStyle w:val="TextoNormalNegritaCaracter"/>
        </w:rPr>
        <w:t>Coordinación entre el Estado y las Comunidades Autónomas</w:t>
      </w:r>
      <w:bookmarkEnd w:id="715"/>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10.</w:t>
      </w:r>
    </w:p>
    <w:p w:rsidR="003104DF" w:rsidRPr="003104DF" w:rsidRDefault="003104DF" w:rsidP="003104DF">
      <w:pPr>
        <w:pStyle w:val="TextoNormalSangraFrancesa"/>
        <w:rPr>
          <w:rStyle w:val="TextoNormalCaracter"/>
        </w:rPr>
      </w:pPr>
      <w:bookmarkStart w:id="716" w:name="DESCRIPTORALFABETICO207"/>
      <w:r w:rsidRPr="003104DF">
        <w:rPr>
          <w:rStyle w:val="TextoNormalNegritaCaracter"/>
        </w:rPr>
        <w:t>Corporaciones locales</w:t>
      </w:r>
      <w:bookmarkEnd w:id="716"/>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2.</w:t>
      </w:r>
    </w:p>
    <w:p w:rsidR="003104DF" w:rsidRPr="003104DF" w:rsidRDefault="003104DF" w:rsidP="003104DF">
      <w:pPr>
        <w:pStyle w:val="TextoNormalSangraFrancesa"/>
        <w:rPr>
          <w:rStyle w:val="TextoNormalCaracter"/>
        </w:rPr>
      </w:pPr>
      <w:bookmarkStart w:id="717" w:name="DESCRIPTORALFABETICO313"/>
      <w:r w:rsidRPr="003104DF">
        <w:rPr>
          <w:rStyle w:val="TextoNormalNegritaCaracter"/>
        </w:rPr>
        <w:t>Cosa juzgada</w:t>
      </w:r>
      <w:bookmarkEnd w:id="717"/>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 10.</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40" w:history="1">
        <w:r w:rsidRPr="003104DF">
          <w:rPr>
            <w:rStyle w:val="TextoNormalCaracter"/>
          </w:rPr>
          <w:t>40/1992</w:t>
        </w:r>
      </w:hyperlink>
      <w:r w:rsidRPr="003104DF">
        <w:rPr>
          <w:rStyle w:val="TextoNormalCaracter"/>
        </w:rPr>
        <w:t>.</w:t>
      </w:r>
    </w:p>
    <w:p w:rsidR="003104DF" w:rsidRPr="003104DF" w:rsidRDefault="003104DF" w:rsidP="003104DF">
      <w:pPr>
        <w:pStyle w:val="TextoNormalSangraFrancesa"/>
        <w:rPr>
          <w:rStyle w:val="TextoNormalCaracter"/>
        </w:rPr>
      </w:pPr>
      <w:bookmarkStart w:id="718" w:name="DESCRIPTORALFABETICO314"/>
      <w:r w:rsidRPr="003104DF">
        <w:rPr>
          <w:rStyle w:val="TextoNormalNegritaCaracter"/>
        </w:rPr>
        <w:t>Costas procesales</w:t>
      </w:r>
      <w:bookmarkEnd w:id="718"/>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Pr="003104DF" w:rsidRDefault="003104DF" w:rsidP="003104DF">
      <w:pPr>
        <w:pStyle w:val="TextoNormalSangraFrancesa"/>
        <w:rPr>
          <w:rStyle w:val="TextoNormalCaracter"/>
        </w:rPr>
      </w:pPr>
      <w:bookmarkStart w:id="719" w:name="DESCRIPTORALFABETICO90"/>
      <w:r w:rsidRPr="003104DF">
        <w:rPr>
          <w:rStyle w:val="TextoNormalNegritaCaracter"/>
        </w:rPr>
        <w:t>Criterios de apreciación de dilaciones indebidas</w:t>
      </w:r>
      <w:bookmarkEnd w:id="719"/>
      <w:r w:rsidRPr="003104DF">
        <w:rPr>
          <w:rStyle w:val="TextoNormalCaracter"/>
        </w:rPr>
        <w:t xml:space="preserve">, Auto </w:t>
      </w:r>
      <w:hyperlink w:anchor="AUTO_1992_15" w:history="1">
        <w:r w:rsidRPr="003104DF">
          <w:rPr>
            <w:rStyle w:val="TextoNormalCaracter"/>
          </w:rPr>
          <w:t>15/1992</w:t>
        </w:r>
      </w:hyperlink>
      <w:r w:rsidRPr="003104DF">
        <w:rPr>
          <w:rStyle w:val="TextoNormalCaracter"/>
        </w:rPr>
        <w:t>.</w:t>
      </w:r>
    </w:p>
    <w:p w:rsidR="003104DF" w:rsidRPr="003104DF" w:rsidRDefault="003104DF" w:rsidP="003104DF">
      <w:pPr>
        <w:pStyle w:val="TextoNormalSangraFrancesa"/>
        <w:rPr>
          <w:rStyle w:val="TextoNormalCaracter"/>
        </w:rPr>
      </w:pPr>
      <w:bookmarkStart w:id="720" w:name="DESCRIPTORALFABETICO5"/>
      <w:r w:rsidRPr="003104DF">
        <w:rPr>
          <w:rStyle w:val="TextoNormalNegritaCaracter"/>
        </w:rPr>
        <w:t>Criterios de distribución de competencias</w:t>
      </w:r>
      <w:bookmarkEnd w:id="720"/>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7, 8, 10.</w:t>
      </w:r>
    </w:p>
    <w:p w:rsidR="003104DF" w:rsidRPr="003104DF" w:rsidRDefault="003104DF" w:rsidP="003104DF">
      <w:pPr>
        <w:pStyle w:val="TextoNormalSangraFrancesa"/>
        <w:rPr>
          <w:rStyle w:val="TextoNormalCaracter"/>
        </w:rPr>
      </w:pPr>
      <w:bookmarkStart w:id="721" w:name="DESCRIPTORALFABETICO316"/>
      <w:r w:rsidRPr="003104DF">
        <w:rPr>
          <w:rStyle w:val="TextoNormalNegritaCaracter"/>
        </w:rPr>
        <w:t>Cuantía litigiosa</w:t>
      </w:r>
      <w:bookmarkEnd w:id="721"/>
      <w:r w:rsidRPr="003104DF">
        <w:rPr>
          <w:rStyle w:val="TextoNormalCaracter"/>
        </w:rPr>
        <w:t xml:space="preserve">, Sentencias </w:t>
      </w:r>
      <w:hyperlink w:anchor="SENTENCIA_1992_55" w:history="1">
        <w:r w:rsidRPr="003104DF">
          <w:rPr>
            <w:rStyle w:val="TextoNormalCaracter"/>
          </w:rPr>
          <w:t>55/1992</w:t>
        </w:r>
      </w:hyperlink>
      <w:r w:rsidRPr="003104DF">
        <w:rPr>
          <w:rStyle w:val="TextoNormalCaracter"/>
        </w:rPr>
        <w:t xml:space="preserve">, ff. 2, 3; </w:t>
      </w:r>
      <w:hyperlink w:anchor="SENTENCIA_1992_63" w:history="1">
        <w:r w:rsidRPr="003104DF">
          <w:rPr>
            <w:rStyle w:val="TextoNormalCaracter"/>
          </w:rPr>
          <w:t>63/1992</w:t>
        </w:r>
      </w:hyperlink>
      <w:r w:rsidRPr="003104DF">
        <w:rPr>
          <w:rStyle w:val="TextoNormalCaracter"/>
        </w:rPr>
        <w:t>, f. 3.</w:t>
      </w:r>
    </w:p>
    <w:p w:rsidR="003104DF" w:rsidRPr="003104DF" w:rsidRDefault="003104DF" w:rsidP="003104DF">
      <w:pPr>
        <w:pStyle w:val="TextoNormalSangraFrancesa"/>
        <w:rPr>
          <w:rStyle w:val="TextoNormalCaracter"/>
        </w:rPr>
      </w:pPr>
      <w:bookmarkStart w:id="722" w:name="DESCRIPTORALFABETICO126"/>
      <w:r w:rsidRPr="003104DF">
        <w:rPr>
          <w:rStyle w:val="TextoNormalNegritaCaracter"/>
        </w:rPr>
        <w:t>Cuestión de inconstitucionalidad</w:t>
      </w:r>
      <w:bookmarkEnd w:id="722"/>
      <w:r w:rsidRPr="003104DF">
        <w:rPr>
          <w:rStyle w:val="TextoNormalCaracter"/>
        </w:rPr>
        <w:t xml:space="preserve">, Sentencia </w:t>
      </w:r>
      <w:hyperlink w:anchor="SENTENCIA_1992_26" w:history="1">
        <w:r w:rsidRPr="003104DF">
          <w:rPr>
            <w:rStyle w:val="TextoNormalCaracter"/>
          </w:rPr>
          <w:t>26/1992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723" w:name="DESCRIPTORALFABETICO317"/>
      <w:r w:rsidRPr="003104DF">
        <w:rPr>
          <w:rStyle w:val="TextoNormalNegritaCaracter"/>
        </w:rPr>
        <w:t>Cuestión de legalidad ordinaria</w:t>
      </w:r>
      <w:bookmarkEnd w:id="723"/>
      <w:r w:rsidRPr="003104DF">
        <w:rPr>
          <w:rStyle w:val="TextoNormalCaracter"/>
        </w:rPr>
        <w:t xml:space="preserve">, Sentencias </w:t>
      </w:r>
      <w:hyperlink w:anchor="SENTENCIA_1992_20" w:history="1">
        <w:r w:rsidRPr="003104DF">
          <w:rPr>
            <w:rStyle w:val="TextoNormalCaracter"/>
          </w:rPr>
          <w:t>20/1992</w:t>
        </w:r>
      </w:hyperlink>
      <w:r w:rsidRPr="003104DF">
        <w:rPr>
          <w:rStyle w:val="TextoNormalCaracter"/>
        </w:rPr>
        <w:t xml:space="preserve">, f. 1; </w:t>
      </w:r>
      <w:hyperlink w:anchor="SENTENCIA_1992_52" w:history="1">
        <w:r w:rsidRPr="003104DF">
          <w:rPr>
            <w:rStyle w:val="TextoNormalCaracter"/>
          </w:rPr>
          <w:t>52/1992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37" w:history="1">
        <w:r w:rsidRPr="003104DF">
          <w:rPr>
            <w:rStyle w:val="TextoNormalCaracter"/>
          </w:rPr>
          <w:t>37/1992</w:t>
        </w:r>
      </w:hyperlink>
      <w:r w:rsidRPr="003104DF">
        <w:rPr>
          <w:rStyle w:val="TextoNormalCaracter"/>
        </w:rPr>
        <w:t xml:space="preserve">;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bookmarkStart w:id="724" w:name="DESCRIPTORALFABETICO293"/>
      <w:r w:rsidRPr="003104DF">
        <w:rPr>
          <w:rStyle w:val="TextoNormalNegritaCaracter"/>
        </w:rPr>
        <w:t>Cuestión prejudicial administrativa</w:t>
      </w:r>
      <w:bookmarkEnd w:id="724"/>
      <w:r w:rsidRPr="003104DF">
        <w:rPr>
          <w:rStyle w:val="TextoNormalCaracter"/>
        </w:rPr>
        <w:t xml:space="preserve">, Auto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bookmarkStart w:id="725" w:name="DESCRIPTORALFABETICO318"/>
      <w:r w:rsidRPr="003104DF">
        <w:rPr>
          <w:rStyle w:val="TextoNormalNegritaCaracter"/>
        </w:rPr>
        <w:t xml:space="preserve">Cuestión </w:t>
      </w:r>
      <w:r w:rsidRPr="003104DF">
        <w:rPr>
          <w:rStyle w:val="TextoNormalNegritaCaracter"/>
          <w:i/>
        </w:rPr>
        <w:t>sub iudice</w:t>
      </w:r>
      <w:bookmarkEnd w:id="725"/>
      <w:r w:rsidRPr="003104DF">
        <w:rPr>
          <w:rStyle w:val="TextoNormalCaracter"/>
        </w:rPr>
        <w:t xml:space="preserve">, Auto </w:t>
      </w:r>
      <w:hyperlink w:anchor="AUTO_1992_4" w:history="1">
        <w:r w:rsidRPr="003104DF">
          <w:rPr>
            <w:rStyle w:val="TextoNormalCaracter"/>
          </w:rPr>
          <w:t>4/1992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Culpa penal</w:t>
      </w:r>
      <w:r>
        <w:t xml:space="preserve"> véase </w:t>
      </w:r>
      <w:hyperlink w:anchor="DESCRIPTORALFABETICO267" w:history="1">
        <w:r w:rsidRPr="003104DF">
          <w:rPr>
            <w:rStyle w:val="TextoNormalNegritaCaracter"/>
          </w:rPr>
          <w:t>Culpabilidad</w:t>
        </w:r>
      </w:hyperlink>
    </w:p>
    <w:p w:rsidR="003104DF" w:rsidRPr="003104DF" w:rsidRDefault="003104DF" w:rsidP="003104DF">
      <w:pPr>
        <w:pStyle w:val="TextoNormalSangraFrancesa"/>
        <w:rPr>
          <w:rStyle w:val="TextoNormalCaracter"/>
        </w:rPr>
      </w:pPr>
      <w:bookmarkStart w:id="726" w:name="DESCRIPTORALFABETICO267"/>
      <w:r w:rsidRPr="003104DF">
        <w:rPr>
          <w:rStyle w:val="TextoNormalNegritaCaracter"/>
        </w:rPr>
        <w:t>Culpabilidad</w:t>
      </w:r>
      <w:bookmarkEnd w:id="726"/>
      <w:r w:rsidRPr="003104DF">
        <w:rPr>
          <w:rStyle w:val="TextoNormalCaracter"/>
        </w:rPr>
        <w:t xml:space="preserve">, Auto </w:t>
      </w:r>
      <w:hyperlink w:anchor="AUTO_1992_3" w:history="1">
        <w:r w:rsidRPr="003104DF">
          <w:rPr>
            <w:rStyle w:val="TextoNormalCaracter"/>
          </w:rPr>
          <w:t>3/1992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Culpabilidad penal</w:t>
      </w:r>
      <w:r>
        <w:t xml:space="preserve"> véase </w:t>
      </w:r>
      <w:hyperlink w:anchor="DESCRIPTORALFABETICO267" w:history="1">
        <w:r w:rsidRPr="003104DF">
          <w:rPr>
            <w:rStyle w:val="TextoNormalNegritaCaracter"/>
          </w:rPr>
          <w:t>Culpabilidad</w:t>
        </w:r>
      </w:hyperlink>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D</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727" w:name="DESCRIPTORALFABETICO319"/>
      <w:r w:rsidRPr="003104DF">
        <w:rPr>
          <w:rStyle w:val="TextoNormalNegritaCaracter"/>
        </w:rPr>
        <w:lastRenderedPageBreak/>
        <w:t>Defectos procesales</w:t>
      </w:r>
      <w:bookmarkEnd w:id="727"/>
      <w:r w:rsidRPr="003104DF">
        <w:rPr>
          <w:rStyle w:val="TextoNormalCaracter"/>
        </w:rPr>
        <w:t xml:space="preserve">, Autos </w:t>
      </w:r>
      <w:hyperlink w:anchor="AUTO_1992_58" w:history="1">
        <w:r w:rsidRPr="003104DF">
          <w:rPr>
            <w:rStyle w:val="TextoNormalCaracter"/>
          </w:rPr>
          <w:t>58/1992</w:t>
        </w:r>
      </w:hyperlink>
      <w:r w:rsidRPr="003104DF">
        <w:rPr>
          <w:rStyle w:val="TextoNormalCaracter"/>
        </w:rPr>
        <w:t xml:space="preserve">; </w:t>
      </w:r>
      <w:hyperlink w:anchor="AUTO_1992_93" w:history="1">
        <w:r w:rsidRPr="003104DF">
          <w:rPr>
            <w:rStyle w:val="TextoNormalCaracter"/>
          </w:rPr>
          <w:t>93/1992</w:t>
        </w:r>
      </w:hyperlink>
      <w:r w:rsidRPr="003104DF">
        <w:rPr>
          <w:rStyle w:val="TextoNormalCaracter"/>
        </w:rPr>
        <w:t xml:space="preserve">; </w:t>
      </w:r>
      <w:hyperlink w:anchor="AUTO_1992_108" w:history="1">
        <w:r w:rsidRPr="003104DF">
          <w:rPr>
            <w:rStyle w:val="TextoNormalCaracter"/>
          </w:rPr>
          <w:t>108/1992</w:t>
        </w:r>
      </w:hyperlink>
      <w:r w:rsidRPr="003104DF">
        <w:rPr>
          <w:rStyle w:val="TextoNormalCaracter"/>
        </w:rPr>
        <w:t>.</w:t>
      </w:r>
    </w:p>
    <w:p w:rsidR="003104DF" w:rsidRPr="003104DF" w:rsidRDefault="003104DF" w:rsidP="003104DF">
      <w:pPr>
        <w:pStyle w:val="TextoNormalSangraFrancesa"/>
        <w:rPr>
          <w:rStyle w:val="TextoNormalCaracter"/>
        </w:rPr>
      </w:pPr>
      <w:bookmarkStart w:id="728" w:name="DESCRIPTORALFABETICO320"/>
      <w:r w:rsidRPr="003104DF">
        <w:rPr>
          <w:rStyle w:val="TextoNormalNegritaCaracter"/>
        </w:rPr>
        <w:t>Defectos procesales imputables al órgano judicial</w:t>
      </w:r>
      <w:bookmarkEnd w:id="728"/>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 2.</w:t>
      </w:r>
    </w:p>
    <w:p w:rsidR="003104DF" w:rsidRPr="003104DF" w:rsidRDefault="003104DF" w:rsidP="003104DF">
      <w:pPr>
        <w:pStyle w:val="TextoNormalSangraFrancesa"/>
        <w:rPr>
          <w:rStyle w:val="TextoNormalCaracter"/>
        </w:rPr>
      </w:pPr>
      <w:bookmarkStart w:id="729" w:name="DESCRIPTORALFABETICO321"/>
      <w:r w:rsidRPr="003104DF">
        <w:rPr>
          <w:rStyle w:val="TextoNormalNegritaCaracter"/>
        </w:rPr>
        <w:t>Defectos procesales sin relevancia constitucional</w:t>
      </w:r>
      <w:bookmarkEnd w:id="729"/>
      <w:r w:rsidRPr="003104DF">
        <w:rPr>
          <w:rStyle w:val="TextoNormalCaracter"/>
        </w:rPr>
        <w:t xml:space="preserve">, Sentencias </w:t>
      </w:r>
      <w:hyperlink w:anchor="SENTENCIA_1992_3" w:history="1">
        <w:r w:rsidRPr="003104DF">
          <w:rPr>
            <w:rStyle w:val="TextoNormalCaracter"/>
          </w:rPr>
          <w:t>3/1992</w:t>
        </w:r>
      </w:hyperlink>
      <w:r w:rsidRPr="003104DF">
        <w:rPr>
          <w:rStyle w:val="TextoNormalCaracter"/>
        </w:rPr>
        <w:t xml:space="preserve">, f. 4; </w:t>
      </w:r>
      <w:hyperlink w:anchor="SENTENCIA_1992_33" w:history="1">
        <w:r w:rsidRPr="003104DF">
          <w:rPr>
            <w:rStyle w:val="TextoNormalCaracter"/>
          </w:rPr>
          <w:t>33/1992</w:t>
        </w:r>
      </w:hyperlink>
      <w:r w:rsidRPr="003104DF">
        <w:rPr>
          <w:rStyle w:val="TextoNormalCaracter"/>
        </w:rPr>
        <w:t xml:space="preserve">, f. 6; </w:t>
      </w:r>
      <w:hyperlink w:anchor="SENTENCIA_1992_41" w:history="1">
        <w:r w:rsidRPr="003104DF">
          <w:rPr>
            <w:rStyle w:val="TextoNormalCaracter"/>
          </w:rPr>
          <w:t>41/1992</w:t>
        </w:r>
      </w:hyperlink>
      <w:r w:rsidRPr="003104DF">
        <w:rPr>
          <w:rStyle w:val="TextoNormalCaracter"/>
        </w:rPr>
        <w:t xml:space="preserve">, f. 6; </w:t>
      </w:r>
      <w:hyperlink w:anchor="SENTENCIA_1992_61" w:history="1">
        <w:r w:rsidRPr="003104DF">
          <w:rPr>
            <w:rStyle w:val="TextoNormalCaracter"/>
          </w:rPr>
          <w:t>61/1992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8" w:history="1">
        <w:r w:rsidRPr="003104DF">
          <w:rPr>
            <w:rStyle w:val="TextoNormalCaracter"/>
          </w:rPr>
          <w:t>58/1992</w:t>
        </w:r>
      </w:hyperlink>
      <w:r w:rsidRPr="003104DF">
        <w:rPr>
          <w:rStyle w:val="TextoNormalCaracter"/>
        </w:rPr>
        <w:t>.</w:t>
      </w:r>
    </w:p>
    <w:p w:rsidR="003104DF" w:rsidRPr="003104DF" w:rsidRDefault="003104DF" w:rsidP="003104DF">
      <w:pPr>
        <w:pStyle w:val="TextoNormalSangraFrancesa"/>
        <w:rPr>
          <w:rStyle w:val="TextoNormalCaracter"/>
        </w:rPr>
      </w:pPr>
      <w:bookmarkStart w:id="730" w:name="DESCRIPTORALFABETICO219"/>
      <w:r w:rsidRPr="003104DF">
        <w:rPr>
          <w:rStyle w:val="TextoNormalNegritaCaracter"/>
        </w:rPr>
        <w:t>Defensa de los consumidores</w:t>
      </w:r>
      <w:bookmarkEnd w:id="730"/>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ff. 11, 12.</w:t>
      </w:r>
    </w:p>
    <w:p w:rsidR="003104DF" w:rsidRPr="003104DF" w:rsidRDefault="003104DF" w:rsidP="003104DF">
      <w:pPr>
        <w:pStyle w:val="TextoNormalSangraFrancesa"/>
        <w:rPr>
          <w:rStyle w:val="TextoNormalCaracter"/>
        </w:rPr>
      </w:pPr>
      <w:bookmarkStart w:id="731" w:name="DESCRIPTORALFABETICO277"/>
      <w:r w:rsidRPr="003104DF">
        <w:rPr>
          <w:rStyle w:val="TextoNormalNegritaCaracter"/>
        </w:rPr>
        <w:t>Delegados sindicales</w:t>
      </w:r>
      <w:bookmarkEnd w:id="731"/>
      <w:r w:rsidRPr="003104DF">
        <w:rPr>
          <w:rStyle w:val="TextoNormalCaracter"/>
        </w:rPr>
        <w:t xml:space="preserve">, Auto </w:t>
      </w:r>
      <w:hyperlink w:anchor="AUTO_1992_25" w:history="1">
        <w:r w:rsidRPr="003104DF">
          <w:rPr>
            <w:rStyle w:val="TextoNormalCaracter"/>
          </w:rPr>
          <w:t>25/1992</w:t>
        </w:r>
      </w:hyperlink>
      <w:r w:rsidRPr="003104DF">
        <w:rPr>
          <w:rStyle w:val="TextoNormalCaracter"/>
        </w:rPr>
        <w:t>.</w:t>
      </w:r>
    </w:p>
    <w:p w:rsidR="003104DF" w:rsidRPr="003104DF" w:rsidRDefault="003104DF" w:rsidP="003104DF">
      <w:pPr>
        <w:pStyle w:val="TextoNormalSangraFrancesa"/>
        <w:rPr>
          <w:rStyle w:val="TextoNormalCaracter"/>
        </w:rPr>
      </w:pPr>
      <w:bookmarkStart w:id="732" w:name="DESCRIPTORALFABETICO6"/>
      <w:r w:rsidRPr="003104DF">
        <w:rPr>
          <w:rStyle w:val="TextoNormalNegritaCaracter"/>
        </w:rPr>
        <w:t>Delimitación de competencias</w:t>
      </w:r>
      <w:bookmarkEnd w:id="732"/>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8.</w:t>
      </w:r>
    </w:p>
    <w:p w:rsidR="003104DF" w:rsidRPr="003104DF" w:rsidRDefault="003104DF" w:rsidP="003104DF">
      <w:pPr>
        <w:pStyle w:val="TextoNormalSangraFrancesa"/>
        <w:rPr>
          <w:rStyle w:val="TextoNormalCaracter"/>
        </w:rPr>
      </w:pPr>
      <w:bookmarkStart w:id="733" w:name="DESCRIPTORALFABETICO83"/>
      <w:r w:rsidRPr="003104DF">
        <w:rPr>
          <w:rStyle w:val="TextoNormalNegritaCaracter"/>
        </w:rPr>
        <w:t>Denegación de asistencia letrada</w:t>
      </w:r>
      <w:bookmarkEnd w:id="733"/>
      <w:r w:rsidRPr="003104DF">
        <w:rPr>
          <w:rStyle w:val="TextoNormalCaracter"/>
        </w:rPr>
        <w:t xml:space="preserve">, 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Caracter"/>
        </w:rPr>
      </w:pPr>
      <w:bookmarkStart w:id="734" w:name="DESCRIPTORALFABETICO342"/>
      <w:r w:rsidRPr="003104DF">
        <w:rPr>
          <w:rStyle w:val="TextoNormalNegritaCaracter"/>
        </w:rPr>
        <w:t>Denegación de prueba</w:t>
      </w:r>
      <w:bookmarkEnd w:id="734"/>
      <w:r w:rsidRPr="003104DF">
        <w:rPr>
          <w:rStyle w:val="TextoNormalCaracter"/>
        </w:rPr>
        <w:t xml:space="preserve">, Sentencia </w:t>
      </w:r>
      <w:hyperlink w:anchor="SENTENCIA_1992_1" w:history="1">
        <w:r w:rsidRPr="003104DF">
          <w:rPr>
            <w:rStyle w:val="TextoNormalCaracter"/>
          </w:rPr>
          <w:t>1/1992</w:t>
        </w:r>
      </w:hyperlink>
      <w:r w:rsidRPr="003104DF">
        <w:rPr>
          <w:rStyle w:val="TextoNormalCaracter"/>
        </w:rPr>
        <w:t>, ff. 3, 5.</w:t>
      </w:r>
    </w:p>
    <w:p w:rsidR="003104DF" w:rsidRPr="003104DF" w:rsidRDefault="003104DF" w:rsidP="003104DF">
      <w:pPr>
        <w:pStyle w:val="TextoNormalSangraFrancesa"/>
        <w:rPr>
          <w:rStyle w:val="TextoNormalCaracter"/>
        </w:rPr>
      </w:pPr>
      <w:bookmarkStart w:id="735" w:name="DESCRIPTORALFABETICO31"/>
      <w:r w:rsidRPr="003104DF">
        <w:rPr>
          <w:rStyle w:val="TextoNormalNegritaCaracter"/>
        </w:rPr>
        <w:t>Derecho a acceder a los cargos públicos</w:t>
      </w:r>
      <w:bookmarkEnd w:id="735"/>
      <w:r w:rsidRPr="003104DF">
        <w:rPr>
          <w:rStyle w:val="TextoNormalCaracter"/>
        </w:rPr>
        <w:t xml:space="preserve">, Sentencias </w:t>
      </w:r>
      <w:hyperlink w:anchor="SENTENCIA_1992_4" w:history="1">
        <w:r w:rsidRPr="003104DF">
          <w:rPr>
            <w:rStyle w:val="TextoNormalCaracter"/>
          </w:rPr>
          <w:t>4/1992</w:t>
        </w:r>
      </w:hyperlink>
      <w:r w:rsidRPr="003104DF">
        <w:rPr>
          <w:rStyle w:val="TextoNormalCaracter"/>
        </w:rPr>
        <w:t xml:space="preserve">, f. 2;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r w:rsidRPr="003104DF">
        <w:rPr>
          <w:rStyle w:val="TextoNormalCursivaCaracter"/>
        </w:rPr>
        <w:t xml:space="preserve">    Respetado, </w:t>
      </w:r>
      <w:r w:rsidRPr="003104DF">
        <w:rPr>
          <w:rStyle w:val="TextoNormalCaracter"/>
        </w:rPr>
        <w:t xml:space="preserve">Auto </w:t>
      </w:r>
      <w:hyperlink w:anchor="AUTO_1992_24" w:history="1">
        <w:r w:rsidRPr="003104DF">
          <w:rPr>
            <w:rStyle w:val="TextoNormalCaracter"/>
          </w:rPr>
          <w:t>24/1992</w:t>
        </w:r>
      </w:hyperlink>
      <w:r w:rsidRPr="003104DF">
        <w:rPr>
          <w:rStyle w:val="TextoNormalCaracter"/>
        </w:rPr>
        <w:t>.</w:t>
      </w:r>
    </w:p>
    <w:p w:rsidR="003104DF" w:rsidRPr="003104DF" w:rsidRDefault="003104DF" w:rsidP="003104DF">
      <w:pPr>
        <w:pStyle w:val="TextoNormalSangraFrancesa"/>
        <w:rPr>
          <w:rStyle w:val="TextoNormalCaracter"/>
        </w:rPr>
      </w:pPr>
      <w:bookmarkStart w:id="736" w:name="DESCRIPTORALFABETICO102"/>
      <w:r w:rsidRPr="003104DF">
        <w:rPr>
          <w:rStyle w:val="TextoNormalNegritaCaracter"/>
        </w:rPr>
        <w:t>Derecho a comunicar libremente información</w:t>
      </w:r>
      <w:bookmarkEnd w:id="736"/>
      <w:r w:rsidRPr="003104DF">
        <w:rPr>
          <w:rStyle w:val="TextoNormalCaracter"/>
        </w:rPr>
        <w:t xml:space="preserve">, Sentencias </w:t>
      </w:r>
      <w:hyperlink w:anchor="SENTENCIA_1992_20" w:history="1">
        <w:r w:rsidRPr="003104DF">
          <w:rPr>
            <w:rStyle w:val="TextoNormalCaracter"/>
          </w:rPr>
          <w:t>20/1992</w:t>
        </w:r>
      </w:hyperlink>
      <w:r w:rsidRPr="003104DF">
        <w:rPr>
          <w:rStyle w:val="TextoNormalCaracter"/>
        </w:rPr>
        <w:t xml:space="preserve">, ff. 2, 3; </w:t>
      </w:r>
      <w:hyperlink w:anchor="SENTENCIA_1992_40" w:history="1">
        <w:r w:rsidRPr="003104DF">
          <w:rPr>
            <w:rStyle w:val="TextoNormalCaracter"/>
          </w:rPr>
          <w:t>40/1992</w:t>
        </w:r>
      </w:hyperlink>
      <w:r w:rsidRPr="003104DF">
        <w:rPr>
          <w:rStyle w:val="TextoNormalCaracter"/>
        </w:rPr>
        <w:t>, ff. 2,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 w:history="1">
        <w:r w:rsidRPr="003104DF">
          <w:rPr>
            <w:rStyle w:val="TextoNormalCaracter"/>
          </w:rPr>
          <w:t>5/1992</w:t>
        </w:r>
      </w:hyperlink>
      <w:r w:rsidRPr="003104DF">
        <w:rPr>
          <w:rStyle w:val="TextoNormalCaracter"/>
        </w:rPr>
        <w:t xml:space="preserve">; </w:t>
      </w:r>
      <w:hyperlink w:anchor="AUTO_1992_70" w:history="1">
        <w:r w:rsidRPr="003104DF">
          <w:rPr>
            <w:rStyle w:val="TextoNormalCaracter"/>
          </w:rPr>
          <w:t>70/1992</w:t>
        </w:r>
      </w:hyperlink>
      <w:r w:rsidRPr="003104DF">
        <w:rPr>
          <w:rStyle w:val="TextoNormalCaracter"/>
        </w:rPr>
        <w:t>.</w:t>
      </w:r>
    </w:p>
    <w:p w:rsidR="003104DF" w:rsidRPr="003104DF" w:rsidRDefault="003104DF" w:rsidP="003104DF">
      <w:pPr>
        <w:pStyle w:val="TextoNormalSangraFrancesa"/>
        <w:rPr>
          <w:rStyle w:val="TextoNormalCaracter"/>
        </w:rPr>
      </w:pPr>
      <w:bookmarkStart w:id="737" w:name="DESCRIPTORALFABETICO82"/>
      <w:r w:rsidRPr="003104DF">
        <w:rPr>
          <w:rStyle w:val="TextoNormalNegritaCaracter"/>
        </w:rPr>
        <w:t>Derecho a la asistencia letrada</w:t>
      </w:r>
      <w:bookmarkEnd w:id="737"/>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Pr="003104DF" w:rsidRDefault="003104DF" w:rsidP="003104DF">
      <w:pPr>
        <w:pStyle w:val="TextoNormalSangraFrancesa"/>
        <w:rPr>
          <w:rStyle w:val="TextoNormalCaracter"/>
        </w:rPr>
      </w:pPr>
      <w:bookmarkStart w:id="738" w:name="DESCRIPTORALFABETICO81"/>
      <w:r w:rsidRPr="003104DF">
        <w:rPr>
          <w:rStyle w:val="TextoNormalNegritaCaracter"/>
        </w:rPr>
        <w:t>Derecho a la defensa</w:t>
      </w:r>
      <w:bookmarkEnd w:id="738"/>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 6; </w:t>
      </w:r>
      <w:hyperlink w:anchor="SENTENCIA_1992_6" w:history="1">
        <w:r w:rsidRPr="003104DF">
          <w:rPr>
            <w:rStyle w:val="TextoNormalCaracter"/>
          </w:rPr>
          <w:t>6/1992</w:t>
        </w:r>
      </w:hyperlink>
      <w:r w:rsidRPr="003104DF">
        <w:rPr>
          <w:rStyle w:val="TextoNormalCaracter"/>
        </w:rPr>
        <w:t xml:space="preserve">, ff. 6, 7; </w:t>
      </w:r>
      <w:hyperlink w:anchor="SENTENCIA_1992_14" w:history="1">
        <w:r w:rsidRPr="003104DF">
          <w:rPr>
            <w:rStyle w:val="TextoNormalCaracter"/>
          </w:rPr>
          <w:t>14/1992</w:t>
        </w:r>
      </w:hyperlink>
      <w:r w:rsidRPr="003104DF">
        <w:rPr>
          <w:rStyle w:val="TextoNormalCaracter"/>
        </w:rPr>
        <w:t xml:space="preserve">, ff. 2, 7, VP; </w:t>
      </w:r>
      <w:hyperlink w:anchor="SENTENCIA_1992_17" w:history="1">
        <w:r w:rsidRPr="003104DF">
          <w:rPr>
            <w:rStyle w:val="TextoNormalCaracter"/>
          </w:rPr>
          <w:t>17/1992</w:t>
        </w:r>
      </w:hyperlink>
      <w:r w:rsidRPr="003104DF">
        <w:rPr>
          <w:rStyle w:val="TextoNormalCaracter"/>
        </w:rPr>
        <w:t xml:space="preserve">, f. 4;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6" w:history="1">
        <w:r w:rsidRPr="003104DF">
          <w:rPr>
            <w:rStyle w:val="TextoNormalCaracter"/>
          </w:rPr>
          <w:t>6/1992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Derecho a la defensa contradictoria entre las partes</w:t>
      </w:r>
      <w:r>
        <w:t xml:space="preserve"> véase </w:t>
      </w:r>
      <w:hyperlink w:anchor="DESCRIPTORALFABETICO370" w:history="1">
        <w:r w:rsidRPr="003104DF">
          <w:rPr>
            <w:rStyle w:val="TextoNormalNegritaCaracter"/>
          </w:rPr>
          <w:t>Principio de contradicción</w:t>
        </w:r>
      </w:hyperlink>
    </w:p>
    <w:p w:rsidR="003104DF" w:rsidRPr="003104DF" w:rsidRDefault="003104DF" w:rsidP="003104DF">
      <w:pPr>
        <w:pStyle w:val="TextoNormalSangraFrancesa"/>
        <w:rPr>
          <w:rStyle w:val="TextoNormalCaracter"/>
        </w:rPr>
      </w:pPr>
      <w:bookmarkStart w:id="739" w:name="DESCRIPTORALFABETICO58"/>
      <w:r w:rsidRPr="003104DF">
        <w:rPr>
          <w:rStyle w:val="TextoNormalNegritaCaracter"/>
        </w:rPr>
        <w:t>Derecho a la ejecución de sentencias</w:t>
      </w:r>
      <w:bookmarkEnd w:id="739"/>
      <w:r w:rsidRPr="003104DF">
        <w:rPr>
          <w:rStyle w:val="TextoNormalCaracter"/>
        </w:rPr>
        <w:t xml:space="preserve">, Sentencia </w:t>
      </w:r>
      <w:hyperlink w:anchor="SENTENCIA_1992_61" w:history="1">
        <w:r w:rsidRPr="003104DF">
          <w:rPr>
            <w:rStyle w:val="TextoNormalCaracter"/>
          </w:rPr>
          <w:t>61/1992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4" w:history="1">
        <w:r w:rsidRPr="003104DF">
          <w:rPr>
            <w:rStyle w:val="TextoNormalCaracter"/>
          </w:rPr>
          <w:t>4/1992</w:t>
        </w:r>
      </w:hyperlink>
      <w:r w:rsidRPr="003104DF">
        <w:rPr>
          <w:rStyle w:val="TextoNormalCaracter"/>
        </w:rPr>
        <w:t>.</w:t>
      </w:r>
    </w:p>
    <w:p w:rsidR="003104DF" w:rsidRPr="003104DF" w:rsidRDefault="003104DF" w:rsidP="003104DF">
      <w:pPr>
        <w:pStyle w:val="TextoNormalSangraFrancesa"/>
        <w:rPr>
          <w:rStyle w:val="TextoNormalCaracter"/>
        </w:rPr>
      </w:pPr>
      <w:bookmarkStart w:id="740" w:name="DESCRIPTORALFABETICO49"/>
      <w:r w:rsidRPr="003104DF">
        <w:rPr>
          <w:rStyle w:val="TextoNormalNegritaCaracter"/>
        </w:rPr>
        <w:t>Derecho a la intimidad</w:t>
      </w:r>
      <w:bookmarkEnd w:id="740"/>
      <w:r w:rsidRPr="003104DF">
        <w:rPr>
          <w:rStyle w:val="TextoNormalCaracter"/>
        </w:rPr>
        <w:t xml:space="preserve">, Sentencia </w:t>
      </w:r>
      <w:hyperlink w:anchor="SENTENCIA_1992_20" w:history="1">
        <w:r w:rsidRPr="003104DF">
          <w:rPr>
            <w:rStyle w:val="TextoNormalCaracter"/>
          </w:rPr>
          <w:t>20/1992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85" w:history="1">
        <w:r w:rsidRPr="003104DF">
          <w:rPr>
            <w:rStyle w:val="TextoNormalCaracter"/>
          </w:rPr>
          <w:t>85/1992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Derecho a la intimidad personal</w:t>
      </w:r>
      <w:r>
        <w:t xml:space="preserve"> véase </w:t>
      </w:r>
      <w:hyperlink w:anchor="DESCRIPTORALFABETICO49" w:history="1">
        <w:r w:rsidRPr="003104DF">
          <w:rPr>
            <w:rStyle w:val="TextoNormalNegritaCaracter"/>
          </w:rPr>
          <w:t>Derecho a la intimidad</w:t>
        </w:r>
      </w:hyperlink>
    </w:p>
    <w:p w:rsidR="003104DF" w:rsidRPr="003104DF" w:rsidRDefault="003104DF" w:rsidP="003104DF">
      <w:pPr>
        <w:pStyle w:val="TextoNormalSangraFrancesa"/>
        <w:rPr>
          <w:rStyle w:val="TextoNormalNegritaCaracter"/>
        </w:rPr>
      </w:pPr>
      <w:r w:rsidRPr="003104DF">
        <w:rPr>
          <w:rStyle w:val="TextoNormalCursivaCaracter"/>
        </w:rPr>
        <w:t>Derecho a la intimidad personal y familiar</w:t>
      </w:r>
      <w:r>
        <w:t xml:space="preserve"> véase </w:t>
      </w:r>
      <w:hyperlink w:anchor="DESCRIPTORALFABETICO49" w:history="1">
        <w:r w:rsidRPr="003104DF">
          <w:rPr>
            <w:rStyle w:val="TextoNormalNegritaCaracter"/>
          </w:rPr>
          <w:t>Derecho a la intimidad</w:t>
        </w:r>
      </w:hyperlink>
    </w:p>
    <w:p w:rsidR="003104DF" w:rsidRPr="003104DF" w:rsidRDefault="003104DF" w:rsidP="003104DF">
      <w:pPr>
        <w:pStyle w:val="TextoNormalSangraFrancesa"/>
        <w:rPr>
          <w:rStyle w:val="TextoNormalCaracter"/>
        </w:rPr>
      </w:pPr>
      <w:bookmarkStart w:id="741" w:name="DESCRIPTORALFABETICO51"/>
      <w:r w:rsidRPr="003104DF">
        <w:rPr>
          <w:rStyle w:val="TextoNormalNegritaCaracter"/>
        </w:rPr>
        <w:t>Derecho a la inviolabilidad del domicilio</w:t>
      </w:r>
      <w:bookmarkEnd w:id="741"/>
      <w:r w:rsidRPr="003104DF">
        <w:rPr>
          <w:rStyle w:val="TextoNormalCaracter"/>
        </w:rPr>
        <w:t xml:space="preserve">, Autos </w:t>
      </w:r>
      <w:hyperlink w:anchor="AUTO_1992_58" w:history="1">
        <w:r w:rsidRPr="003104DF">
          <w:rPr>
            <w:rStyle w:val="TextoNormalCaracter"/>
          </w:rPr>
          <w:t>58/1992</w:t>
        </w:r>
      </w:hyperlink>
      <w:r w:rsidRPr="003104DF">
        <w:rPr>
          <w:rStyle w:val="TextoNormalCaracter"/>
        </w:rPr>
        <w:t xml:space="preserve">; </w:t>
      </w:r>
      <w:hyperlink w:anchor="AUTO_1992_85" w:history="1">
        <w:r w:rsidRPr="003104DF">
          <w:rPr>
            <w:rStyle w:val="TextoNormalCaracter"/>
          </w:rPr>
          <w:t>85/1992</w:t>
        </w:r>
      </w:hyperlink>
      <w:r w:rsidRPr="003104DF">
        <w:rPr>
          <w:rStyle w:val="TextoNormalCaracter"/>
        </w:rPr>
        <w:t>.</w:t>
      </w:r>
    </w:p>
    <w:p w:rsidR="003104DF" w:rsidRPr="003104DF" w:rsidRDefault="003104DF" w:rsidP="003104DF">
      <w:pPr>
        <w:pStyle w:val="TextoNormalSangraFrancesa"/>
        <w:rPr>
          <w:rStyle w:val="TextoNormalCaracter"/>
        </w:rPr>
      </w:pPr>
      <w:bookmarkStart w:id="742" w:name="DESCRIPTORALFABETICO52"/>
      <w:r w:rsidRPr="003104DF">
        <w:rPr>
          <w:rStyle w:val="TextoNormalNegritaCaracter"/>
        </w:rPr>
        <w:t>Derecho a la libertad personal</w:t>
      </w:r>
      <w:bookmarkEnd w:id="742"/>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0" w:history="1">
        <w:r w:rsidRPr="003104DF">
          <w:rPr>
            <w:rStyle w:val="TextoNormalCaracter"/>
          </w:rPr>
          <w:t>50/1992</w:t>
        </w:r>
      </w:hyperlink>
      <w:r w:rsidRPr="003104DF">
        <w:rPr>
          <w:rStyle w:val="TextoNormalCaracter"/>
        </w:rPr>
        <w:t xml:space="preserve">; </w:t>
      </w:r>
      <w:hyperlink w:anchor="AUTO_1992_84" w:history="1">
        <w:r w:rsidRPr="003104DF">
          <w:rPr>
            <w:rStyle w:val="TextoNormalCaracter"/>
          </w:rPr>
          <w:t>84/1992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Derecho a la libre información</w:t>
      </w:r>
      <w:r>
        <w:t xml:space="preserve"> véase </w:t>
      </w:r>
      <w:hyperlink w:anchor="DESCRIPTORALFABETICO101" w:history="1">
        <w:r w:rsidRPr="003104DF">
          <w:rPr>
            <w:rStyle w:val="TextoNormalNegritaCaracter"/>
          </w:rPr>
          <w:t>Libertad de información</w:t>
        </w:r>
      </w:hyperlink>
    </w:p>
    <w:p w:rsidR="003104DF" w:rsidRPr="003104DF" w:rsidRDefault="003104DF" w:rsidP="003104DF">
      <w:pPr>
        <w:pStyle w:val="TextoNormalSangraFrancesa"/>
        <w:rPr>
          <w:rStyle w:val="TextoNormalCaracter"/>
        </w:rPr>
      </w:pPr>
      <w:bookmarkStart w:id="743" w:name="DESCRIPTORALFABETICO53"/>
      <w:r w:rsidRPr="003104DF">
        <w:rPr>
          <w:rStyle w:val="TextoNormalNegritaCaracter"/>
        </w:rPr>
        <w:t>Derecho a la presunción de inocencia</w:t>
      </w:r>
      <w:bookmarkEnd w:id="743"/>
      <w:r w:rsidRPr="003104DF">
        <w:rPr>
          <w:rStyle w:val="TextoNormalCaracter"/>
        </w:rPr>
        <w:t xml:space="preserve">, Sentencias </w:t>
      </w:r>
      <w:hyperlink w:anchor="SENTENCIA_1992_10" w:history="1">
        <w:r w:rsidRPr="003104DF">
          <w:rPr>
            <w:rStyle w:val="TextoNormalCaracter"/>
          </w:rPr>
          <w:t>10/1992</w:t>
        </w:r>
      </w:hyperlink>
      <w:r w:rsidRPr="003104DF">
        <w:rPr>
          <w:rStyle w:val="TextoNormalCaracter"/>
        </w:rPr>
        <w:t xml:space="preserve">, f. 4; </w:t>
      </w:r>
      <w:hyperlink w:anchor="SENTENCIA_1992_24" w:history="1">
        <w:r w:rsidRPr="003104DF">
          <w:rPr>
            <w:rStyle w:val="TextoNormalCaracter"/>
          </w:rPr>
          <w:t>24/1992</w:t>
        </w:r>
      </w:hyperlink>
      <w:r w:rsidRPr="003104DF">
        <w:rPr>
          <w:rStyle w:val="TextoNormalCaracter"/>
        </w:rPr>
        <w:t xml:space="preserve">, ff. 3, 4; </w:t>
      </w:r>
      <w:hyperlink w:anchor="SENTENCIA_1992_30" w:history="1">
        <w:r w:rsidRPr="003104DF">
          <w:rPr>
            <w:rStyle w:val="TextoNormalCaracter"/>
          </w:rPr>
          <w:t>30/1992</w:t>
        </w:r>
      </w:hyperlink>
      <w:r w:rsidRPr="003104DF">
        <w:rPr>
          <w:rStyle w:val="TextoNormalCaracter"/>
        </w:rPr>
        <w:t xml:space="preserve">, f. 7; </w:t>
      </w:r>
      <w:hyperlink w:anchor="SENTENCIA_1992_33" w:history="1">
        <w:r w:rsidRPr="003104DF">
          <w:rPr>
            <w:rStyle w:val="TextoNormalCaracter"/>
          </w:rPr>
          <w:t>33/1992</w:t>
        </w:r>
      </w:hyperlink>
      <w:r w:rsidRPr="003104DF">
        <w:rPr>
          <w:rStyle w:val="TextoNormalCaracter"/>
        </w:rPr>
        <w:t xml:space="preserve">, f. 4; </w:t>
      </w:r>
      <w:hyperlink w:anchor="SENTENCIA_1992_50" w:history="1">
        <w:r w:rsidRPr="003104DF">
          <w:rPr>
            <w:rStyle w:val="TextoNormalCaracter"/>
          </w:rPr>
          <w:t>50/1992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3" w:history="1">
        <w:r w:rsidRPr="003104DF">
          <w:rPr>
            <w:rStyle w:val="TextoNormalCaracter"/>
          </w:rPr>
          <w:t>3/1992</w:t>
        </w:r>
      </w:hyperlink>
      <w:r w:rsidRPr="003104DF">
        <w:rPr>
          <w:rStyle w:val="TextoNormalCaracter"/>
        </w:rPr>
        <w:t xml:space="preserve">; </w:t>
      </w:r>
      <w:hyperlink w:anchor="AUTO_1992_21" w:history="1">
        <w:r w:rsidRPr="003104DF">
          <w:rPr>
            <w:rStyle w:val="TextoNormalCaracter"/>
          </w:rPr>
          <w:t>21/1992</w:t>
        </w:r>
      </w:hyperlink>
      <w:r w:rsidRPr="003104DF">
        <w:rPr>
          <w:rStyle w:val="TextoNormalCaracter"/>
        </w:rPr>
        <w:t xml:space="preserve">;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Sentencias </w:t>
      </w:r>
      <w:hyperlink w:anchor="SENTENCIA_1992_24" w:history="1">
        <w:r w:rsidRPr="003104DF">
          <w:rPr>
            <w:rStyle w:val="TextoNormalCaracter"/>
          </w:rPr>
          <w:t>24/1992</w:t>
        </w:r>
      </w:hyperlink>
      <w:r w:rsidRPr="003104DF">
        <w:rPr>
          <w:rStyle w:val="TextoNormalCaracter"/>
        </w:rPr>
        <w:t xml:space="preserve">, f. 2; </w:t>
      </w:r>
      <w:hyperlink w:anchor="SENTENCIA_1992_33" w:history="1">
        <w:r w:rsidRPr="003104DF">
          <w:rPr>
            <w:rStyle w:val="TextoNormalCaracter"/>
          </w:rPr>
          <w:t>33/1992</w:t>
        </w:r>
      </w:hyperlink>
      <w:r w:rsidRPr="003104DF">
        <w:rPr>
          <w:rStyle w:val="TextoNormalCaracter"/>
        </w:rPr>
        <w:t>, f. 4.</w:t>
      </w:r>
    </w:p>
    <w:p w:rsidR="003104DF" w:rsidRPr="003104DF" w:rsidRDefault="003104DF" w:rsidP="003104DF">
      <w:pPr>
        <w:pStyle w:val="TextoNormalSangraFrancesa"/>
        <w:rPr>
          <w:rStyle w:val="TextoNormalCaracter"/>
        </w:rPr>
      </w:pPr>
      <w:bookmarkStart w:id="744" w:name="DESCRIPTORALFABETICO85"/>
      <w:r w:rsidRPr="003104DF">
        <w:rPr>
          <w:rStyle w:val="TextoNormalNegritaCaracter"/>
        </w:rPr>
        <w:t>Derecho a la prueba</w:t>
      </w:r>
      <w:bookmarkEnd w:id="744"/>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ff. 3, 5; </w:t>
      </w:r>
      <w:hyperlink w:anchor="SENTENCIA_1992_14" w:history="1">
        <w:r w:rsidRPr="003104DF">
          <w:rPr>
            <w:rStyle w:val="TextoNormalCaracter"/>
          </w:rPr>
          <w:t>14/1992</w:t>
        </w:r>
      </w:hyperlink>
      <w:r w:rsidRPr="003104DF">
        <w:rPr>
          <w:rStyle w:val="TextoNormalCaracter"/>
        </w:rPr>
        <w:t xml:space="preserve">, f. 2; </w:t>
      </w:r>
      <w:hyperlink w:anchor="SENTENCIA_1992_65" w:history="1">
        <w:r w:rsidRPr="003104DF">
          <w:rPr>
            <w:rStyle w:val="TextoNormalCaracter"/>
          </w:rPr>
          <w:t>65/1992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16" w:history="1">
        <w:r w:rsidRPr="003104DF">
          <w:rPr>
            <w:rStyle w:val="TextoNormalCaracter"/>
          </w:rPr>
          <w:t>16/1992</w:t>
        </w:r>
      </w:hyperlink>
      <w:r w:rsidRPr="003104DF">
        <w:rPr>
          <w:rStyle w:val="TextoNormalCaracter"/>
        </w:rPr>
        <w:t xml:space="preserve">; </w:t>
      </w:r>
      <w:hyperlink w:anchor="AUTO_1992_17" w:history="1">
        <w:r w:rsidRPr="003104DF">
          <w:rPr>
            <w:rStyle w:val="TextoNormalCaracter"/>
          </w:rPr>
          <w:t>17/1992</w:t>
        </w:r>
      </w:hyperlink>
      <w:r w:rsidRPr="003104DF">
        <w:rPr>
          <w:rStyle w:val="TextoNormalCaracter"/>
        </w:rPr>
        <w:t xml:space="preserve">;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33" w:history="1">
        <w:r w:rsidRPr="003104DF">
          <w:rPr>
            <w:rStyle w:val="TextoNormalCaracter"/>
          </w:rPr>
          <w:t>33/1992</w:t>
        </w:r>
      </w:hyperlink>
      <w:r w:rsidRPr="003104DF">
        <w:rPr>
          <w:rStyle w:val="TextoNormalCaracter"/>
        </w:rPr>
        <w:t>, f. 6.</w:t>
      </w:r>
    </w:p>
    <w:p w:rsidR="003104DF" w:rsidRPr="003104DF" w:rsidRDefault="003104DF" w:rsidP="003104DF">
      <w:pPr>
        <w:pStyle w:val="TextoNormalSangraFrancesa"/>
        <w:rPr>
          <w:rStyle w:val="TextoNormalCaracter"/>
        </w:rPr>
      </w:pPr>
      <w:bookmarkStart w:id="745" w:name="DESCRIPTORALFABETICO54"/>
      <w:r w:rsidRPr="003104DF">
        <w:rPr>
          <w:rStyle w:val="TextoNormalNegritaCaracter"/>
        </w:rPr>
        <w:t>Derecho a la tutela judicial efectiva</w:t>
      </w:r>
      <w:bookmarkEnd w:id="745"/>
      <w:r w:rsidRPr="003104DF">
        <w:rPr>
          <w:rStyle w:val="TextoNormalCaracter"/>
        </w:rPr>
        <w:t xml:space="preserve">, Sentencias </w:t>
      </w:r>
      <w:hyperlink w:anchor="SENTENCIA_1992_6" w:history="1">
        <w:r w:rsidRPr="003104DF">
          <w:rPr>
            <w:rStyle w:val="TextoNormalCaracter"/>
          </w:rPr>
          <w:t>6/1992</w:t>
        </w:r>
      </w:hyperlink>
      <w:r w:rsidRPr="003104DF">
        <w:rPr>
          <w:rStyle w:val="TextoNormalCaracter"/>
        </w:rPr>
        <w:t xml:space="preserve">, f. 3; </w:t>
      </w:r>
      <w:hyperlink w:anchor="SENTENCIA_1992_20" w:history="1">
        <w:r w:rsidRPr="003104DF">
          <w:rPr>
            <w:rStyle w:val="TextoNormalCaracter"/>
          </w:rPr>
          <w:t>20/1992</w:t>
        </w:r>
      </w:hyperlink>
      <w:r w:rsidRPr="003104DF">
        <w:rPr>
          <w:rStyle w:val="TextoNormalCaracter"/>
        </w:rPr>
        <w:t xml:space="preserve">, f. 1; </w:t>
      </w:r>
      <w:hyperlink w:anchor="SENTENCIA_1992_52" w:history="1">
        <w:r w:rsidRPr="003104DF">
          <w:rPr>
            <w:rStyle w:val="TextoNormalCaracter"/>
          </w:rPr>
          <w:t>52/1992</w:t>
        </w:r>
      </w:hyperlink>
      <w:r w:rsidRPr="003104DF">
        <w:rPr>
          <w:rStyle w:val="TextoNormalCaracter"/>
        </w:rPr>
        <w:t xml:space="preserve">, f. 2; </w:t>
      </w:r>
      <w:hyperlink w:anchor="SENTENCIA_1992_56" w:history="1">
        <w:r w:rsidRPr="003104DF">
          <w:rPr>
            <w:rStyle w:val="TextoNormalCaracter"/>
          </w:rPr>
          <w:t>56/1992</w:t>
        </w:r>
      </w:hyperlink>
      <w:r w:rsidRPr="003104DF">
        <w:rPr>
          <w:rStyle w:val="TextoNormalCaracter"/>
        </w:rPr>
        <w:t xml:space="preserve">, f. 3; </w:t>
      </w:r>
      <w:hyperlink w:anchor="SENTENCIA_1992_65" w:history="1">
        <w:r w:rsidRPr="003104DF">
          <w:rPr>
            <w:rStyle w:val="TextoNormalCaracter"/>
          </w:rPr>
          <w:t>65/1992</w:t>
        </w:r>
      </w:hyperlink>
      <w:r w:rsidRPr="003104DF">
        <w:rPr>
          <w:rStyle w:val="TextoNormalCaracter"/>
        </w:rPr>
        <w:t>, ff. 1, 2, 3, 4.</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27" w:history="1">
        <w:r w:rsidRPr="003104DF">
          <w:rPr>
            <w:rStyle w:val="TextoNormalCaracter"/>
          </w:rPr>
          <w:t>27/1992</w:t>
        </w:r>
      </w:hyperlink>
      <w:r w:rsidRPr="003104DF">
        <w:rPr>
          <w:rStyle w:val="TextoNormalCaracter"/>
        </w:rPr>
        <w:t xml:space="preserve">; </w:t>
      </w:r>
      <w:hyperlink w:anchor="AUTO_1992_37" w:history="1">
        <w:r w:rsidRPr="003104DF">
          <w:rPr>
            <w:rStyle w:val="TextoNormalCaracter"/>
          </w:rPr>
          <w:t>37/1992</w:t>
        </w:r>
      </w:hyperlink>
      <w:r w:rsidRPr="003104DF">
        <w:rPr>
          <w:rStyle w:val="TextoNormalCaracter"/>
        </w:rPr>
        <w:t xml:space="preserve">; </w:t>
      </w:r>
      <w:hyperlink w:anchor="AUTO_1992_50" w:history="1">
        <w:r w:rsidRPr="003104DF">
          <w:rPr>
            <w:rStyle w:val="TextoNormalCaracter"/>
          </w:rPr>
          <w:t>50/1992</w:t>
        </w:r>
      </w:hyperlink>
      <w:r w:rsidRPr="003104DF">
        <w:rPr>
          <w:rStyle w:val="TextoNormalCaracter"/>
        </w:rPr>
        <w:t xml:space="preserve">; </w:t>
      </w:r>
      <w:hyperlink w:anchor="AUTO_1992_93" w:history="1">
        <w:r w:rsidRPr="003104DF">
          <w:rPr>
            <w:rStyle w:val="TextoNormalCaracter"/>
          </w:rPr>
          <w:t>93/1992</w:t>
        </w:r>
      </w:hyperlink>
      <w:r w:rsidRPr="003104DF">
        <w:rPr>
          <w:rStyle w:val="TextoNormalCaracter"/>
        </w:rPr>
        <w:t xml:space="preserve">; </w:t>
      </w:r>
      <w:hyperlink w:anchor="AUTO_1992_108" w:history="1">
        <w:r w:rsidRPr="003104DF">
          <w:rPr>
            <w:rStyle w:val="TextoNormalCaracter"/>
          </w:rPr>
          <w:t>108/1992</w:t>
        </w:r>
      </w:hyperlink>
      <w:r w:rsidRPr="003104DF">
        <w:rPr>
          <w:rStyle w:val="TextoNormalCaracter"/>
        </w:rPr>
        <w:t>.</w:t>
      </w:r>
    </w:p>
    <w:p w:rsidR="003104DF" w:rsidRPr="003104DF" w:rsidRDefault="003104DF" w:rsidP="003104DF">
      <w:pPr>
        <w:pStyle w:val="TextoNormalSangraFrancesa"/>
        <w:rPr>
          <w:rStyle w:val="TextoNormalCaracter"/>
        </w:rPr>
      </w:pPr>
      <w:bookmarkStart w:id="746" w:name="DESCRIPTORALFABETICO72"/>
      <w:r w:rsidRPr="003104DF">
        <w:rPr>
          <w:rStyle w:val="TextoNormalNegritaCaracter"/>
        </w:rPr>
        <w:t>Derecho a la tutela judicial sin indefensión</w:t>
      </w:r>
      <w:bookmarkEnd w:id="746"/>
      <w:r w:rsidRPr="003104DF">
        <w:rPr>
          <w:rStyle w:val="TextoNormalCaracter"/>
        </w:rPr>
        <w:t xml:space="preserve">, Sentencia </w:t>
      </w:r>
      <w:hyperlink w:anchor="SENTENCIA_1992_22" w:history="1">
        <w:r w:rsidRPr="003104DF">
          <w:rPr>
            <w:rStyle w:val="TextoNormalCaracter"/>
          </w:rPr>
          <w:t>22/1992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01" w:history="1">
        <w:r w:rsidRPr="003104DF">
          <w:rPr>
            <w:rStyle w:val="TextoNormalCaracter"/>
          </w:rPr>
          <w:t>101/1992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47" w:history="1">
        <w:r w:rsidRPr="003104DF">
          <w:rPr>
            <w:rStyle w:val="TextoNormalCaracter"/>
          </w:rPr>
          <w:t>47/1992</w:t>
        </w:r>
      </w:hyperlink>
      <w:r w:rsidRPr="003104DF">
        <w:rPr>
          <w:rStyle w:val="TextoNormalCaracter"/>
        </w:rPr>
        <w:t>, f. 2.</w:t>
      </w:r>
    </w:p>
    <w:p w:rsidR="003104DF" w:rsidRPr="003104DF" w:rsidRDefault="003104DF" w:rsidP="003104DF">
      <w:pPr>
        <w:pStyle w:val="TextoNormalSangraFrancesa"/>
        <w:rPr>
          <w:rStyle w:val="TextoNormalCaracter"/>
        </w:rPr>
      </w:pPr>
      <w:bookmarkStart w:id="747" w:name="DESCRIPTORALFABETICO35"/>
      <w:r w:rsidRPr="003104DF">
        <w:rPr>
          <w:rStyle w:val="TextoNormalNegritaCaracter"/>
        </w:rPr>
        <w:t>Derecho a permanecer en los cargos públicos</w:t>
      </w:r>
      <w:bookmarkEnd w:id="747"/>
      <w:r w:rsidRPr="003104DF">
        <w:rPr>
          <w:rStyle w:val="TextoNormalCaracter"/>
        </w:rPr>
        <w:t xml:space="preserve">, Sentencias </w:t>
      </w:r>
      <w:hyperlink w:anchor="SENTENCIA_1992_7" w:history="1">
        <w:r w:rsidRPr="003104DF">
          <w:rPr>
            <w:rStyle w:val="TextoNormalCaracter"/>
          </w:rPr>
          <w:t>7/1992</w:t>
        </w:r>
      </w:hyperlink>
      <w:r w:rsidRPr="003104DF">
        <w:rPr>
          <w:rStyle w:val="TextoNormalCaracter"/>
        </w:rPr>
        <w:t xml:space="preserve">, ff. 2, 3; </w:t>
      </w:r>
      <w:hyperlink w:anchor="SENTENCIA_1992_15" w:history="1">
        <w:r w:rsidRPr="003104DF">
          <w:rPr>
            <w:rStyle w:val="TextoNormalCaracter"/>
          </w:rPr>
          <w:t>15/1992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4" w:history="1">
        <w:r w:rsidRPr="003104DF">
          <w:rPr>
            <w:rStyle w:val="TextoNormalCaracter"/>
          </w:rPr>
          <w:t>4/1992</w:t>
        </w:r>
      </w:hyperlink>
      <w:r w:rsidRPr="003104DF">
        <w:rPr>
          <w:rStyle w:val="TextoNormalCaracter"/>
        </w:rPr>
        <w:t>.</w:t>
      </w:r>
    </w:p>
    <w:p w:rsidR="003104DF" w:rsidRPr="003104DF" w:rsidRDefault="003104DF" w:rsidP="003104DF">
      <w:pPr>
        <w:pStyle w:val="TextoNormalSangraFrancesa"/>
        <w:rPr>
          <w:rStyle w:val="TextoNormalCaracter"/>
        </w:rPr>
      </w:pPr>
      <w:bookmarkStart w:id="748" w:name="DESCRIPTORALFABETICO87"/>
      <w:r w:rsidRPr="003104DF">
        <w:rPr>
          <w:rStyle w:val="TextoNormalNegritaCaracter"/>
        </w:rPr>
        <w:t>Derecho a ser informado de la acusación</w:t>
      </w:r>
      <w:bookmarkEnd w:id="748"/>
      <w:r w:rsidRPr="003104DF">
        <w:rPr>
          <w:rStyle w:val="TextoNormalCaracter"/>
        </w:rPr>
        <w:t xml:space="preserve">, Sentencia </w:t>
      </w:r>
      <w:hyperlink w:anchor="SENTENCIA_1992_11" w:history="1">
        <w:r w:rsidRPr="003104DF">
          <w:rPr>
            <w:rStyle w:val="TextoNormalCaracter"/>
          </w:rPr>
          <w:t>11/1992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Alcance, </w:t>
      </w:r>
      <w:r w:rsidRPr="003104DF">
        <w:rPr>
          <w:rStyle w:val="TextoNormalCaracter"/>
        </w:rPr>
        <w:t xml:space="preserve">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11" w:history="1">
        <w:r w:rsidRPr="003104DF">
          <w:rPr>
            <w:rStyle w:val="TextoNormalCaracter"/>
          </w:rPr>
          <w:t>11/1992</w:t>
        </w:r>
      </w:hyperlink>
      <w:r w:rsidRPr="003104DF">
        <w:rPr>
          <w:rStyle w:val="TextoNormalCaracter"/>
        </w:rPr>
        <w:t>, f. 3.</w:t>
      </w:r>
    </w:p>
    <w:p w:rsidR="003104DF" w:rsidRPr="003104DF" w:rsidRDefault="003104DF" w:rsidP="003104DF">
      <w:pPr>
        <w:pStyle w:val="TextoNormalSangraFrancesa"/>
        <w:rPr>
          <w:rStyle w:val="TextoNormalCaracter"/>
        </w:rPr>
      </w:pPr>
      <w:bookmarkStart w:id="749" w:name="DESCRIPTORALFABETICO80"/>
      <w:r w:rsidRPr="003104DF">
        <w:rPr>
          <w:rStyle w:val="TextoNormalNegritaCaracter"/>
        </w:rPr>
        <w:lastRenderedPageBreak/>
        <w:t>Derecho a un proceso con todas las garantías</w:t>
      </w:r>
      <w:bookmarkEnd w:id="749"/>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4.</w:t>
      </w:r>
    </w:p>
    <w:p w:rsidR="003104DF" w:rsidRPr="003104DF" w:rsidRDefault="003104DF" w:rsidP="003104DF">
      <w:pPr>
        <w:pStyle w:val="TextoNormalSangraFrancesa"/>
        <w:rPr>
          <w:rStyle w:val="TextoNormalCaracter"/>
        </w:rPr>
      </w:pPr>
      <w:bookmarkStart w:id="750" w:name="DESCRIPTORALFABETICO88"/>
      <w:r w:rsidRPr="003104DF">
        <w:rPr>
          <w:rStyle w:val="TextoNormalNegritaCaracter"/>
        </w:rPr>
        <w:t>Derecho a un proceso público</w:t>
      </w:r>
      <w:bookmarkEnd w:id="750"/>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ff. 1, 2, 3, 4.</w:t>
      </w:r>
    </w:p>
    <w:p w:rsidR="003104DF" w:rsidRPr="003104DF" w:rsidRDefault="003104DF" w:rsidP="003104DF">
      <w:pPr>
        <w:pStyle w:val="TextoNormalSangraFrancesa"/>
        <w:rPr>
          <w:rStyle w:val="TextoNormalNegritaCaracter"/>
        </w:rPr>
      </w:pPr>
      <w:r w:rsidRPr="003104DF">
        <w:rPr>
          <w:rStyle w:val="TextoNormalCursivaCaracter"/>
        </w:rPr>
        <w:t>Derecho a utilizar los medios de prueba pertinentes</w:t>
      </w:r>
      <w:r>
        <w:t xml:space="preserve"> véase </w:t>
      </w:r>
      <w:hyperlink w:anchor="DESCRIPTORALFABETICO85" w:history="1">
        <w:r w:rsidRPr="003104DF">
          <w:rPr>
            <w:rStyle w:val="TextoNormalNegritaCaracter"/>
          </w:rPr>
          <w:t>Derecho a la prueba</w:t>
        </w:r>
      </w:hyperlink>
    </w:p>
    <w:p w:rsidR="003104DF" w:rsidRPr="003104DF" w:rsidRDefault="003104DF" w:rsidP="003104DF">
      <w:pPr>
        <w:pStyle w:val="TextoNormalSangraFrancesa"/>
        <w:rPr>
          <w:rStyle w:val="TextoNormalCaracter"/>
        </w:rPr>
      </w:pPr>
      <w:bookmarkStart w:id="751" w:name="DESCRIPTORALFABETICO94"/>
      <w:r w:rsidRPr="003104DF">
        <w:rPr>
          <w:rStyle w:val="TextoNormalNegritaCaracter"/>
        </w:rPr>
        <w:t>Derecho al honor</w:t>
      </w:r>
      <w:bookmarkEnd w:id="751"/>
      <w:r w:rsidRPr="003104DF">
        <w:rPr>
          <w:rStyle w:val="TextoNormalCaracter"/>
        </w:rPr>
        <w:t xml:space="preserve">, Autos </w:t>
      </w:r>
      <w:hyperlink w:anchor="AUTO_1992_17" w:history="1">
        <w:r w:rsidRPr="003104DF">
          <w:rPr>
            <w:rStyle w:val="TextoNormalCaracter"/>
          </w:rPr>
          <w:t>17/1992</w:t>
        </w:r>
      </w:hyperlink>
      <w:r w:rsidRPr="003104DF">
        <w:rPr>
          <w:rStyle w:val="TextoNormalCaracter"/>
        </w:rPr>
        <w:t xml:space="preserve">;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Caracter"/>
        </w:rPr>
      </w:pPr>
      <w:bookmarkStart w:id="752" w:name="DESCRIPTORALFABETICO91"/>
      <w:r w:rsidRPr="003104DF">
        <w:rPr>
          <w:rStyle w:val="TextoNormalNegritaCaracter"/>
        </w:rPr>
        <w:t>Derecho al juez legal</w:t>
      </w:r>
      <w:bookmarkEnd w:id="752"/>
      <w:r w:rsidRPr="003104DF">
        <w:rPr>
          <w:rStyle w:val="TextoNormalCaracter"/>
        </w:rPr>
        <w:t xml:space="preserve">, Auto </w:t>
      </w:r>
      <w:hyperlink w:anchor="AUTO_1992_61" w:history="1">
        <w:r w:rsidRPr="003104DF">
          <w:rPr>
            <w:rStyle w:val="TextoNormalCaracter"/>
          </w:rPr>
          <w:t>61/1992</w:t>
        </w:r>
      </w:hyperlink>
      <w:r w:rsidRPr="003104DF">
        <w:rPr>
          <w:rStyle w:val="TextoNormalCaracter"/>
        </w:rPr>
        <w:t>.</w:t>
      </w:r>
    </w:p>
    <w:p w:rsidR="003104DF" w:rsidRPr="003104DF" w:rsidRDefault="003104DF" w:rsidP="003104DF">
      <w:pPr>
        <w:pStyle w:val="TextoNormalSangraFrancesa"/>
        <w:rPr>
          <w:rStyle w:val="TextoNormalCaracter"/>
        </w:rPr>
      </w:pPr>
      <w:bookmarkStart w:id="753" w:name="DESCRIPTORALFABETICO59"/>
      <w:r w:rsidRPr="003104DF">
        <w:rPr>
          <w:rStyle w:val="TextoNormalNegritaCaracter"/>
        </w:rPr>
        <w:t>Derecho al recurso legal</w:t>
      </w:r>
      <w:bookmarkEnd w:id="753"/>
      <w:r w:rsidRPr="003104DF">
        <w:rPr>
          <w:rStyle w:val="TextoNormalCaracter"/>
        </w:rPr>
        <w:t xml:space="preserve">, Sentencia </w:t>
      </w:r>
      <w:hyperlink w:anchor="SENTENCIA_1992_54" w:history="1">
        <w:r w:rsidRPr="003104DF">
          <w:rPr>
            <w:rStyle w:val="TextoNormalCaracter"/>
          </w:rPr>
          <w:t>54/1992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73" w:history="1">
        <w:r w:rsidRPr="003104DF">
          <w:rPr>
            <w:rStyle w:val="TextoNormalCaracter"/>
          </w:rPr>
          <w:t>73/1992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23" w:history="1">
        <w:r w:rsidRPr="003104DF">
          <w:rPr>
            <w:rStyle w:val="TextoNormalCaracter"/>
          </w:rPr>
          <w:t>23/1992</w:t>
        </w:r>
      </w:hyperlink>
      <w:r w:rsidRPr="003104DF">
        <w:rPr>
          <w:rStyle w:val="TextoNormalCaracter"/>
        </w:rPr>
        <w:t>, f. 2.</w:t>
      </w:r>
    </w:p>
    <w:p w:rsidR="003104DF" w:rsidRPr="003104DF" w:rsidRDefault="003104DF" w:rsidP="003104DF">
      <w:pPr>
        <w:pStyle w:val="TextoNormalSangraFrancesa"/>
        <w:rPr>
          <w:rStyle w:val="TextoNormalCaracter"/>
        </w:rPr>
      </w:pPr>
      <w:bookmarkStart w:id="754" w:name="DESCRIPTORALFABETICO278"/>
      <w:r w:rsidRPr="003104DF">
        <w:rPr>
          <w:rStyle w:val="TextoNormalNegritaCaracter"/>
        </w:rPr>
        <w:t>Derecho de audiencia de los delegados sindicales</w:t>
      </w:r>
      <w:bookmarkEnd w:id="754"/>
      <w:r w:rsidRPr="003104DF">
        <w:rPr>
          <w:rStyle w:val="TextoNormalCaracter"/>
        </w:rPr>
        <w:t xml:space="preserve">, Sentencia </w:t>
      </w:r>
      <w:hyperlink w:anchor="SENTENCIA_1992_30" w:history="1">
        <w:r w:rsidRPr="003104DF">
          <w:rPr>
            <w:rStyle w:val="TextoNormalCaracter"/>
          </w:rPr>
          <w:t>30/1992</w:t>
        </w:r>
      </w:hyperlink>
      <w:r w:rsidRPr="003104DF">
        <w:rPr>
          <w:rStyle w:val="TextoNormalCaracter"/>
        </w:rPr>
        <w:t>, f. 4.</w:t>
      </w:r>
    </w:p>
    <w:p w:rsidR="003104DF" w:rsidRPr="003104DF" w:rsidRDefault="003104DF" w:rsidP="003104DF">
      <w:pPr>
        <w:pStyle w:val="TextoNormalSangraFrancesa"/>
        <w:rPr>
          <w:rStyle w:val="TextoNormalCaracter"/>
        </w:rPr>
      </w:pPr>
      <w:bookmarkStart w:id="755" w:name="DESCRIPTORALFABETICO25"/>
      <w:r w:rsidRPr="003104DF">
        <w:rPr>
          <w:rStyle w:val="TextoNormalNegritaCaracter"/>
        </w:rPr>
        <w:t>Derecho electoral</w:t>
      </w:r>
      <w:bookmarkEnd w:id="755"/>
      <w:r w:rsidRPr="003104DF">
        <w:rPr>
          <w:rStyle w:val="TextoNormalCaracter"/>
        </w:rPr>
        <w:t xml:space="preserve">, Sentencia </w:t>
      </w:r>
      <w:hyperlink w:anchor="SENTENCIA_1992_45" w:history="1">
        <w:r w:rsidRPr="003104DF">
          <w:rPr>
            <w:rStyle w:val="TextoNormalCaracter"/>
          </w:rPr>
          <w:t>45/1992</w:t>
        </w:r>
      </w:hyperlink>
      <w:r w:rsidRPr="003104DF">
        <w:rPr>
          <w:rStyle w:val="TextoNormalCaracter"/>
        </w:rPr>
        <w:t>, f. 4.</w:t>
      </w:r>
    </w:p>
    <w:p w:rsidR="003104DF" w:rsidRPr="003104DF" w:rsidRDefault="003104DF" w:rsidP="003104DF">
      <w:pPr>
        <w:pStyle w:val="TextoNormalSangraFrancesa"/>
        <w:rPr>
          <w:rStyle w:val="TextoNormalNegritaCaracter"/>
        </w:rPr>
      </w:pPr>
      <w:r w:rsidRPr="003104DF">
        <w:rPr>
          <w:rStyle w:val="TextoNormalCursivaCaracter"/>
        </w:rPr>
        <w:t>Derechos &lt;em&gt;ex lege&lt;/em&gt;</w:t>
      </w:r>
      <w:r>
        <w:t xml:space="preserve"> véase </w:t>
      </w:r>
      <w:hyperlink w:anchor="DESCRIPTORALFABETICO97" w:history="1">
        <w:r w:rsidRPr="003104DF">
          <w:rPr>
            <w:rStyle w:val="TextoNormalNegritaCaracter"/>
          </w:rPr>
          <w:t>Derechos de configuración legal</w:t>
        </w:r>
      </w:hyperlink>
    </w:p>
    <w:p w:rsidR="003104DF" w:rsidRPr="003104DF" w:rsidRDefault="003104DF" w:rsidP="003104DF">
      <w:pPr>
        <w:pStyle w:val="TextoNormalSangraFrancesa"/>
        <w:rPr>
          <w:rStyle w:val="TextoNormalCaracter"/>
        </w:rPr>
      </w:pPr>
      <w:bookmarkStart w:id="756" w:name="DESCRIPTORALFABETICO263"/>
      <w:r w:rsidRPr="003104DF">
        <w:rPr>
          <w:rStyle w:val="TextoNormalNegritaCaracter"/>
        </w:rPr>
        <w:t>Derechos adquiridos</w:t>
      </w:r>
      <w:bookmarkEnd w:id="756"/>
      <w:r w:rsidRPr="003104DF">
        <w:rPr>
          <w:rStyle w:val="TextoNormalCaracter"/>
        </w:rPr>
        <w:t xml:space="preserve">, Auto </w:t>
      </w:r>
      <w:hyperlink w:anchor="AUTO_1992_24" w:history="1">
        <w:r w:rsidRPr="003104DF">
          <w:rPr>
            <w:rStyle w:val="TextoNormalCaracter"/>
          </w:rPr>
          <w:t>24/1992</w:t>
        </w:r>
      </w:hyperlink>
      <w:r w:rsidRPr="003104DF">
        <w:rPr>
          <w:rStyle w:val="TextoNormalCaracter"/>
        </w:rPr>
        <w:t>.</w:t>
      </w:r>
    </w:p>
    <w:p w:rsidR="003104DF" w:rsidRPr="003104DF" w:rsidRDefault="003104DF" w:rsidP="003104DF">
      <w:pPr>
        <w:pStyle w:val="TextoNormalSangraFrancesa"/>
        <w:rPr>
          <w:rStyle w:val="TextoNormalCaracter"/>
        </w:rPr>
      </w:pPr>
      <w:bookmarkStart w:id="757" w:name="DESCRIPTORALFABETICO97"/>
      <w:r w:rsidRPr="003104DF">
        <w:rPr>
          <w:rStyle w:val="TextoNormalNegritaCaracter"/>
        </w:rPr>
        <w:t>Derechos de configuración legal</w:t>
      </w:r>
      <w:bookmarkEnd w:id="757"/>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73" w:history="1">
        <w:r w:rsidRPr="003104DF">
          <w:rPr>
            <w:rStyle w:val="TextoNormalCaracter"/>
          </w:rPr>
          <w:t>73/1992</w:t>
        </w:r>
      </w:hyperlink>
      <w:r w:rsidRPr="003104DF">
        <w:rPr>
          <w:rStyle w:val="TextoNormalCaracter"/>
        </w:rPr>
        <w:t>.</w:t>
      </w:r>
    </w:p>
    <w:p w:rsidR="003104DF" w:rsidRPr="003104DF" w:rsidRDefault="003104DF" w:rsidP="003104DF">
      <w:pPr>
        <w:pStyle w:val="TextoNormalSangraFrancesa"/>
        <w:rPr>
          <w:rStyle w:val="TextoNormalCaracter"/>
        </w:rPr>
      </w:pPr>
      <w:bookmarkStart w:id="758" w:name="DESCRIPTORALFABETICO33"/>
      <w:r w:rsidRPr="003104DF">
        <w:rPr>
          <w:rStyle w:val="TextoNormalNegritaCaracter"/>
        </w:rPr>
        <w:t>Derechos de los titulares de cargos públicos de representación política</w:t>
      </w:r>
      <w:bookmarkEnd w:id="758"/>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 3.</w:t>
      </w:r>
    </w:p>
    <w:p w:rsidR="003104DF" w:rsidRPr="003104DF" w:rsidRDefault="003104DF" w:rsidP="003104DF">
      <w:pPr>
        <w:pStyle w:val="TextoNormalSangraFrancesa"/>
        <w:rPr>
          <w:rStyle w:val="TextoNormalCaracter"/>
        </w:rPr>
      </w:pPr>
      <w:bookmarkStart w:id="759" w:name="DESCRIPTORALFABETICO238"/>
      <w:r w:rsidRPr="003104DF">
        <w:rPr>
          <w:rStyle w:val="TextoNormalNegritaCaracter"/>
        </w:rPr>
        <w:t>Derechos pasivos</w:t>
      </w:r>
      <w:bookmarkEnd w:id="759"/>
      <w:r w:rsidRPr="003104DF">
        <w:rPr>
          <w:rStyle w:val="TextoNormalCaracter"/>
        </w:rPr>
        <w:t xml:space="preserve">, Sentencia </w:t>
      </w:r>
      <w:hyperlink w:anchor="SENTENCIA_1992_5" w:history="1">
        <w:r w:rsidRPr="003104DF">
          <w:rPr>
            <w:rStyle w:val="TextoNormalCaracter"/>
          </w:rPr>
          <w:t>5/1992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760" w:name="DESCRIPTORALFABETICO292"/>
      <w:r w:rsidRPr="003104DF">
        <w:rPr>
          <w:rStyle w:val="TextoNormalNegritaCaracter"/>
        </w:rPr>
        <w:t>Desalojo de vivienda</w:t>
      </w:r>
      <w:bookmarkEnd w:id="760"/>
      <w:r w:rsidRPr="003104DF">
        <w:rPr>
          <w:rStyle w:val="TextoNormalCaracter"/>
        </w:rPr>
        <w:t xml:space="preserve">, Auto </w:t>
      </w:r>
      <w:hyperlink w:anchor="AUTO_1992_85" w:history="1">
        <w:r w:rsidRPr="003104DF">
          <w:rPr>
            <w:rStyle w:val="TextoNormalCaracter"/>
          </w:rPr>
          <w:t>85/1992</w:t>
        </w:r>
      </w:hyperlink>
      <w:r w:rsidRPr="003104DF">
        <w:rPr>
          <w:rStyle w:val="TextoNormalCaracter"/>
        </w:rPr>
        <w:t>.</w:t>
      </w:r>
    </w:p>
    <w:p w:rsidR="003104DF" w:rsidRPr="003104DF" w:rsidRDefault="003104DF" w:rsidP="003104DF">
      <w:pPr>
        <w:pStyle w:val="TextoNormalSangraFrancesa"/>
        <w:rPr>
          <w:rStyle w:val="TextoNormalCaracter"/>
        </w:rPr>
      </w:pPr>
      <w:bookmarkStart w:id="761" w:name="DESCRIPTORALFABETICO356"/>
      <w:r w:rsidRPr="003104DF">
        <w:rPr>
          <w:rStyle w:val="TextoNormalNegritaCaracter"/>
        </w:rPr>
        <w:t>Desestimación de incidente de nulidad de actuaciones</w:t>
      </w:r>
      <w:bookmarkEnd w:id="761"/>
      <w:r w:rsidRPr="003104DF">
        <w:rPr>
          <w:rStyle w:val="TextoNormalCaracter"/>
        </w:rPr>
        <w:t xml:space="preserve">, Autos </w:t>
      </w:r>
      <w:hyperlink w:anchor="AUTO_1992_6" w:history="1">
        <w:r w:rsidRPr="003104DF">
          <w:rPr>
            <w:rStyle w:val="TextoNormalCaracter"/>
          </w:rPr>
          <w:t>6/1992</w:t>
        </w:r>
      </w:hyperlink>
      <w:r w:rsidRPr="003104DF">
        <w:rPr>
          <w:rStyle w:val="TextoNormalCaracter"/>
        </w:rPr>
        <w:t xml:space="preserve">; </w:t>
      </w:r>
      <w:hyperlink w:anchor="AUTO_1992_13" w:history="1">
        <w:r w:rsidRPr="003104DF">
          <w:rPr>
            <w:rStyle w:val="TextoNormalCaracter"/>
          </w:rPr>
          <w:t>13/1992</w:t>
        </w:r>
      </w:hyperlink>
      <w:r w:rsidRPr="003104DF">
        <w:rPr>
          <w:rStyle w:val="TextoNormalCaracter"/>
        </w:rPr>
        <w:t>.</w:t>
      </w:r>
    </w:p>
    <w:p w:rsidR="003104DF" w:rsidRPr="003104DF" w:rsidRDefault="003104DF" w:rsidP="003104DF">
      <w:pPr>
        <w:pStyle w:val="TextoNormalSangraFrancesa"/>
        <w:rPr>
          <w:rStyle w:val="TextoNormalCaracter"/>
        </w:rPr>
      </w:pPr>
      <w:bookmarkStart w:id="762" w:name="DESCRIPTORALFABETICO395"/>
      <w:r w:rsidRPr="003104DF">
        <w:rPr>
          <w:rStyle w:val="TextoNormalNegritaCaracter"/>
        </w:rPr>
        <w:t>Desestimación de recurso de apelación civil</w:t>
      </w:r>
      <w:bookmarkEnd w:id="762"/>
      <w:r w:rsidRPr="003104DF">
        <w:rPr>
          <w:rStyle w:val="TextoNormalCaracter"/>
        </w:rPr>
        <w:t xml:space="preserve">, Sentencia </w:t>
      </w:r>
      <w:hyperlink w:anchor="SENTENCIA_1992_31" w:history="1">
        <w:r w:rsidRPr="003104DF">
          <w:rPr>
            <w:rStyle w:val="TextoNormalCaracter"/>
          </w:rPr>
          <w:t>31/1992</w:t>
        </w:r>
      </w:hyperlink>
      <w:r w:rsidRPr="003104DF">
        <w:rPr>
          <w:rStyle w:val="TextoNormalCaracter"/>
        </w:rPr>
        <w:t>, ff. 1, 2, 3, 4.</w:t>
      </w:r>
    </w:p>
    <w:p w:rsidR="003104DF" w:rsidRPr="003104DF" w:rsidRDefault="003104DF" w:rsidP="003104DF">
      <w:pPr>
        <w:pStyle w:val="TextoNormalSangraFrancesa"/>
        <w:rPr>
          <w:rStyle w:val="TextoNormalCaracter"/>
        </w:rPr>
      </w:pPr>
      <w:bookmarkStart w:id="763" w:name="DESCRIPTORALFABETICO384"/>
      <w:r w:rsidRPr="003104DF">
        <w:rPr>
          <w:rStyle w:val="TextoNormalNegritaCaracter"/>
        </w:rPr>
        <w:t>Desestimación de recurso de súplica</w:t>
      </w:r>
      <w:bookmarkEnd w:id="763"/>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3.</w:t>
      </w:r>
    </w:p>
    <w:p w:rsidR="003104DF" w:rsidRPr="003104DF" w:rsidRDefault="003104DF" w:rsidP="003104DF">
      <w:pPr>
        <w:pStyle w:val="TextoNormalSangraFrancesa"/>
        <w:rPr>
          <w:rStyle w:val="TextoNormalCaracter"/>
        </w:rPr>
      </w:pPr>
      <w:bookmarkStart w:id="764" w:name="DESCRIPTORALFABETICO118"/>
      <w:r w:rsidRPr="003104DF">
        <w:rPr>
          <w:rStyle w:val="TextoNormalNegritaCaracter"/>
        </w:rPr>
        <w:t>Desestimación previa por el Tribunal Constitucional en idéntico supuesto</w:t>
      </w:r>
      <w:bookmarkEnd w:id="764"/>
      <w:r w:rsidRPr="003104DF">
        <w:rPr>
          <w:rStyle w:val="TextoNormalCaracter"/>
        </w:rPr>
        <w:t xml:space="preserve">, Sentencia </w:t>
      </w:r>
      <w:hyperlink w:anchor="SENTENCIA_1992_26" w:history="1">
        <w:r w:rsidRPr="003104DF">
          <w:rPr>
            <w:rStyle w:val="TextoNormalCaracter"/>
          </w:rPr>
          <w:t>26/1992</w:t>
        </w:r>
      </w:hyperlink>
      <w:r w:rsidRPr="003104DF">
        <w:rPr>
          <w:rStyle w:val="TextoNormalCaracter"/>
        </w:rPr>
        <w:t>, f. único.</w:t>
      </w:r>
    </w:p>
    <w:p w:rsidR="003104DF" w:rsidRPr="003104DF" w:rsidRDefault="003104DF" w:rsidP="003104DF">
      <w:pPr>
        <w:pStyle w:val="TextoNormalSangraFrancesa"/>
        <w:rPr>
          <w:rStyle w:val="TextoNormalCaracter"/>
        </w:rPr>
      </w:pPr>
      <w:r w:rsidRPr="003104DF">
        <w:rPr>
          <w:rStyle w:val="TextoNormalCursivaCaracter"/>
        </w:rPr>
        <w:t xml:space="preserve">    Procedencia, </w:t>
      </w:r>
      <w:r w:rsidRPr="003104DF">
        <w:rPr>
          <w:rStyle w:val="TextoNormalCaracter"/>
        </w:rPr>
        <w:t xml:space="preserve">Sentencia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83" w:history="1">
        <w:r w:rsidRPr="003104DF">
          <w:rPr>
            <w:rStyle w:val="TextoNormalCaracter"/>
          </w:rPr>
          <w:t>83/1992</w:t>
        </w:r>
      </w:hyperlink>
      <w:r w:rsidRPr="003104DF">
        <w:rPr>
          <w:rStyle w:val="TextoNormalCaracter"/>
        </w:rPr>
        <w:t>.</w:t>
      </w:r>
    </w:p>
    <w:p w:rsidR="003104DF" w:rsidRPr="003104DF" w:rsidRDefault="003104DF" w:rsidP="003104DF">
      <w:pPr>
        <w:pStyle w:val="TextoNormalSangraFrancesa"/>
        <w:rPr>
          <w:rStyle w:val="TextoNormalCaracter"/>
        </w:rPr>
      </w:pPr>
      <w:bookmarkStart w:id="765" w:name="DESCRIPTORALFABETICO63"/>
      <w:r w:rsidRPr="003104DF">
        <w:rPr>
          <w:rStyle w:val="TextoNormalNegritaCaracter"/>
        </w:rPr>
        <w:t>Desestimación tácita de la pretensión</w:t>
      </w:r>
      <w:bookmarkEnd w:id="765"/>
      <w:r w:rsidRPr="003104DF">
        <w:rPr>
          <w:rStyle w:val="TextoNormalCaracter"/>
        </w:rPr>
        <w:t xml:space="preserve">, Sentencia </w:t>
      </w:r>
      <w:hyperlink w:anchor="SENTENCIA_1992_2" w:history="1">
        <w:r w:rsidRPr="003104DF">
          <w:rPr>
            <w:rStyle w:val="TextoNormalCaracter"/>
          </w:rPr>
          <w:t>2/1992</w:t>
        </w:r>
      </w:hyperlink>
      <w:r w:rsidRPr="003104DF">
        <w:rPr>
          <w:rStyle w:val="TextoNormalCaracter"/>
        </w:rPr>
        <w:t>, f. 2.</w:t>
      </w:r>
    </w:p>
    <w:p w:rsidR="003104DF" w:rsidRPr="003104DF" w:rsidRDefault="003104DF" w:rsidP="003104DF">
      <w:pPr>
        <w:pStyle w:val="TextoNormalSangraFrancesa"/>
        <w:rPr>
          <w:rStyle w:val="TextoNormalCaracter"/>
        </w:rPr>
      </w:pPr>
      <w:bookmarkStart w:id="766" w:name="DESCRIPTORALFABETICO119"/>
      <w:r w:rsidRPr="003104DF">
        <w:rPr>
          <w:rStyle w:val="TextoNormalNegritaCaracter"/>
        </w:rPr>
        <w:t>Desistimiento en el conflicto positivo de competencia</w:t>
      </w:r>
      <w:bookmarkEnd w:id="766"/>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Procedencia, </w:t>
      </w:r>
      <w:r w:rsidRPr="003104DF">
        <w:rPr>
          <w:rStyle w:val="TextoNormalCaracter"/>
        </w:rPr>
        <w:t xml:space="preserve">Auto </w:t>
      </w:r>
      <w:hyperlink w:anchor="AUTO_1992_32" w:history="1">
        <w:r w:rsidRPr="003104DF">
          <w:rPr>
            <w:rStyle w:val="TextoNormalCaracter"/>
          </w:rPr>
          <w:t>32/1992</w:t>
        </w:r>
      </w:hyperlink>
      <w:r w:rsidRPr="003104DF">
        <w:rPr>
          <w:rStyle w:val="TextoNormalCaracter"/>
        </w:rPr>
        <w:t>.</w:t>
      </w:r>
    </w:p>
    <w:p w:rsidR="003104DF" w:rsidRPr="003104DF" w:rsidRDefault="003104DF" w:rsidP="003104DF">
      <w:pPr>
        <w:pStyle w:val="TextoNormalSangraFrancesa"/>
        <w:rPr>
          <w:rStyle w:val="TextoNormalCaracter"/>
        </w:rPr>
      </w:pPr>
      <w:bookmarkStart w:id="767" w:name="DESCRIPTORALFABETICO120"/>
      <w:r w:rsidRPr="003104DF">
        <w:rPr>
          <w:rStyle w:val="TextoNormalNegritaCaracter"/>
        </w:rPr>
        <w:t>Desistimiento en el recurso de amparo</w:t>
      </w:r>
      <w:bookmarkEnd w:id="767"/>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Procedencia, </w:t>
      </w:r>
      <w:r w:rsidRPr="003104DF">
        <w:rPr>
          <w:rStyle w:val="TextoNormalCaracter"/>
        </w:rPr>
        <w:t xml:space="preserve">Auto </w:t>
      </w:r>
      <w:hyperlink w:anchor="AUTO_1992_56" w:history="1">
        <w:r w:rsidRPr="003104DF">
          <w:rPr>
            <w:rStyle w:val="TextoNormalCaracter"/>
          </w:rPr>
          <w:t>56/1992</w:t>
        </w:r>
      </w:hyperlink>
      <w:r w:rsidRPr="003104DF">
        <w:rPr>
          <w:rStyle w:val="TextoNormalCaracter"/>
        </w:rPr>
        <w:t>.</w:t>
      </w:r>
    </w:p>
    <w:p w:rsidR="003104DF" w:rsidRPr="003104DF" w:rsidRDefault="003104DF" w:rsidP="003104DF">
      <w:pPr>
        <w:pStyle w:val="TextoNormalSangraFrancesa"/>
        <w:rPr>
          <w:rStyle w:val="TextoNormalCaracter"/>
        </w:rPr>
      </w:pPr>
      <w:bookmarkStart w:id="768" w:name="DESCRIPTORALFABETICO121"/>
      <w:r w:rsidRPr="003104DF">
        <w:rPr>
          <w:rStyle w:val="TextoNormalNegritaCaracter"/>
        </w:rPr>
        <w:t>Desistimiento parcial en el recurso de inconstitucionalidad</w:t>
      </w:r>
      <w:bookmarkEnd w:id="768"/>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Procedencia,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3.</w:t>
      </w:r>
    </w:p>
    <w:p w:rsidR="003104DF" w:rsidRPr="003104DF" w:rsidRDefault="003104DF" w:rsidP="003104DF">
      <w:pPr>
        <w:pStyle w:val="TextoNormalSangraFrancesa"/>
        <w:rPr>
          <w:rStyle w:val="TextoNormalCaracter"/>
        </w:rPr>
      </w:pPr>
      <w:bookmarkStart w:id="769" w:name="DESCRIPTORALFABETICO289"/>
      <w:r w:rsidRPr="003104DF">
        <w:rPr>
          <w:rStyle w:val="TextoNormalNegritaCaracter"/>
        </w:rPr>
        <w:t>Despido</w:t>
      </w:r>
      <w:bookmarkEnd w:id="769"/>
      <w:r w:rsidRPr="003104DF">
        <w:rPr>
          <w:rStyle w:val="TextoNormalCaracter"/>
        </w:rPr>
        <w:t xml:space="preserve">, Sentencias </w:t>
      </w:r>
      <w:hyperlink w:anchor="SENTENCIA_1992_21" w:history="1">
        <w:r w:rsidRPr="003104DF">
          <w:rPr>
            <w:rStyle w:val="TextoNormalCaracter"/>
          </w:rPr>
          <w:t>21/1992</w:t>
        </w:r>
      </w:hyperlink>
      <w:r w:rsidRPr="003104DF">
        <w:rPr>
          <w:rStyle w:val="TextoNormalCaracter"/>
        </w:rPr>
        <w:t xml:space="preserve">, ff. 2, 5; </w:t>
      </w:r>
      <w:hyperlink w:anchor="SENTENCIA_1992_30" w:history="1">
        <w:r w:rsidRPr="003104DF">
          <w:rPr>
            <w:rStyle w:val="TextoNormalCaracter"/>
          </w:rPr>
          <w:t>30/1992</w:t>
        </w:r>
      </w:hyperlink>
      <w:r w:rsidRPr="003104DF">
        <w:rPr>
          <w:rStyle w:val="TextoNormalCaracter"/>
        </w:rPr>
        <w:t xml:space="preserve">, ff. 4, 7; </w:t>
      </w:r>
      <w:hyperlink w:anchor="SENTENCIA_1992_61" w:history="1">
        <w:r w:rsidRPr="003104DF">
          <w:rPr>
            <w:rStyle w:val="TextoNormalCaracter"/>
          </w:rPr>
          <w:t>61/1992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08" w:history="1">
        <w:r w:rsidRPr="003104DF">
          <w:rPr>
            <w:rStyle w:val="TextoNormalCaracter"/>
          </w:rPr>
          <w:t>108/1992</w:t>
        </w:r>
      </w:hyperlink>
      <w:r w:rsidRPr="003104DF">
        <w:rPr>
          <w:rStyle w:val="TextoNormalCaracter"/>
        </w:rPr>
        <w:t>.</w:t>
      </w:r>
    </w:p>
    <w:p w:rsidR="003104DF" w:rsidRPr="003104DF" w:rsidRDefault="003104DF" w:rsidP="003104DF">
      <w:pPr>
        <w:pStyle w:val="TextoNormalSangraFrancesa"/>
        <w:rPr>
          <w:rStyle w:val="TextoNormalCaracter"/>
        </w:rPr>
      </w:pPr>
      <w:bookmarkStart w:id="770" w:name="DESCRIPTORALFABETICO290"/>
      <w:r w:rsidRPr="003104DF">
        <w:rPr>
          <w:rStyle w:val="TextoNormalNegritaCaracter"/>
        </w:rPr>
        <w:t>Despido no discriminatorio</w:t>
      </w:r>
      <w:bookmarkEnd w:id="770"/>
      <w:r w:rsidRPr="003104DF">
        <w:rPr>
          <w:rStyle w:val="TextoNormalCaracter"/>
        </w:rPr>
        <w:t xml:space="preserve">, Sentencia </w:t>
      </w:r>
      <w:hyperlink w:anchor="SENTENCIA_1992_21" w:history="1">
        <w:r w:rsidRPr="003104DF">
          <w:rPr>
            <w:rStyle w:val="TextoNormalCaracter"/>
          </w:rPr>
          <w:t>21/1992</w:t>
        </w:r>
      </w:hyperlink>
      <w:r w:rsidRPr="003104DF">
        <w:rPr>
          <w:rStyle w:val="TextoNormalCaracter"/>
        </w:rPr>
        <w:t>, f. 5.</w:t>
      </w:r>
    </w:p>
    <w:p w:rsidR="003104DF" w:rsidRPr="003104DF" w:rsidRDefault="003104DF" w:rsidP="003104DF">
      <w:pPr>
        <w:pStyle w:val="TextoNormalSangraFrancesa"/>
        <w:rPr>
          <w:rStyle w:val="TextoNormalCaracter"/>
        </w:rPr>
      </w:pPr>
      <w:bookmarkStart w:id="771" w:name="DESCRIPTORALFABETICO242"/>
      <w:r w:rsidRPr="003104DF">
        <w:rPr>
          <w:rStyle w:val="TextoNormalNegritaCaracter"/>
        </w:rPr>
        <w:t>Diferencias retributivas entre empleados públicos</w:t>
      </w:r>
      <w:bookmarkEnd w:id="771"/>
      <w:r w:rsidRPr="003104DF">
        <w:rPr>
          <w:rStyle w:val="TextoNormalCaracter"/>
        </w:rPr>
        <w:t xml:space="preserve">, Sentencia </w:t>
      </w:r>
      <w:hyperlink w:anchor="SENTENCIA_1992_48" w:history="1">
        <w:r w:rsidRPr="003104DF">
          <w:rPr>
            <w:rStyle w:val="TextoNormalCaracter"/>
          </w:rPr>
          <w:t>48/1992</w:t>
        </w:r>
      </w:hyperlink>
      <w:r w:rsidRPr="003104DF">
        <w:rPr>
          <w:rStyle w:val="TextoNormalCaracter"/>
        </w:rPr>
        <w:t>, ff. 1, 2, 3, 4.</w:t>
      </w:r>
    </w:p>
    <w:p w:rsidR="003104DF" w:rsidRPr="003104DF" w:rsidRDefault="003104DF" w:rsidP="003104DF">
      <w:pPr>
        <w:pStyle w:val="TextoNormalSangraFrancesa"/>
        <w:rPr>
          <w:rStyle w:val="TextoNormalCaracter"/>
        </w:rPr>
      </w:pPr>
      <w:bookmarkStart w:id="772" w:name="DESCRIPTORALFABETICO327"/>
      <w:r w:rsidRPr="003104DF">
        <w:rPr>
          <w:rStyle w:val="TextoNormalNegritaCaracter"/>
        </w:rPr>
        <w:t>Diligencia procesal de la parte</w:t>
      </w:r>
      <w:bookmarkEnd w:id="772"/>
      <w:r w:rsidRPr="003104DF">
        <w:rPr>
          <w:rStyle w:val="TextoNormalCaracter"/>
        </w:rPr>
        <w:t xml:space="preserve">, Auto </w:t>
      </w:r>
      <w:hyperlink w:anchor="AUTO_1992_101" w:history="1">
        <w:r w:rsidRPr="003104DF">
          <w:rPr>
            <w:rStyle w:val="TextoNormalCaracter"/>
          </w:rPr>
          <w:t>101/1992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Diligencia procesal de la parte</w:t>
      </w:r>
      <w:r>
        <w:t xml:space="preserve"> véase </w:t>
      </w:r>
      <w:hyperlink w:anchor="DESCRIPTORALFABETICO327" w:history="1">
        <w:r w:rsidRPr="003104DF">
          <w:rPr>
            <w:rStyle w:val="TextoNormalNegritaCaracter"/>
          </w:rPr>
          <w:t>Diligencia procesal de la parte</w:t>
        </w:r>
      </w:hyperlink>
    </w:p>
    <w:p w:rsidR="003104DF" w:rsidRPr="003104DF" w:rsidRDefault="003104DF" w:rsidP="003104DF">
      <w:pPr>
        <w:pStyle w:val="TextoNormalSangraFrancesa"/>
        <w:rPr>
          <w:rStyle w:val="TextoNormalCaracter"/>
        </w:rPr>
      </w:pPr>
      <w:bookmarkStart w:id="773" w:name="DESCRIPTORALFABETICO413"/>
      <w:r w:rsidRPr="003104DF">
        <w:rPr>
          <w:rStyle w:val="TextoNormalNegritaCaracter"/>
        </w:rPr>
        <w:t>Diligencias sumariales</w:t>
      </w:r>
      <w:bookmarkEnd w:id="773"/>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1" w:history="1">
        <w:r w:rsidRPr="003104DF">
          <w:rPr>
            <w:rStyle w:val="TextoNormalCaracter"/>
          </w:rPr>
          <w:t>51/1992</w:t>
        </w:r>
      </w:hyperlink>
      <w:r w:rsidRPr="003104DF">
        <w:rPr>
          <w:rStyle w:val="TextoNormalCaracter"/>
        </w:rPr>
        <w:t xml:space="preserve">; </w:t>
      </w:r>
      <w:hyperlink w:anchor="AUTO_1992_83" w:history="1">
        <w:r w:rsidRPr="003104DF">
          <w:rPr>
            <w:rStyle w:val="TextoNormalCaracter"/>
          </w:rPr>
          <w:t>83/1992</w:t>
        </w:r>
      </w:hyperlink>
      <w:r w:rsidRPr="003104DF">
        <w:rPr>
          <w:rStyle w:val="TextoNormalCaracter"/>
        </w:rPr>
        <w:t>.</w:t>
      </w:r>
    </w:p>
    <w:p w:rsidR="003104DF" w:rsidRPr="003104DF" w:rsidRDefault="003104DF" w:rsidP="003104DF">
      <w:pPr>
        <w:pStyle w:val="TextoNormalSangraFrancesa"/>
        <w:rPr>
          <w:rStyle w:val="TextoNormalCaracter"/>
        </w:rPr>
      </w:pPr>
      <w:bookmarkStart w:id="774" w:name="DESCRIPTORALFABETICO185"/>
      <w:r w:rsidRPr="003104DF">
        <w:rPr>
          <w:rStyle w:val="TextoNormalNegritaCaracter"/>
        </w:rPr>
        <w:t>Diputados autonómicos</w:t>
      </w:r>
      <w:bookmarkEnd w:id="774"/>
      <w:r w:rsidRPr="003104DF">
        <w:rPr>
          <w:rStyle w:val="TextoNormalCaracter"/>
        </w:rPr>
        <w:t xml:space="preserve">, Sentencias </w:t>
      </w:r>
      <w:hyperlink w:anchor="SENTENCIA_1992_7" w:history="1">
        <w:r w:rsidRPr="003104DF">
          <w:rPr>
            <w:rStyle w:val="TextoNormalCaracter"/>
          </w:rPr>
          <w:t>7/1992</w:t>
        </w:r>
      </w:hyperlink>
      <w:r w:rsidRPr="003104DF">
        <w:rPr>
          <w:rStyle w:val="TextoNormalCaracter"/>
        </w:rPr>
        <w:t xml:space="preserve">, ff. 1, 2, 3, 4, 5; </w:t>
      </w:r>
      <w:hyperlink w:anchor="SENTENCIA_1992_15" w:history="1">
        <w:r w:rsidRPr="003104DF">
          <w:rPr>
            <w:rStyle w:val="TextoNormalCaracter"/>
          </w:rPr>
          <w:t>15/1992</w:t>
        </w:r>
      </w:hyperlink>
      <w:r w:rsidRPr="003104DF">
        <w:rPr>
          <w:rStyle w:val="TextoNormalCaracter"/>
        </w:rPr>
        <w:t>, f. 4.</w:t>
      </w:r>
    </w:p>
    <w:p w:rsidR="003104DF" w:rsidRPr="003104DF" w:rsidRDefault="003104DF" w:rsidP="003104DF">
      <w:pPr>
        <w:pStyle w:val="TextoNormalSangraFrancesa"/>
        <w:rPr>
          <w:rStyle w:val="TextoNormalCaracter"/>
        </w:rPr>
      </w:pPr>
      <w:bookmarkStart w:id="775" w:name="DESCRIPTORALFABETICO160"/>
      <w:r w:rsidRPr="003104DF">
        <w:rPr>
          <w:rStyle w:val="TextoNormalNegritaCaracter"/>
        </w:rPr>
        <w:t>Discrecionalidad administrativa</w:t>
      </w:r>
      <w:bookmarkEnd w:id="775"/>
      <w:r w:rsidRPr="003104DF">
        <w:rPr>
          <w:rStyle w:val="TextoNormalCaracter"/>
        </w:rPr>
        <w:t xml:space="preserve">, Auto </w:t>
      </w:r>
      <w:hyperlink w:anchor="AUTO_1992_24" w:history="1">
        <w:r w:rsidRPr="003104DF">
          <w:rPr>
            <w:rStyle w:val="TextoNormalCaracter"/>
          </w:rPr>
          <w:t>24/1992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Discriminación normativa</w:t>
      </w:r>
      <w:r>
        <w:t xml:space="preserve"> véase </w:t>
      </w:r>
      <w:hyperlink w:anchor="DESCRIPTORALFABETICO47" w:history="1">
        <w:r w:rsidRPr="003104DF">
          <w:rPr>
            <w:rStyle w:val="TextoNormalNegritaCaracter"/>
          </w:rPr>
          <w:t>Tratamiento legal diferenciado</w:t>
        </w:r>
      </w:hyperlink>
    </w:p>
    <w:p w:rsidR="003104DF" w:rsidRPr="003104DF" w:rsidRDefault="003104DF" w:rsidP="003104DF">
      <w:pPr>
        <w:pStyle w:val="TextoNormalSangraFrancesa"/>
        <w:rPr>
          <w:rStyle w:val="TextoNormalNegritaCaracter"/>
        </w:rPr>
      </w:pPr>
      <w:r w:rsidRPr="003104DF">
        <w:rPr>
          <w:rStyle w:val="TextoNormalCursivaCaracter"/>
        </w:rPr>
        <w:t>Discriminación por motivos ideológicos</w:t>
      </w:r>
      <w:r>
        <w:t xml:space="preserve"> véase </w:t>
      </w:r>
      <w:hyperlink w:anchor="DESCRIPTORALFABETICO77" w:history="1">
        <w:r w:rsidRPr="003104DF">
          <w:rPr>
            <w:rStyle w:val="TextoNormalNegritaCaracter"/>
          </w:rPr>
          <w:t>Discriminación por razón de opinión</w:t>
        </w:r>
      </w:hyperlink>
    </w:p>
    <w:p w:rsidR="003104DF" w:rsidRPr="003104DF" w:rsidRDefault="003104DF" w:rsidP="003104DF">
      <w:pPr>
        <w:pStyle w:val="TextoNormalSangraFrancesa"/>
        <w:rPr>
          <w:rStyle w:val="TextoNormalCaracter"/>
        </w:rPr>
      </w:pPr>
      <w:bookmarkStart w:id="776" w:name="DESCRIPTORALFABETICO76"/>
      <w:r w:rsidRPr="003104DF">
        <w:rPr>
          <w:rStyle w:val="TextoNormalNegritaCaracter"/>
        </w:rPr>
        <w:t>Discriminación por razón de nacimiento</w:t>
      </w:r>
      <w:bookmarkEnd w:id="776"/>
      <w:r w:rsidRPr="003104DF">
        <w:rPr>
          <w:rStyle w:val="TextoNormalCaracter"/>
        </w:rPr>
        <w:t xml:space="preserve">, Auto </w:t>
      </w:r>
      <w:hyperlink w:anchor="AUTO_1992_22" w:history="1">
        <w:r w:rsidRPr="003104DF">
          <w:rPr>
            <w:rStyle w:val="TextoNormalCaracter"/>
          </w:rPr>
          <w:t>22/1992</w:t>
        </w:r>
      </w:hyperlink>
      <w:r w:rsidRPr="003104DF">
        <w:rPr>
          <w:rStyle w:val="TextoNormalCaracter"/>
        </w:rPr>
        <w:t>.</w:t>
      </w:r>
    </w:p>
    <w:p w:rsidR="003104DF" w:rsidRPr="003104DF" w:rsidRDefault="003104DF" w:rsidP="003104DF">
      <w:pPr>
        <w:pStyle w:val="TextoNormalSangraFrancesa"/>
        <w:rPr>
          <w:rStyle w:val="TextoNormalCaracter"/>
        </w:rPr>
      </w:pPr>
      <w:bookmarkStart w:id="777" w:name="DESCRIPTORALFABETICO77"/>
      <w:r w:rsidRPr="003104DF">
        <w:rPr>
          <w:rStyle w:val="TextoNormalNegritaCaracter"/>
        </w:rPr>
        <w:t>Discriminación por razón de opinión</w:t>
      </w:r>
      <w:bookmarkEnd w:id="777"/>
      <w:r w:rsidRPr="003104DF">
        <w:rPr>
          <w:rStyle w:val="TextoNormalCaracter"/>
        </w:rPr>
        <w:t xml:space="preserve">, Auto </w:t>
      </w:r>
      <w:hyperlink w:anchor="AUTO_1992_24" w:history="1">
        <w:r w:rsidRPr="003104DF">
          <w:rPr>
            <w:rStyle w:val="TextoNormalCaracter"/>
          </w:rPr>
          <w:t>24/1992</w:t>
        </w:r>
      </w:hyperlink>
      <w:r w:rsidRPr="003104DF">
        <w:rPr>
          <w:rStyle w:val="TextoNormalCaracter"/>
        </w:rPr>
        <w:t>.</w:t>
      </w:r>
    </w:p>
    <w:p w:rsidR="003104DF" w:rsidRPr="003104DF" w:rsidRDefault="003104DF" w:rsidP="003104DF">
      <w:pPr>
        <w:pStyle w:val="TextoNormalSangraFrancesa"/>
        <w:rPr>
          <w:rStyle w:val="TextoNormalCaracter"/>
        </w:rPr>
      </w:pPr>
      <w:bookmarkStart w:id="778" w:name="DESCRIPTORALFABETICO75"/>
      <w:r w:rsidRPr="003104DF">
        <w:rPr>
          <w:rStyle w:val="TextoNormalNegritaCaracter"/>
        </w:rPr>
        <w:t>Discriminación por razón de parentesco</w:t>
      </w:r>
      <w:bookmarkEnd w:id="778"/>
      <w:r w:rsidRPr="003104DF">
        <w:rPr>
          <w:rStyle w:val="TextoNormalCaracter"/>
        </w:rPr>
        <w:t xml:space="preserve">, Sentencias </w:t>
      </w:r>
      <w:hyperlink w:anchor="SENTENCIA_1992_2" w:history="1">
        <w:r w:rsidRPr="003104DF">
          <w:rPr>
            <w:rStyle w:val="TextoNormalCaracter"/>
          </w:rPr>
          <w:t>2/1992</w:t>
        </w:r>
      </w:hyperlink>
      <w:r w:rsidRPr="003104DF">
        <w:rPr>
          <w:rStyle w:val="TextoNormalCaracter"/>
        </w:rPr>
        <w:t xml:space="preserve">, f. 3;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Caracter"/>
        </w:rPr>
      </w:pPr>
      <w:bookmarkStart w:id="779" w:name="DESCRIPTORALFABETICO79"/>
      <w:r w:rsidRPr="003104DF">
        <w:rPr>
          <w:rStyle w:val="TextoNormalNegritaCaracter"/>
        </w:rPr>
        <w:t>Discriminación por razón de sexo</w:t>
      </w:r>
      <w:bookmarkEnd w:id="779"/>
      <w:r w:rsidRPr="003104DF">
        <w:rPr>
          <w:rStyle w:val="TextoNormalCaracter"/>
        </w:rPr>
        <w:t xml:space="preserve">, Sentencias </w:t>
      </w:r>
      <w:hyperlink w:anchor="SENTENCIA_1992_5" w:history="1">
        <w:r w:rsidRPr="003104DF">
          <w:rPr>
            <w:rStyle w:val="TextoNormalCaracter"/>
          </w:rPr>
          <w:t>5/1992</w:t>
        </w:r>
      </w:hyperlink>
      <w:r w:rsidRPr="003104DF">
        <w:rPr>
          <w:rStyle w:val="TextoNormalCaracter"/>
        </w:rPr>
        <w:t xml:space="preserve">, ff. 6, 7; </w:t>
      </w:r>
      <w:hyperlink w:anchor="SENTENCIA_1992_28" w:history="1">
        <w:r w:rsidRPr="003104DF">
          <w:rPr>
            <w:rStyle w:val="TextoNormalCaracter"/>
          </w:rPr>
          <w:t>28/1992</w:t>
        </w:r>
      </w:hyperlink>
      <w:r w:rsidRPr="003104DF">
        <w:rPr>
          <w:rStyle w:val="TextoNormalCaracter"/>
        </w:rPr>
        <w:t>, f. 2.</w:t>
      </w:r>
    </w:p>
    <w:p w:rsidR="003104DF" w:rsidRPr="003104DF" w:rsidRDefault="003104DF" w:rsidP="003104DF">
      <w:pPr>
        <w:pStyle w:val="TextoNormalSangraFrancesa"/>
        <w:rPr>
          <w:rStyle w:val="TextoNormalNegritaCaracter"/>
        </w:rPr>
      </w:pPr>
      <w:r w:rsidRPr="003104DF">
        <w:rPr>
          <w:rStyle w:val="TextoNormalCursivaCaracter"/>
        </w:rPr>
        <w:lastRenderedPageBreak/>
        <w:t>Distribución de competencias</w:t>
      </w:r>
      <w:r>
        <w:t xml:space="preserve"> véase </w:t>
      </w:r>
      <w:hyperlink w:anchor="DESCRIPTORALFABETICO1" w:history="1">
        <w:r w:rsidRPr="003104DF">
          <w:rPr>
            <w:rStyle w:val="TextoNormalNegritaCaracter"/>
          </w:rPr>
          <w:t>Orden constitucional de competencias</w:t>
        </w:r>
      </w:hyperlink>
    </w:p>
    <w:p w:rsidR="003104DF" w:rsidRPr="003104DF" w:rsidRDefault="003104DF" w:rsidP="003104DF">
      <w:pPr>
        <w:pStyle w:val="TextoNormalSangraFrancesa"/>
        <w:rPr>
          <w:rStyle w:val="TextoNormalNegritaCaracter"/>
        </w:rPr>
      </w:pPr>
      <w:r w:rsidRPr="003104DF">
        <w:rPr>
          <w:rStyle w:val="TextoNormalCursivaCaracter"/>
        </w:rPr>
        <w:t>Distribución de escaños</w:t>
      </w:r>
      <w:r>
        <w:t xml:space="preserve"> véase </w:t>
      </w:r>
      <w:hyperlink w:anchor="DESCRIPTORALFABETICO29" w:history="1">
        <w:r w:rsidRPr="003104DF">
          <w:rPr>
            <w:rStyle w:val="TextoNormalNegritaCaracter"/>
          </w:rPr>
          <w:t>Atribución de escaños</w:t>
        </w:r>
      </w:hyperlink>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E</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780" w:name="DESCRIPTORALFABETICO281"/>
      <w:r w:rsidRPr="003104DF">
        <w:rPr>
          <w:rStyle w:val="TextoNormalNegritaCaracter"/>
        </w:rPr>
        <w:t>Eficacia normativa de los convenios colectivos</w:t>
      </w:r>
      <w:bookmarkEnd w:id="780"/>
      <w:r w:rsidRPr="003104DF">
        <w:rPr>
          <w:rStyle w:val="TextoNormalCaracter"/>
        </w:rPr>
        <w:t xml:space="preserve">, Sentencia </w:t>
      </w:r>
      <w:hyperlink w:anchor="SENTENCIA_1992_28" w:history="1">
        <w:r w:rsidRPr="003104DF">
          <w:rPr>
            <w:rStyle w:val="TextoNormalCaracter"/>
          </w:rPr>
          <w:t>28/1992</w:t>
        </w:r>
      </w:hyperlink>
      <w:r w:rsidRPr="003104DF">
        <w:rPr>
          <w:rStyle w:val="TextoNormalCaracter"/>
        </w:rPr>
        <w:t>, f. 3.</w:t>
      </w:r>
    </w:p>
    <w:p w:rsidR="003104DF" w:rsidRPr="003104DF" w:rsidRDefault="003104DF" w:rsidP="003104DF">
      <w:pPr>
        <w:pStyle w:val="TextoNormalSangraFrancesa"/>
        <w:rPr>
          <w:rStyle w:val="TextoNormalCaracter"/>
        </w:rPr>
      </w:pPr>
      <w:bookmarkStart w:id="781" w:name="DESCRIPTORALFABETICO208"/>
      <w:r w:rsidRPr="003104DF">
        <w:rPr>
          <w:rStyle w:val="TextoNormalNegritaCaracter"/>
        </w:rPr>
        <w:t>Ejecución de actos administrativos</w:t>
      </w:r>
      <w:bookmarkEnd w:id="781"/>
      <w:r w:rsidRPr="003104DF">
        <w:rPr>
          <w:rStyle w:val="TextoNormalCaracter"/>
        </w:rPr>
        <w:t xml:space="preserve">, Auto </w:t>
      </w:r>
      <w:hyperlink w:anchor="AUTO_1992_85" w:history="1">
        <w:r w:rsidRPr="003104DF">
          <w:rPr>
            <w:rStyle w:val="TextoNormalCaracter"/>
          </w:rPr>
          <w:t>85/1992</w:t>
        </w:r>
      </w:hyperlink>
      <w:r w:rsidRPr="003104DF">
        <w:rPr>
          <w:rStyle w:val="TextoNormalCaracter"/>
        </w:rPr>
        <w:t>.</w:t>
      </w:r>
    </w:p>
    <w:p w:rsidR="003104DF" w:rsidRPr="003104DF" w:rsidRDefault="003104DF" w:rsidP="003104DF">
      <w:pPr>
        <w:pStyle w:val="TextoNormalSangraFrancesa"/>
        <w:rPr>
          <w:rStyle w:val="TextoNormalCaracter"/>
        </w:rPr>
      </w:pPr>
      <w:bookmarkStart w:id="782" w:name="DESCRIPTORALFABETICO329"/>
      <w:r w:rsidRPr="003104DF">
        <w:rPr>
          <w:rStyle w:val="TextoNormalNegritaCaracter"/>
        </w:rPr>
        <w:t>Ejecución de sentencia a instancia del empleador</w:t>
      </w:r>
      <w:bookmarkEnd w:id="782"/>
      <w:r w:rsidRPr="003104DF">
        <w:rPr>
          <w:rStyle w:val="TextoNormalCaracter"/>
        </w:rPr>
        <w:t xml:space="preserve">, Sentencia </w:t>
      </w:r>
      <w:hyperlink w:anchor="SENTENCIA_1992_61" w:history="1">
        <w:r w:rsidRPr="003104DF">
          <w:rPr>
            <w:rStyle w:val="TextoNormalCaracter"/>
          </w:rPr>
          <w:t>61/1992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Ejecución hipotecaria</w:t>
      </w:r>
      <w:r>
        <w:t xml:space="preserve"> véase </w:t>
      </w:r>
      <w:hyperlink w:anchor="DESCRIPTORALFABETICO393" w:history="1">
        <w:r w:rsidRPr="003104DF">
          <w:rPr>
            <w:rStyle w:val="TextoNormalNegritaCaracter"/>
          </w:rPr>
          <w:t>Proceso de ejecución hipotecaria</w:t>
        </w:r>
      </w:hyperlink>
    </w:p>
    <w:p w:rsidR="003104DF" w:rsidRPr="003104DF" w:rsidRDefault="003104DF" w:rsidP="003104DF">
      <w:pPr>
        <w:pStyle w:val="TextoNormalSangraFrancesa"/>
        <w:rPr>
          <w:rStyle w:val="TextoNormalCaracter"/>
        </w:rPr>
      </w:pPr>
      <w:bookmarkStart w:id="783" w:name="DESCRIPTORALFABETICO38"/>
      <w:r w:rsidRPr="003104DF">
        <w:rPr>
          <w:rStyle w:val="TextoNormalNegritaCaracter"/>
        </w:rPr>
        <w:t>Ejercicio abusivo del derecho a la huelga</w:t>
      </w:r>
      <w:bookmarkEnd w:id="783"/>
      <w:r w:rsidRPr="003104DF">
        <w:rPr>
          <w:rStyle w:val="TextoNormalCaracter"/>
        </w:rPr>
        <w:t xml:space="preserve">, Auto </w:t>
      </w:r>
      <w:hyperlink w:anchor="AUTO_1992_71" w:history="1">
        <w:r w:rsidRPr="003104DF">
          <w:rPr>
            <w:rStyle w:val="TextoNormalCaracter"/>
          </w:rPr>
          <w:t>71/1992</w:t>
        </w:r>
      </w:hyperlink>
      <w:r w:rsidRPr="003104DF">
        <w:rPr>
          <w:rStyle w:val="TextoNormalCaracter"/>
        </w:rPr>
        <w:t>.</w:t>
      </w:r>
    </w:p>
    <w:p w:rsidR="003104DF" w:rsidRPr="003104DF" w:rsidRDefault="003104DF" w:rsidP="003104DF">
      <w:pPr>
        <w:pStyle w:val="TextoNormalSangraFrancesa"/>
        <w:rPr>
          <w:rStyle w:val="TextoNormalCaracter"/>
        </w:rPr>
      </w:pPr>
      <w:bookmarkStart w:id="784" w:name="DESCRIPTORALFABETICO26"/>
      <w:r w:rsidRPr="003104DF">
        <w:rPr>
          <w:rStyle w:val="TextoNormalNegritaCaracter"/>
        </w:rPr>
        <w:t>Elecciones</w:t>
      </w:r>
      <w:bookmarkEnd w:id="784"/>
      <w:r w:rsidRPr="003104DF">
        <w:rPr>
          <w:rStyle w:val="TextoNormalCaracter"/>
        </w:rPr>
        <w:t xml:space="preserve">, Sentencias </w:t>
      </w:r>
      <w:hyperlink w:anchor="SENTENCIA_1992_4" w:history="1">
        <w:r w:rsidRPr="003104DF">
          <w:rPr>
            <w:rStyle w:val="TextoNormalCaracter"/>
          </w:rPr>
          <w:t>4/1992</w:t>
        </w:r>
      </w:hyperlink>
      <w:r w:rsidRPr="003104DF">
        <w:rPr>
          <w:rStyle w:val="TextoNormalCaracter"/>
        </w:rPr>
        <w:t xml:space="preserve">, ff. 2, 3;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785" w:name="DESCRIPTORALFABETICO27"/>
      <w:r w:rsidRPr="003104DF">
        <w:rPr>
          <w:rStyle w:val="TextoNormalNegritaCaracter"/>
        </w:rPr>
        <w:t>Elecciones autonómicas</w:t>
      </w:r>
      <w:bookmarkEnd w:id="785"/>
      <w:r w:rsidRPr="003104DF">
        <w:rPr>
          <w:rStyle w:val="TextoNormalCaracter"/>
        </w:rPr>
        <w:t xml:space="preserve">, Sentencia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786" w:name="DESCRIPTORALFABETICO359"/>
      <w:r w:rsidRPr="003104DF">
        <w:rPr>
          <w:rStyle w:val="TextoNormalNegritaCaracter"/>
        </w:rPr>
        <w:t>Embargo preventivo</w:t>
      </w:r>
      <w:bookmarkEnd w:id="786"/>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 7.</w:t>
      </w:r>
    </w:p>
    <w:p w:rsidR="003104DF" w:rsidRPr="003104DF" w:rsidRDefault="003104DF" w:rsidP="003104DF">
      <w:pPr>
        <w:pStyle w:val="TextoNormalSangraFrancesa"/>
        <w:rPr>
          <w:rStyle w:val="TextoNormalCaracter"/>
        </w:rPr>
      </w:pPr>
      <w:bookmarkStart w:id="787" w:name="DESCRIPTORALFABETICO360"/>
      <w:r w:rsidRPr="003104DF">
        <w:rPr>
          <w:rStyle w:val="TextoNormalNegritaCaracter"/>
        </w:rPr>
        <w:t>Embargo preventivo de bienes del deudor de entidades de crédito</w:t>
      </w:r>
      <w:bookmarkEnd w:id="787"/>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 7.</w:t>
      </w:r>
    </w:p>
    <w:p w:rsidR="003104DF" w:rsidRPr="003104DF" w:rsidRDefault="003104DF" w:rsidP="003104DF">
      <w:pPr>
        <w:pStyle w:val="TextoNormalSangraFrancesa"/>
        <w:rPr>
          <w:rStyle w:val="TextoNormalCaracter"/>
        </w:rPr>
      </w:pPr>
      <w:bookmarkStart w:id="788" w:name="DESCRIPTORALFABETICO300"/>
      <w:r w:rsidRPr="003104DF">
        <w:rPr>
          <w:rStyle w:val="TextoNormalNegritaCaracter"/>
        </w:rPr>
        <w:t>Emplazamiento</w:t>
      </w:r>
      <w:bookmarkEnd w:id="788"/>
      <w:r w:rsidRPr="003104DF">
        <w:rPr>
          <w:rStyle w:val="TextoNormalCaracter"/>
        </w:rPr>
        <w:t xml:space="preserve">, Sentencia </w:t>
      </w:r>
      <w:hyperlink w:anchor="SENTENCIA_1992_56" w:history="1">
        <w:r w:rsidRPr="003104DF">
          <w:rPr>
            <w:rStyle w:val="TextoNormalCaracter"/>
          </w:rPr>
          <w:t>56/1992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01" w:history="1">
        <w:r w:rsidRPr="003104DF">
          <w:rPr>
            <w:rStyle w:val="TextoNormalCaracter"/>
          </w:rPr>
          <w:t>101/1992</w:t>
        </w:r>
      </w:hyperlink>
      <w:r w:rsidRPr="003104DF">
        <w:rPr>
          <w:rStyle w:val="TextoNormalCaracter"/>
        </w:rPr>
        <w:t>.</w:t>
      </w:r>
    </w:p>
    <w:p w:rsidR="003104DF" w:rsidRPr="003104DF" w:rsidRDefault="003104DF" w:rsidP="003104DF">
      <w:pPr>
        <w:pStyle w:val="TextoNormalSangraFrancesa"/>
        <w:rPr>
          <w:rStyle w:val="TextoNormalCaracter"/>
        </w:rPr>
      </w:pPr>
      <w:bookmarkStart w:id="789" w:name="DESCRIPTORALFABETICO301"/>
      <w:r w:rsidRPr="003104DF">
        <w:rPr>
          <w:rStyle w:val="TextoNormalNegritaCaracter"/>
        </w:rPr>
        <w:t>Emplazamiento de responsable civil subsidiario</w:t>
      </w:r>
      <w:bookmarkEnd w:id="789"/>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2.</w:t>
      </w:r>
    </w:p>
    <w:p w:rsidR="003104DF" w:rsidRPr="003104DF" w:rsidRDefault="003104DF" w:rsidP="003104DF">
      <w:pPr>
        <w:pStyle w:val="TextoNormalSangraFrancesa"/>
        <w:rPr>
          <w:rStyle w:val="TextoNormalCaracter"/>
        </w:rPr>
      </w:pPr>
      <w:bookmarkStart w:id="790" w:name="DESCRIPTORALFABETICO302"/>
      <w:r w:rsidRPr="003104DF">
        <w:rPr>
          <w:rStyle w:val="TextoNormalNegritaCaracter"/>
        </w:rPr>
        <w:t>Emplazamiento en apelación</w:t>
      </w:r>
      <w:bookmarkEnd w:id="790"/>
      <w:r w:rsidRPr="003104DF">
        <w:rPr>
          <w:rStyle w:val="TextoNormalCaracter"/>
        </w:rPr>
        <w:t xml:space="preserve">, Sentencia </w:t>
      </w:r>
      <w:hyperlink w:anchor="SENTENCIA_1992_56" w:history="1">
        <w:r w:rsidRPr="003104DF">
          <w:rPr>
            <w:rStyle w:val="TextoNormalCaracter"/>
          </w:rPr>
          <w:t>56/1992</w:t>
        </w:r>
      </w:hyperlink>
      <w:r w:rsidRPr="003104DF">
        <w:rPr>
          <w:rStyle w:val="TextoNormalCaracter"/>
        </w:rPr>
        <w:t>, f. 4.</w:t>
      </w:r>
    </w:p>
    <w:p w:rsidR="003104DF" w:rsidRPr="003104DF" w:rsidRDefault="003104DF" w:rsidP="003104DF">
      <w:pPr>
        <w:pStyle w:val="TextoNormalSangraFrancesa"/>
        <w:rPr>
          <w:rStyle w:val="TextoNormalNegritaCaracter"/>
        </w:rPr>
      </w:pPr>
      <w:r w:rsidRPr="003104DF">
        <w:rPr>
          <w:rStyle w:val="TextoNormalCursivaCaracter"/>
        </w:rPr>
        <w:t>Empleados laborales</w:t>
      </w:r>
      <w:r>
        <w:t xml:space="preserve"> véase </w:t>
      </w:r>
      <w:hyperlink w:anchor="DESCRIPTORALFABETICO291" w:history="1">
        <w:r w:rsidRPr="003104DF">
          <w:rPr>
            <w:rStyle w:val="TextoNormalNegritaCaracter"/>
          </w:rPr>
          <w:t>Trabajadores</w:t>
        </w:r>
      </w:hyperlink>
    </w:p>
    <w:p w:rsidR="003104DF" w:rsidRPr="003104DF" w:rsidRDefault="003104DF" w:rsidP="003104DF">
      <w:pPr>
        <w:pStyle w:val="TextoNormalSangraFrancesa"/>
        <w:rPr>
          <w:rStyle w:val="TextoNormalCaracter"/>
        </w:rPr>
      </w:pPr>
      <w:bookmarkStart w:id="791" w:name="DESCRIPTORALFABETICO227"/>
      <w:r w:rsidRPr="003104DF">
        <w:rPr>
          <w:rStyle w:val="TextoNormalNegritaCaracter"/>
        </w:rPr>
        <w:t>Energía</w:t>
      </w:r>
      <w:bookmarkEnd w:id="791"/>
      <w:r w:rsidRPr="003104DF">
        <w:rPr>
          <w:rStyle w:val="TextoNormalCaracter"/>
        </w:rPr>
        <w:t xml:space="preserve">, Sentencia </w:t>
      </w:r>
      <w:hyperlink w:anchor="SENTENCIA_1992_67" w:history="1">
        <w:r w:rsidRPr="003104DF">
          <w:rPr>
            <w:rStyle w:val="TextoNormalCaracter"/>
          </w:rPr>
          <w:t>67/1992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792" w:name="DESCRIPTORALFABETICO223"/>
      <w:r w:rsidRPr="003104DF">
        <w:rPr>
          <w:rStyle w:val="TextoNormalNegritaCaracter"/>
        </w:rPr>
        <w:t>Enseñanza</w:t>
      </w:r>
      <w:bookmarkEnd w:id="792"/>
      <w:r w:rsidRPr="003104DF">
        <w:rPr>
          <w:rStyle w:val="TextoNormalCaracter"/>
        </w:rPr>
        <w:t xml:space="preserve">, Sentencia </w:t>
      </w:r>
      <w:hyperlink w:anchor="SENTENCIA_1992_38" w:history="1">
        <w:r w:rsidRPr="003104DF">
          <w:rPr>
            <w:rStyle w:val="TextoNormalCaracter"/>
          </w:rPr>
          <w:t>38/1992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793" w:name="DESCRIPTORALFABETICO205"/>
      <w:r w:rsidRPr="003104DF">
        <w:rPr>
          <w:rStyle w:val="TextoNormalNegritaCaracter"/>
        </w:rPr>
        <w:t>Entes locales</w:t>
      </w:r>
      <w:bookmarkEnd w:id="793"/>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Entidades bancarias</w:t>
      </w:r>
      <w:r>
        <w:t xml:space="preserve"> véase </w:t>
      </w:r>
      <w:hyperlink w:anchor="DESCRIPTORALFABETICO214" w:history="1">
        <w:r w:rsidRPr="003104DF">
          <w:rPr>
            <w:rStyle w:val="TextoNormalNegritaCaracter"/>
          </w:rPr>
          <w:t>Entidades de crédito</w:t>
        </w:r>
      </w:hyperlink>
    </w:p>
    <w:p w:rsidR="003104DF" w:rsidRPr="003104DF" w:rsidRDefault="003104DF" w:rsidP="003104DF">
      <w:pPr>
        <w:pStyle w:val="TextoNormalSangraFrancesa"/>
        <w:rPr>
          <w:rStyle w:val="TextoNormalCaracter"/>
        </w:rPr>
      </w:pPr>
      <w:bookmarkStart w:id="794" w:name="DESCRIPTORALFABETICO214"/>
      <w:r w:rsidRPr="003104DF">
        <w:rPr>
          <w:rStyle w:val="TextoNormalNegritaCaracter"/>
        </w:rPr>
        <w:t>Entidades de crédito</w:t>
      </w:r>
      <w:bookmarkEnd w:id="794"/>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ff. 1, 2, 3, 4, 5, 6, 7, 8, 9, 10, 11, 12, VP; </w:t>
      </w:r>
      <w:hyperlink w:anchor="SENTENCIA_1992_47" w:history="1">
        <w:r w:rsidRPr="003104DF">
          <w:rPr>
            <w:rStyle w:val="TextoNormalCaracter"/>
          </w:rPr>
          <w:t>47/1992</w:t>
        </w:r>
      </w:hyperlink>
      <w:r w:rsidRPr="003104DF">
        <w:rPr>
          <w:rStyle w:val="TextoNormalCaracter"/>
        </w:rPr>
        <w:t>, ff. 1, 2, 3, 4.</w:t>
      </w:r>
    </w:p>
    <w:p w:rsidR="003104DF" w:rsidRPr="003104DF" w:rsidRDefault="003104DF" w:rsidP="003104DF">
      <w:pPr>
        <w:pStyle w:val="TextoNormalSangraFrancesa"/>
        <w:rPr>
          <w:rStyle w:val="TextoNormalCaracter"/>
        </w:rPr>
      </w:pPr>
      <w:r w:rsidRPr="003104DF">
        <w:rPr>
          <w:rStyle w:val="TextoNormalCursivaCaracter"/>
        </w:rPr>
        <w:t xml:space="preserve">    Naturaleza, </w:t>
      </w:r>
      <w:r w:rsidRPr="003104DF">
        <w:rPr>
          <w:rStyle w:val="TextoNormalCaracter"/>
        </w:rPr>
        <w:t xml:space="preserve">Sentencia </w:t>
      </w:r>
      <w:hyperlink w:anchor="SENTENCIA_1992_14" w:history="1">
        <w:r w:rsidRPr="003104DF">
          <w:rPr>
            <w:rStyle w:val="TextoNormalCaracter"/>
          </w:rPr>
          <w:t>14/1992</w:t>
        </w:r>
      </w:hyperlink>
      <w:r w:rsidRPr="003104DF">
        <w:rPr>
          <w:rStyle w:val="TextoNormalCaracter"/>
        </w:rPr>
        <w:t>, f. 5.</w:t>
      </w:r>
    </w:p>
    <w:p w:rsidR="003104DF" w:rsidRPr="003104DF" w:rsidRDefault="003104DF" w:rsidP="003104DF">
      <w:pPr>
        <w:pStyle w:val="TextoNormalSangraFrancesa"/>
        <w:rPr>
          <w:rStyle w:val="TextoNormalCaracter"/>
        </w:rPr>
      </w:pPr>
      <w:bookmarkStart w:id="795" w:name="DESCRIPTORALFABETICO304"/>
      <w:r w:rsidRPr="003104DF">
        <w:rPr>
          <w:rStyle w:val="TextoNormalNegritaCaracter"/>
        </w:rPr>
        <w:t>Entrega de actuaciones</w:t>
      </w:r>
      <w:bookmarkEnd w:id="795"/>
      <w:r w:rsidRPr="003104DF">
        <w:rPr>
          <w:rStyle w:val="TextoNormalCaracter"/>
        </w:rPr>
        <w:t xml:space="preserve">, Auto </w:t>
      </w:r>
      <w:hyperlink w:anchor="AUTO_1992_93" w:history="1">
        <w:r w:rsidRPr="003104DF">
          <w:rPr>
            <w:rStyle w:val="TextoNormalCaracter"/>
          </w:rPr>
          <w:t>93/1992</w:t>
        </w:r>
      </w:hyperlink>
      <w:r w:rsidRPr="003104DF">
        <w:rPr>
          <w:rStyle w:val="TextoNormalCaracter"/>
        </w:rPr>
        <w:t>.</w:t>
      </w:r>
    </w:p>
    <w:p w:rsidR="003104DF" w:rsidRPr="003104DF" w:rsidRDefault="003104DF" w:rsidP="003104DF">
      <w:pPr>
        <w:pStyle w:val="TextoNormalSangraFrancesa"/>
        <w:rPr>
          <w:rStyle w:val="TextoNormalCaracter"/>
        </w:rPr>
      </w:pPr>
      <w:bookmarkStart w:id="796" w:name="DESCRIPTORALFABETICO39"/>
      <w:r w:rsidRPr="003104DF">
        <w:rPr>
          <w:rStyle w:val="TextoNormalNegritaCaracter"/>
        </w:rPr>
        <w:t>Equilibrio entre el derecho a la huelga y el mantenimiento de servicios mínimos</w:t>
      </w:r>
      <w:bookmarkEnd w:id="796"/>
      <w:r w:rsidRPr="003104DF">
        <w:rPr>
          <w:rStyle w:val="TextoNormalCaracter"/>
        </w:rPr>
        <w:t xml:space="preserve">, Sentencia </w:t>
      </w:r>
      <w:hyperlink w:anchor="SENTENCIA_1992_8" w:history="1">
        <w:r w:rsidRPr="003104DF">
          <w:rPr>
            <w:rStyle w:val="TextoNormalCaracter"/>
          </w:rPr>
          <w:t>8/1992</w:t>
        </w:r>
      </w:hyperlink>
      <w:r w:rsidRPr="003104DF">
        <w:rPr>
          <w:rStyle w:val="TextoNormalCaracter"/>
        </w:rPr>
        <w:t>, f. 4.</w:t>
      </w:r>
    </w:p>
    <w:p w:rsidR="003104DF" w:rsidRPr="003104DF" w:rsidRDefault="003104DF" w:rsidP="003104DF">
      <w:pPr>
        <w:pStyle w:val="TextoNormalSangraFrancesa"/>
        <w:rPr>
          <w:rStyle w:val="TextoNormalCaracter"/>
        </w:rPr>
      </w:pPr>
      <w:bookmarkStart w:id="797" w:name="DESCRIPTORALFABETICO411"/>
      <w:r w:rsidRPr="003104DF">
        <w:rPr>
          <w:rStyle w:val="TextoNormalNegritaCaracter"/>
        </w:rPr>
        <w:t>Escrito de conclusiones definitivas</w:t>
      </w:r>
      <w:bookmarkEnd w:id="797"/>
      <w:r w:rsidRPr="003104DF">
        <w:rPr>
          <w:rStyle w:val="TextoNormalCaracter"/>
        </w:rPr>
        <w:t xml:space="preserve">, Auto </w:t>
      </w:r>
      <w:hyperlink w:anchor="AUTO_1992_17" w:history="1">
        <w:r w:rsidRPr="003104DF">
          <w:rPr>
            <w:rStyle w:val="TextoNormalCaracter"/>
          </w:rPr>
          <w:t>17/1992</w:t>
        </w:r>
      </w:hyperlink>
      <w:r w:rsidRPr="003104DF">
        <w:rPr>
          <w:rStyle w:val="TextoNormalCaracter"/>
        </w:rPr>
        <w:t>.</w:t>
      </w:r>
    </w:p>
    <w:p w:rsidR="003104DF" w:rsidRPr="003104DF" w:rsidRDefault="003104DF" w:rsidP="003104DF">
      <w:pPr>
        <w:pStyle w:val="TextoNormalSangraFrancesa"/>
        <w:rPr>
          <w:rStyle w:val="TextoNormalCaracter"/>
        </w:rPr>
      </w:pPr>
      <w:bookmarkStart w:id="798" w:name="DESCRIPTORALFABETICO203"/>
      <w:r w:rsidRPr="003104DF">
        <w:rPr>
          <w:rStyle w:val="TextoNormalNegritaCaracter"/>
        </w:rPr>
        <w:t>Estado de las autonomías</w:t>
      </w:r>
      <w:bookmarkEnd w:id="798"/>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2, 11.</w:t>
      </w:r>
    </w:p>
    <w:p w:rsidR="003104DF" w:rsidRPr="003104DF" w:rsidRDefault="003104DF" w:rsidP="003104DF">
      <w:pPr>
        <w:pStyle w:val="TextoNormalSangraFrancesa"/>
        <w:rPr>
          <w:rStyle w:val="TextoNormalCaracter"/>
        </w:rPr>
      </w:pPr>
      <w:bookmarkStart w:id="799" w:name="DESCRIPTORALFABETICO334"/>
      <w:r w:rsidRPr="003104DF">
        <w:rPr>
          <w:rStyle w:val="TextoNormalNegritaCaracter"/>
        </w:rPr>
        <w:t>Excepción de prescripción</w:t>
      </w:r>
      <w:bookmarkEnd w:id="799"/>
      <w:r w:rsidRPr="003104DF">
        <w:rPr>
          <w:rStyle w:val="TextoNormalCaracter"/>
        </w:rPr>
        <w:t xml:space="preserve">, Sentencia </w:t>
      </w:r>
      <w:hyperlink w:anchor="SENTENCIA_1992_32" w:history="1">
        <w:r w:rsidRPr="003104DF">
          <w:rPr>
            <w:rStyle w:val="TextoNormalCaracter"/>
          </w:rPr>
          <w:t>32/1992</w:t>
        </w:r>
      </w:hyperlink>
      <w:r w:rsidRPr="003104DF">
        <w:rPr>
          <w:rStyle w:val="TextoNormalCaracter"/>
        </w:rPr>
        <w:t>, f. 2.</w:t>
      </w:r>
    </w:p>
    <w:p w:rsidR="003104DF" w:rsidRPr="003104DF" w:rsidRDefault="003104DF" w:rsidP="003104DF">
      <w:pPr>
        <w:pStyle w:val="TextoNormalSangraFrancesa"/>
        <w:rPr>
          <w:rStyle w:val="TextoNormalCaracter"/>
        </w:rPr>
      </w:pPr>
      <w:bookmarkStart w:id="800" w:name="DESCRIPTORALFABETICO89"/>
      <w:r w:rsidRPr="003104DF">
        <w:rPr>
          <w:rStyle w:val="TextoNormalNegritaCaracter"/>
        </w:rPr>
        <w:t>Excepciones al derecho a un proceso público</w:t>
      </w:r>
      <w:bookmarkEnd w:id="800"/>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 2.</w:t>
      </w:r>
    </w:p>
    <w:p w:rsidR="003104DF" w:rsidRPr="003104DF" w:rsidRDefault="003104DF" w:rsidP="003104DF">
      <w:pPr>
        <w:pStyle w:val="TextoNormalSangraFrancesa"/>
        <w:rPr>
          <w:rStyle w:val="TextoNormalCaracter"/>
        </w:rPr>
      </w:pPr>
      <w:bookmarkStart w:id="801" w:name="DESCRIPTORALFABETICO270"/>
      <w:r w:rsidRPr="003104DF">
        <w:rPr>
          <w:rStyle w:val="TextoNormalNegritaCaracter"/>
        </w:rPr>
        <w:t>Exclusión de afiliación por razón de matrimonio</w:t>
      </w:r>
      <w:bookmarkEnd w:id="801"/>
      <w:r w:rsidRPr="003104DF">
        <w:rPr>
          <w:rStyle w:val="TextoNormalCaracter"/>
        </w:rPr>
        <w:t xml:space="preserve">, Sentencia </w:t>
      </w:r>
      <w:hyperlink w:anchor="SENTENCIA_1992_2" w:history="1">
        <w:r w:rsidRPr="003104DF">
          <w:rPr>
            <w:rStyle w:val="TextoNormalCaracter"/>
          </w:rPr>
          <w:t>2/1992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802" w:name="DESCRIPTORALFABETICO251"/>
      <w:r w:rsidRPr="003104DF">
        <w:rPr>
          <w:rStyle w:val="TextoNormalNegritaCaracter"/>
        </w:rPr>
        <w:t>Exclusión del recurso de amparo como vía para la unificación de doctrina</w:t>
      </w:r>
      <w:bookmarkEnd w:id="802"/>
      <w:r w:rsidRPr="003104DF">
        <w:rPr>
          <w:rStyle w:val="TextoNormalCaracter"/>
        </w:rPr>
        <w:t xml:space="preserve">, Autos </w:t>
      </w:r>
      <w:hyperlink w:anchor="AUTO_1992_92" w:history="1">
        <w:r w:rsidRPr="003104DF">
          <w:rPr>
            <w:rStyle w:val="TextoNormalCaracter"/>
          </w:rPr>
          <w:t>92/1992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 xml:space="preserve">; </w:t>
      </w:r>
      <w:hyperlink w:anchor="AUTO_1992_105" w:history="1">
        <w:r w:rsidRPr="003104DF">
          <w:rPr>
            <w:rStyle w:val="TextoNormalCaracter"/>
          </w:rPr>
          <w:t>105/1992</w:t>
        </w:r>
      </w:hyperlink>
      <w:r w:rsidRPr="003104DF">
        <w:rPr>
          <w:rStyle w:val="TextoNormalCaracter"/>
        </w:rPr>
        <w:t>.</w:t>
      </w:r>
    </w:p>
    <w:p w:rsidR="003104DF" w:rsidRPr="003104DF" w:rsidRDefault="003104DF" w:rsidP="003104DF">
      <w:pPr>
        <w:pStyle w:val="TextoNormalSangraFrancesa"/>
        <w:rPr>
          <w:rStyle w:val="TextoNormalCaracter"/>
        </w:rPr>
      </w:pPr>
      <w:bookmarkStart w:id="803" w:name="DESCRIPTORALFABETICO129"/>
      <w:r w:rsidRPr="003104DF">
        <w:rPr>
          <w:rStyle w:val="TextoNormalNegritaCaracter"/>
        </w:rPr>
        <w:t>Exigencias del juicio de relevancia</w:t>
      </w:r>
      <w:bookmarkEnd w:id="803"/>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Pr="003104DF" w:rsidRDefault="003104DF" w:rsidP="003104DF">
      <w:pPr>
        <w:pStyle w:val="TextoNormalSangraFrancesa"/>
        <w:rPr>
          <w:rStyle w:val="TextoNormalCaracter"/>
        </w:rPr>
      </w:pPr>
      <w:bookmarkStart w:id="804" w:name="DESCRIPTORALFABETICO134"/>
      <w:r w:rsidRPr="003104DF">
        <w:rPr>
          <w:rStyle w:val="TextoNormalNegritaCaracter"/>
        </w:rPr>
        <w:t>Existencia de invocación del derecho vulnerado</w:t>
      </w:r>
      <w:bookmarkEnd w:id="804"/>
      <w:r w:rsidRPr="003104DF">
        <w:rPr>
          <w:rStyle w:val="TextoNormalCaracter"/>
        </w:rPr>
        <w:t xml:space="preserve">, Sentencia </w:t>
      </w:r>
      <w:hyperlink w:anchor="SENTENCIA_1992_39" w:history="1">
        <w:r w:rsidRPr="003104DF">
          <w:rPr>
            <w:rStyle w:val="TextoNormalCaracter"/>
          </w:rPr>
          <w:t>39/1992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Caracter"/>
        </w:rPr>
      </w:pPr>
      <w:bookmarkStart w:id="805" w:name="DESCRIPTORALFABETICO201"/>
      <w:r w:rsidRPr="003104DF">
        <w:rPr>
          <w:rStyle w:val="TextoNormalNegritaCaracter"/>
        </w:rPr>
        <w:t>Expediente de expulsión</w:t>
      </w:r>
      <w:bookmarkEnd w:id="805"/>
      <w:r w:rsidRPr="003104DF">
        <w:rPr>
          <w:rStyle w:val="TextoNormalCaracter"/>
        </w:rPr>
        <w:t xml:space="preserve">, Auto </w:t>
      </w:r>
      <w:hyperlink w:anchor="AUTO_1992_2" w:history="1">
        <w:r w:rsidRPr="003104DF">
          <w:rPr>
            <w:rStyle w:val="TextoNormalCaracter"/>
          </w:rPr>
          <w:t>2/1992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Extemporaneidad de la demanda de amparo</w:t>
      </w:r>
      <w:r>
        <w:t xml:space="preserve"> véase </w:t>
      </w:r>
      <w:hyperlink w:anchor="DESCRIPTORALFABETICO145" w:history="1">
        <w:r w:rsidRPr="003104DF">
          <w:rPr>
            <w:rStyle w:val="TextoNormalNegritaCaracter"/>
          </w:rPr>
          <w:t>Extemporaneidad del recurso de amparo</w:t>
        </w:r>
      </w:hyperlink>
    </w:p>
    <w:p w:rsidR="003104DF" w:rsidRPr="003104DF" w:rsidRDefault="003104DF" w:rsidP="003104DF">
      <w:pPr>
        <w:pStyle w:val="TextoNormalSangraFrancesa"/>
        <w:rPr>
          <w:rStyle w:val="TextoNormalCaracter"/>
        </w:rPr>
      </w:pPr>
      <w:bookmarkStart w:id="806" w:name="DESCRIPTORALFABETICO145"/>
      <w:r w:rsidRPr="003104DF">
        <w:rPr>
          <w:rStyle w:val="TextoNormalNegritaCaracter"/>
        </w:rPr>
        <w:t>Extemporaneidad del recurso de amparo</w:t>
      </w:r>
      <w:bookmarkEnd w:id="806"/>
      <w:r w:rsidRPr="003104DF">
        <w:rPr>
          <w:rStyle w:val="TextoNormalCaracter"/>
        </w:rPr>
        <w:t xml:space="preserve">, Sentencia </w:t>
      </w:r>
      <w:hyperlink w:anchor="SENTENCIA_1992_18" w:history="1">
        <w:r w:rsidRPr="003104DF">
          <w:rPr>
            <w:rStyle w:val="TextoNormalCaracter"/>
          </w:rPr>
          <w:t>18/1992</w:t>
        </w:r>
      </w:hyperlink>
      <w:r w:rsidRPr="003104DF">
        <w:rPr>
          <w:rStyle w:val="TextoNormalCaracter"/>
        </w:rPr>
        <w:t>, f. 2.</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F</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07" w:name="DESCRIPTORALFABETICO153"/>
      <w:r w:rsidRPr="003104DF">
        <w:rPr>
          <w:rStyle w:val="TextoNormalNegritaCaracter"/>
        </w:rPr>
        <w:t>Falta de agotamiento de la vía judicial</w:t>
      </w:r>
      <w:bookmarkEnd w:id="807"/>
      <w:r w:rsidRPr="003104DF">
        <w:rPr>
          <w:rStyle w:val="TextoNormalCaracter"/>
        </w:rPr>
        <w:t xml:space="preserve">, Sentencia </w:t>
      </w:r>
      <w:hyperlink w:anchor="SENTENCIA_1992_27" w:history="1">
        <w:r w:rsidRPr="003104DF">
          <w:rPr>
            <w:rStyle w:val="TextoNormalCaracter"/>
          </w:rPr>
          <w:t>27/1992</w:t>
        </w:r>
      </w:hyperlink>
      <w:r w:rsidRPr="003104DF">
        <w:rPr>
          <w:rStyle w:val="TextoNormalCaracter"/>
        </w:rPr>
        <w:t>, f. 2.</w:t>
      </w:r>
    </w:p>
    <w:p w:rsidR="003104DF" w:rsidRPr="003104DF" w:rsidRDefault="003104DF" w:rsidP="003104DF">
      <w:pPr>
        <w:pStyle w:val="TextoNormalSangraFrancesa"/>
        <w:rPr>
          <w:rStyle w:val="TextoNormalCaracter"/>
        </w:rPr>
      </w:pPr>
      <w:bookmarkStart w:id="808" w:name="DESCRIPTORALFABETICO377"/>
      <w:r w:rsidRPr="003104DF">
        <w:rPr>
          <w:rStyle w:val="TextoNormalNegritaCaracter"/>
        </w:rPr>
        <w:t>Falta de fundamentación del recurso de apelación</w:t>
      </w:r>
      <w:bookmarkEnd w:id="808"/>
      <w:r w:rsidRPr="003104DF">
        <w:rPr>
          <w:rStyle w:val="TextoNormalCaracter"/>
        </w:rPr>
        <w:t xml:space="preserve">, Sentencia </w:t>
      </w:r>
      <w:hyperlink w:anchor="SENTENCIA_1992_64" w:history="1">
        <w:r w:rsidRPr="003104DF">
          <w:rPr>
            <w:rStyle w:val="TextoNormalCaracter"/>
          </w:rPr>
          <w:t>64/1992</w:t>
        </w:r>
      </w:hyperlink>
      <w:r w:rsidRPr="003104DF">
        <w:rPr>
          <w:rStyle w:val="TextoNormalCaracter"/>
        </w:rPr>
        <w:t>, f. 2.</w:t>
      </w:r>
    </w:p>
    <w:p w:rsidR="003104DF" w:rsidRPr="003104DF" w:rsidRDefault="003104DF" w:rsidP="003104DF">
      <w:pPr>
        <w:pStyle w:val="TextoNormalSangraFrancesa"/>
        <w:rPr>
          <w:rStyle w:val="TextoNormalCaracter"/>
        </w:rPr>
      </w:pPr>
      <w:bookmarkStart w:id="809" w:name="DESCRIPTORALFABETICO40"/>
      <w:r w:rsidRPr="003104DF">
        <w:rPr>
          <w:rStyle w:val="TextoNormalNegritaCaracter"/>
        </w:rPr>
        <w:t>Falta de identidad de supuestos de hecho</w:t>
      </w:r>
      <w:bookmarkEnd w:id="809"/>
      <w:r w:rsidRPr="003104DF">
        <w:rPr>
          <w:rStyle w:val="TextoNormalCaracter"/>
        </w:rPr>
        <w:t xml:space="preserve">, Sentencia </w:t>
      </w:r>
      <w:hyperlink w:anchor="SENTENCIA_1992_52" w:history="1">
        <w:r w:rsidRPr="003104DF">
          <w:rPr>
            <w:rStyle w:val="TextoNormalCaracter"/>
          </w:rPr>
          <w:t>52/1992</w:t>
        </w:r>
      </w:hyperlink>
      <w:r w:rsidRPr="003104DF">
        <w:rPr>
          <w:rStyle w:val="TextoNormalCaracter"/>
        </w:rPr>
        <w:t>, f. 4.</w:t>
      </w:r>
    </w:p>
    <w:p w:rsidR="003104DF" w:rsidRPr="003104DF" w:rsidRDefault="003104DF" w:rsidP="003104DF">
      <w:pPr>
        <w:pStyle w:val="TextoNormalSangraFrancesa"/>
        <w:rPr>
          <w:rStyle w:val="TextoNormalCaracter"/>
        </w:rPr>
      </w:pPr>
      <w:bookmarkStart w:id="810" w:name="DESCRIPTORALFABETICO135"/>
      <w:r w:rsidRPr="003104DF">
        <w:rPr>
          <w:rStyle w:val="TextoNormalNegritaCaracter"/>
        </w:rPr>
        <w:t>Falta de invocación del derecho vulnerado</w:t>
      </w:r>
      <w:bookmarkEnd w:id="810"/>
      <w:r w:rsidRPr="003104DF">
        <w:rPr>
          <w:rStyle w:val="TextoNormalCaracter"/>
        </w:rPr>
        <w:t xml:space="preserve">, Sentencia </w:t>
      </w:r>
      <w:hyperlink w:anchor="SENTENCIA_1992_18" w:history="1">
        <w:r w:rsidRPr="003104DF">
          <w:rPr>
            <w:rStyle w:val="TextoNormalCaracter"/>
          </w:rPr>
          <w:t>18/1992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 w:history="1">
        <w:r w:rsidRPr="003104DF">
          <w:rPr>
            <w:rStyle w:val="TextoNormalCaracter"/>
          </w:rPr>
          <w:t>5/1992</w:t>
        </w:r>
      </w:hyperlink>
      <w:r w:rsidRPr="003104DF">
        <w:rPr>
          <w:rStyle w:val="TextoNormalCaracter"/>
        </w:rPr>
        <w:t xml:space="preserve">; </w:t>
      </w:r>
      <w:hyperlink w:anchor="AUTO_1992_24" w:history="1">
        <w:r w:rsidRPr="003104DF">
          <w:rPr>
            <w:rStyle w:val="TextoNormalCaracter"/>
          </w:rPr>
          <w:t>24/1992</w:t>
        </w:r>
      </w:hyperlink>
      <w:r w:rsidRPr="003104DF">
        <w:rPr>
          <w:rStyle w:val="TextoNormalCaracter"/>
        </w:rPr>
        <w:t xml:space="preserve">; </w:t>
      </w:r>
      <w:hyperlink w:anchor="AUTO_1992_60" w:history="1">
        <w:r w:rsidRPr="003104DF">
          <w:rPr>
            <w:rStyle w:val="TextoNormalCaracter"/>
          </w:rPr>
          <w:t>60/1992</w:t>
        </w:r>
      </w:hyperlink>
      <w:r w:rsidRPr="003104DF">
        <w:rPr>
          <w:rStyle w:val="TextoNormalCaracter"/>
        </w:rPr>
        <w:t>.</w:t>
      </w:r>
    </w:p>
    <w:p w:rsidR="003104DF" w:rsidRPr="003104DF" w:rsidRDefault="003104DF" w:rsidP="003104DF">
      <w:pPr>
        <w:pStyle w:val="TextoNormalSangraFrancesa"/>
        <w:rPr>
          <w:rStyle w:val="TextoNormalCaracter"/>
        </w:rPr>
      </w:pPr>
      <w:bookmarkStart w:id="811" w:name="DESCRIPTORALFABETICO312"/>
      <w:r w:rsidRPr="003104DF">
        <w:rPr>
          <w:rStyle w:val="TextoNormalNegritaCaracter"/>
        </w:rPr>
        <w:t>Falta de notificación de cambio de procedimiento</w:t>
      </w:r>
      <w:bookmarkEnd w:id="811"/>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5.</w:t>
      </w:r>
    </w:p>
    <w:p w:rsidR="003104DF" w:rsidRPr="003104DF" w:rsidRDefault="003104DF" w:rsidP="003104DF">
      <w:pPr>
        <w:pStyle w:val="TextoNormalSangraFrancesa"/>
        <w:rPr>
          <w:rStyle w:val="TextoNormalCaracter"/>
        </w:rPr>
      </w:pPr>
      <w:bookmarkStart w:id="812" w:name="DESCRIPTORALFABETICO325"/>
      <w:r w:rsidRPr="003104DF">
        <w:rPr>
          <w:rStyle w:val="TextoNormalNegritaCaracter"/>
        </w:rPr>
        <w:t>Falta de subsanación de defectos procesales</w:t>
      </w:r>
      <w:bookmarkEnd w:id="812"/>
      <w:r w:rsidRPr="003104DF">
        <w:rPr>
          <w:rStyle w:val="TextoNormalCaracter"/>
        </w:rPr>
        <w:t xml:space="preserve">, Sentencia </w:t>
      </w:r>
      <w:hyperlink w:anchor="SENTENCIA_1992_64" w:history="1">
        <w:r w:rsidRPr="003104DF">
          <w:rPr>
            <w:rStyle w:val="TextoNormalCaracter"/>
          </w:rPr>
          <w:t>64/1992</w:t>
        </w:r>
      </w:hyperlink>
      <w:r w:rsidRPr="003104DF">
        <w:rPr>
          <w:rStyle w:val="TextoNormalCaracter"/>
        </w:rPr>
        <w:t>, ff. 4, 5.</w:t>
      </w:r>
    </w:p>
    <w:p w:rsidR="003104DF" w:rsidRPr="003104DF" w:rsidRDefault="003104DF" w:rsidP="003104DF">
      <w:pPr>
        <w:pStyle w:val="TextoNormalSangraFrancesa"/>
        <w:rPr>
          <w:rStyle w:val="TextoNormalCaracter"/>
        </w:rPr>
      </w:pPr>
      <w:bookmarkStart w:id="813" w:name="DESCRIPTORALFABETICO231"/>
      <w:r w:rsidRPr="003104DF">
        <w:rPr>
          <w:rStyle w:val="TextoNormalNegritaCaracter"/>
        </w:rPr>
        <w:t>Filiación</w:t>
      </w:r>
      <w:bookmarkEnd w:id="813"/>
      <w:r w:rsidRPr="003104DF">
        <w:rPr>
          <w:rStyle w:val="TextoNormalCaracter"/>
        </w:rPr>
        <w:t xml:space="preserve">, Auto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bookmarkStart w:id="814" w:name="DESCRIPTORALFABETICO288"/>
      <w:r w:rsidRPr="003104DF">
        <w:rPr>
          <w:rStyle w:val="TextoNormalNegritaCaracter"/>
        </w:rPr>
        <w:t>Fondo de Garantía Salarial</w:t>
      </w:r>
      <w:bookmarkEnd w:id="814"/>
      <w:r w:rsidRPr="003104DF">
        <w:rPr>
          <w:rStyle w:val="TextoNormalCaracter"/>
        </w:rPr>
        <w:t xml:space="preserve">, Sentencia </w:t>
      </w:r>
      <w:hyperlink w:anchor="SENTENCIA_1992_60" w:history="1">
        <w:r w:rsidRPr="003104DF">
          <w:rPr>
            <w:rStyle w:val="TextoNormalCaracter"/>
          </w:rPr>
          <w:t>60/1992</w:t>
        </w:r>
      </w:hyperlink>
      <w:r w:rsidRPr="003104DF">
        <w:rPr>
          <w:rStyle w:val="TextoNormalCaracter"/>
        </w:rPr>
        <w:t>, f. 2.</w:t>
      </w:r>
    </w:p>
    <w:p w:rsidR="003104DF" w:rsidRPr="003104DF" w:rsidRDefault="003104DF" w:rsidP="003104DF">
      <w:pPr>
        <w:pStyle w:val="TextoNormalSangraFrancesa"/>
        <w:rPr>
          <w:rStyle w:val="TextoNormalCaracter"/>
        </w:rPr>
      </w:pPr>
      <w:bookmarkStart w:id="815" w:name="DESCRIPTORALFABETICO237"/>
      <w:r w:rsidRPr="003104DF">
        <w:rPr>
          <w:rStyle w:val="TextoNormalNegritaCaracter"/>
        </w:rPr>
        <w:t>Función pública</w:t>
      </w:r>
      <w:bookmarkEnd w:id="815"/>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Régimen jurídico, </w:t>
      </w:r>
      <w:r w:rsidRPr="003104DF">
        <w:rPr>
          <w:rStyle w:val="TextoNormalCaracter"/>
        </w:rPr>
        <w:t xml:space="preserve">Sentencia </w:t>
      </w:r>
      <w:hyperlink w:anchor="SENTENCIA_1992_5" w:history="1">
        <w:r w:rsidRPr="003104DF">
          <w:rPr>
            <w:rStyle w:val="TextoNormalCaracter"/>
          </w:rPr>
          <w:t>5/1992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816" w:name="DESCRIPTORALFABETICO240"/>
      <w:r w:rsidRPr="003104DF">
        <w:rPr>
          <w:rStyle w:val="TextoNormalNegritaCaracter"/>
        </w:rPr>
        <w:t>Funcionarios públicos</w:t>
      </w:r>
      <w:bookmarkEnd w:id="816"/>
      <w:r w:rsidRPr="003104DF">
        <w:rPr>
          <w:rStyle w:val="TextoNormalCaracter"/>
        </w:rPr>
        <w:t xml:space="preserve">, Sentencia </w:t>
      </w:r>
      <w:hyperlink w:anchor="SENTENCIA_1992_5" w:history="1">
        <w:r w:rsidRPr="003104DF">
          <w:rPr>
            <w:rStyle w:val="TextoNormalCaracter"/>
          </w:rPr>
          <w:t>5/1992</w:t>
        </w:r>
      </w:hyperlink>
      <w:r w:rsidRPr="003104DF">
        <w:rPr>
          <w:rStyle w:val="TextoNormalCaracter"/>
        </w:rPr>
        <w:t>, ff. 1, 2, 3, 4, 5, 6, 7.</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G</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17" w:name="DESCRIPTORALFABETICO429"/>
      <w:r w:rsidRPr="003104DF">
        <w:rPr>
          <w:rStyle w:val="TextoNormalNegritaCaracter"/>
        </w:rPr>
        <w:t>Galicia</w:t>
      </w:r>
      <w:bookmarkEnd w:id="817"/>
      <w:r w:rsidRPr="003104DF">
        <w:rPr>
          <w:rStyle w:val="TextoNormalCaracter"/>
        </w:rPr>
        <w:t xml:space="preserve">, Sentencia </w:t>
      </w:r>
      <w:hyperlink w:anchor="SENTENCIA_1992_68" w:history="1">
        <w:r w:rsidRPr="003104DF">
          <w:rPr>
            <w:rStyle w:val="TextoNormalCaracter"/>
          </w:rPr>
          <w:t>68/1992</w:t>
        </w:r>
      </w:hyperlink>
      <w:r w:rsidRPr="003104DF">
        <w:rPr>
          <w:rStyle w:val="TextoNormalCaracter"/>
        </w:rPr>
        <w:t>, ff. 1, 2, 3.</w:t>
      </w:r>
    </w:p>
    <w:p w:rsidR="003104DF" w:rsidRPr="003104DF" w:rsidRDefault="003104DF" w:rsidP="003104DF">
      <w:pPr>
        <w:pStyle w:val="TextoNormalSangraFrancesa"/>
        <w:rPr>
          <w:rStyle w:val="TextoNormalCaracter"/>
        </w:rPr>
      </w:pPr>
      <w:bookmarkStart w:id="818" w:name="DESCRIPTORALFABETICO199"/>
      <w:r w:rsidRPr="003104DF">
        <w:rPr>
          <w:rStyle w:val="TextoNormalNegritaCaracter"/>
        </w:rPr>
        <w:t>Garantías constitucionales</w:t>
      </w:r>
      <w:bookmarkEnd w:id="818"/>
      <w:r w:rsidRPr="003104DF">
        <w:rPr>
          <w:rStyle w:val="TextoNormalCaracter"/>
        </w:rPr>
        <w:t xml:space="preserve">, Sentencia </w:t>
      </w:r>
      <w:hyperlink w:anchor="SENTENCIA_1992_45" w:history="1">
        <w:r w:rsidRPr="003104DF">
          <w:rPr>
            <w:rStyle w:val="TextoNormalCaracter"/>
          </w:rPr>
          <w:t>45/1992</w:t>
        </w:r>
      </w:hyperlink>
      <w:r w:rsidRPr="003104DF">
        <w:rPr>
          <w:rStyle w:val="TextoNormalCaracter"/>
        </w:rPr>
        <w:t>, f. 4.</w:t>
      </w:r>
    </w:p>
    <w:p w:rsidR="003104DF" w:rsidRPr="003104DF" w:rsidRDefault="003104DF" w:rsidP="003104DF">
      <w:pPr>
        <w:pStyle w:val="TextoNormalSangraFrancesa"/>
        <w:rPr>
          <w:rStyle w:val="TextoNormalCaracter"/>
        </w:rPr>
      </w:pPr>
      <w:bookmarkStart w:id="819" w:name="DESCRIPTORALFABETICO357"/>
      <w:r w:rsidRPr="003104DF">
        <w:rPr>
          <w:rStyle w:val="TextoNormalNegritaCaracter"/>
        </w:rPr>
        <w:t>Garantías del acogido a la defensa por el turno de oficio</w:t>
      </w:r>
      <w:bookmarkEnd w:id="819"/>
      <w:r w:rsidRPr="003104DF">
        <w:rPr>
          <w:rStyle w:val="TextoNormalCaracter"/>
        </w:rPr>
        <w:t xml:space="preserve">, Auto </w:t>
      </w:r>
      <w:hyperlink w:anchor="AUTO_1992_111" w:history="1">
        <w:r w:rsidRPr="003104DF">
          <w:rPr>
            <w:rStyle w:val="TextoNormalCaracter"/>
          </w:rPr>
          <w:t>111/1992</w:t>
        </w:r>
      </w:hyperlink>
      <w:r w:rsidRPr="003104DF">
        <w:rPr>
          <w:rStyle w:val="TextoNormalCaracter"/>
        </w:rPr>
        <w:t>.</w:t>
      </w:r>
    </w:p>
    <w:p w:rsidR="003104DF" w:rsidRPr="003104DF" w:rsidRDefault="003104DF" w:rsidP="003104DF">
      <w:pPr>
        <w:pStyle w:val="TextoNormalSangraFrancesa"/>
        <w:rPr>
          <w:rStyle w:val="TextoNormalCaracter"/>
        </w:rPr>
      </w:pPr>
      <w:bookmarkStart w:id="820" w:name="DESCRIPTORALFABETICO200"/>
      <w:r w:rsidRPr="003104DF">
        <w:rPr>
          <w:rStyle w:val="TextoNormalNegritaCaracter"/>
        </w:rPr>
        <w:t>Garantías institucionales</w:t>
      </w:r>
      <w:bookmarkEnd w:id="820"/>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2.</w:t>
      </w:r>
    </w:p>
    <w:p w:rsidR="003104DF" w:rsidRPr="003104DF" w:rsidRDefault="003104DF" w:rsidP="003104DF">
      <w:pPr>
        <w:pStyle w:val="TextoNormalSangraFrancesa"/>
        <w:rPr>
          <w:rStyle w:val="TextoNormalNegritaCaracter"/>
        </w:rPr>
      </w:pPr>
      <w:r w:rsidRPr="003104DF">
        <w:rPr>
          <w:rStyle w:val="TextoNormalCursivaCaracter"/>
        </w:rPr>
        <w:t>Garantías jurisdiccionales</w:t>
      </w:r>
      <w:r>
        <w:t xml:space="preserve"> véase </w:t>
      </w:r>
      <w:hyperlink w:anchor="DESCRIPTORALFABETICO92" w:history="1">
        <w:r w:rsidRPr="003104DF">
          <w:rPr>
            <w:rStyle w:val="TextoNormalNegritaCaracter"/>
          </w:rPr>
          <w:t>Garantías procesales</w:t>
        </w:r>
      </w:hyperlink>
    </w:p>
    <w:p w:rsidR="003104DF" w:rsidRPr="003104DF" w:rsidRDefault="003104DF" w:rsidP="003104DF">
      <w:pPr>
        <w:pStyle w:val="TextoNormalSangraFrancesa"/>
        <w:rPr>
          <w:rStyle w:val="TextoNormalCaracter"/>
        </w:rPr>
      </w:pPr>
      <w:bookmarkStart w:id="821" w:name="DESCRIPTORALFABETICO92"/>
      <w:r w:rsidRPr="003104DF">
        <w:rPr>
          <w:rStyle w:val="TextoNormalNegritaCaracter"/>
        </w:rPr>
        <w:t>Garantías procesales</w:t>
      </w:r>
      <w:bookmarkEnd w:id="821"/>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 2, VP;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bookmarkStart w:id="822" w:name="DESCRIPTORALFABETICO93"/>
      <w:r w:rsidRPr="003104DF">
        <w:rPr>
          <w:rStyle w:val="TextoNormalNegritaCaracter"/>
        </w:rPr>
        <w:t>Garantías procesales del deudor</w:t>
      </w:r>
      <w:bookmarkEnd w:id="822"/>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 2, VP;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bookmarkStart w:id="823" w:name="DESCRIPTORALFABETICO15"/>
      <w:r w:rsidRPr="003104DF">
        <w:rPr>
          <w:rStyle w:val="TextoNormalNegritaCaracter"/>
        </w:rPr>
        <w:t>Gasto público</w:t>
      </w:r>
      <w:bookmarkEnd w:id="823"/>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7, 9.</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4.</w:t>
      </w:r>
    </w:p>
    <w:p w:rsidR="003104DF" w:rsidRPr="003104DF" w:rsidRDefault="003104DF" w:rsidP="003104DF">
      <w:pPr>
        <w:pStyle w:val="TextoNormalSangraFrancesa"/>
        <w:rPr>
          <w:rStyle w:val="TextoNormalCaracter"/>
        </w:rPr>
      </w:pPr>
      <w:bookmarkStart w:id="824" w:name="DESCRIPTORALFABETICO180"/>
      <w:r w:rsidRPr="003104DF">
        <w:rPr>
          <w:rStyle w:val="TextoNormalNegritaCaracter"/>
        </w:rPr>
        <w:t>Grupos parlamentarios</w:t>
      </w:r>
      <w:bookmarkEnd w:id="824"/>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ff. 1, 2, 3, 4, 5, 6, 7.</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H</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25" w:name="DESCRIPTORALFABETICO19"/>
      <w:r w:rsidRPr="003104DF">
        <w:rPr>
          <w:rStyle w:val="TextoNormalNegritaCaracter"/>
        </w:rPr>
        <w:t>Hacienda autonómica</w:t>
      </w:r>
      <w:bookmarkEnd w:id="825"/>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3, 7.</w:t>
      </w:r>
    </w:p>
    <w:p w:rsidR="003104DF" w:rsidRPr="003104DF" w:rsidRDefault="003104DF" w:rsidP="003104DF">
      <w:pPr>
        <w:pStyle w:val="TextoNormalSangraFrancesa"/>
        <w:rPr>
          <w:rStyle w:val="TextoNormalCaracter"/>
        </w:rPr>
      </w:pPr>
      <w:bookmarkStart w:id="826" w:name="DESCRIPTORALFABETICO345"/>
      <w:r w:rsidRPr="003104DF">
        <w:rPr>
          <w:rStyle w:val="TextoNormalNegritaCaracter"/>
        </w:rPr>
        <w:t>Hechos nuevos</w:t>
      </w:r>
      <w:bookmarkEnd w:id="826"/>
      <w:r w:rsidRPr="003104DF">
        <w:rPr>
          <w:rStyle w:val="TextoNormalCaracter"/>
        </w:rPr>
        <w:t xml:space="preserve">, Auto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bookmarkStart w:id="827" w:name="DESCRIPTORALFABETICO202"/>
      <w:r w:rsidRPr="003104DF">
        <w:rPr>
          <w:rStyle w:val="TextoNormalNegritaCaracter"/>
        </w:rPr>
        <w:t>Hispanoamericanos</w:t>
      </w:r>
      <w:bookmarkEnd w:id="827"/>
      <w:r w:rsidRPr="003104DF">
        <w:rPr>
          <w:rStyle w:val="TextoNormalCaracter"/>
        </w:rPr>
        <w:t xml:space="preserve">, 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Caracter"/>
        </w:rPr>
      </w:pPr>
      <w:bookmarkStart w:id="828" w:name="DESCRIPTORALFABETICO367"/>
      <w:r w:rsidRPr="003104DF">
        <w:rPr>
          <w:rStyle w:val="TextoNormalNegritaCaracter"/>
        </w:rPr>
        <w:t>Honorarios de abogado</w:t>
      </w:r>
      <w:bookmarkEnd w:id="828"/>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I</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29" w:name="DESCRIPTORALFABETICO41"/>
      <w:r w:rsidRPr="003104DF">
        <w:rPr>
          <w:rStyle w:val="TextoNormalNegritaCaracter"/>
        </w:rPr>
        <w:t>Igualdad en la aplicación de la ley</w:t>
      </w:r>
      <w:bookmarkEnd w:id="829"/>
      <w:r w:rsidRPr="003104DF">
        <w:rPr>
          <w:rStyle w:val="TextoNormalCaracter"/>
        </w:rPr>
        <w:t xml:space="preserve">, Autos </w:t>
      </w:r>
      <w:hyperlink w:anchor="AUTO_1992_92" w:history="1">
        <w:r w:rsidRPr="003104DF">
          <w:rPr>
            <w:rStyle w:val="TextoNormalCaracter"/>
          </w:rPr>
          <w:t>92/1992</w:t>
        </w:r>
      </w:hyperlink>
      <w:r w:rsidRPr="003104DF">
        <w:rPr>
          <w:rStyle w:val="TextoNormalCaracter"/>
        </w:rPr>
        <w:t xml:space="preserve">; </w:t>
      </w:r>
      <w:hyperlink w:anchor="AUTO_1992_93" w:history="1">
        <w:r w:rsidRPr="003104DF">
          <w:rPr>
            <w:rStyle w:val="TextoNormalCaracter"/>
          </w:rPr>
          <w:t>93/1992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58" w:history="1">
        <w:r w:rsidRPr="003104DF">
          <w:rPr>
            <w:rStyle w:val="TextoNormalCaracter"/>
          </w:rPr>
          <w:t>58/1992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27" w:history="1">
        <w:r w:rsidRPr="003104DF">
          <w:rPr>
            <w:rStyle w:val="TextoNormalCaracter"/>
          </w:rPr>
          <w:t>27/1992</w:t>
        </w:r>
      </w:hyperlink>
      <w:r w:rsidRPr="003104DF">
        <w:rPr>
          <w:rStyle w:val="TextoNormalCaracter"/>
        </w:rPr>
        <w:t xml:space="preserve">; </w:t>
      </w:r>
      <w:hyperlink w:anchor="AUTO_1992_74" w:history="1">
        <w:r w:rsidRPr="003104DF">
          <w:rPr>
            <w:rStyle w:val="TextoNormalCaracter"/>
          </w:rPr>
          <w:t>74/1992</w:t>
        </w:r>
      </w:hyperlink>
      <w:r w:rsidRPr="003104DF">
        <w:rPr>
          <w:rStyle w:val="TextoNormalCaracter"/>
        </w:rPr>
        <w:t xml:space="preserve">; </w:t>
      </w:r>
      <w:hyperlink w:anchor="AUTO_1992_86" w:history="1">
        <w:r w:rsidRPr="003104DF">
          <w:rPr>
            <w:rStyle w:val="TextoNormalCaracter"/>
          </w:rPr>
          <w:t>86/1992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Respetada, </w:t>
      </w:r>
      <w:r w:rsidRPr="003104DF">
        <w:rPr>
          <w:rStyle w:val="TextoNormalCaracter"/>
        </w:rPr>
        <w:t xml:space="preserve">Sentencia </w:t>
      </w:r>
      <w:hyperlink w:anchor="SENTENCIA_1992_52" w:history="1">
        <w:r w:rsidRPr="003104DF">
          <w:rPr>
            <w:rStyle w:val="TextoNormalCaracter"/>
          </w:rPr>
          <w:t>52/1992</w:t>
        </w:r>
      </w:hyperlink>
      <w:r w:rsidRPr="003104DF">
        <w:rPr>
          <w:rStyle w:val="TextoNormalCaracter"/>
        </w:rPr>
        <w:t>, f. 4.</w:t>
      </w:r>
    </w:p>
    <w:p w:rsidR="003104DF" w:rsidRPr="003104DF" w:rsidRDefault="003104DF" w:rsidP="003104DF">
      <w:pPr>
        <w:pStyle w:val="TextoNormalSangraFrancesa"/>
        <w:rPr>
          <w:rStyle w:val="TextoNormalCaracter"/>
        </w:rPr>
      </w:pPr>
      <w:bookmarkStart w:id="830" w:name="DESCRIPTORALFABETICO43"/>
      <w:r w:rsidRPr="003104DF">
        <w:rPr>
          <w:rStyle w:val="TextoNormalNegritaCaracter"/>
        </w:rPr>
        <w:t>Igualdad en la ley</w:t>
      </w:r>
      <w:bookmarkEnd w:id="830"/>
      <w:r w:rsidRPr="003104DF">
        <w:rPr>
          <w:rStyle w:val="TextoNormalCaracter"/>
        </w:rPr>
        <w:t xml:space="preserve">, Sentencia </w:t>
      </w:r>
      <w:hyperlink w:anchor="SENTENCIA_1992_48" w:history="1">
        <w:r w:rsidRPr="003104DF">
          <w:rPr>
            <w:rStyle w:val="TextoNormalCaracter"/>
          </w:rPr>
          <w:t>48/1992</w:t>
        </w:r>
      </w:hyperlink>
      <w:r w:rsidRPr="003104DF">
        <w:rPr>
          <w:rStyle w:val="TextoNormalCaracter"/>
        </w:rPr>
        <w:t>, ff. 2,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4" w:history="1">
        <w:r w:rsidRPr="003104DF">
          <w:rPr>
            <w:rStyle w:val="TextoNormalCaracter"/>
          </w:rPr>
          <w:t>54/1992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Respetada, </w:t>
      </w:r>
      <w:r w:rsidRPr="003104DF">
        <w:rPr>
          <w:rStyle w:val="TextoNormalCaracter"/>
        </w:rPr>
        <w:t xml:space="preserve">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Caracter"/>
        </w:rPr>
      </w:pPr>
      <w:bookmarkStart w:id="831" w:name="DESCRIPTORALFABETICO284"/>
      <w:r w:rsidRPr="003104DF">
        <w:rPr>
          <w:rStyle w:val="TextoNormalNegritaCaracter"/>
        </w:rPr>
        <w:t>Imparcialidad en la fijación de servicios mínimos</w:t>
      </w:r>
      <w:bookmarkEnd w:id="831"/>
      <w:r w:rsidRPr="003104DF">
        <w:rPr>
          <w:rStyle w:val="TextoNormalCaracter"/>
        </w:rPr>
        <w:t xml:space="preserve">, Sentencia </w:t>
      </w:r>
      <w:hyperlink w:anchor="SENTENCIA_1992_8" w:history="1">
        <w:r w:rsidRPr="003104DF">
          <w:rPr>
            <w:rStyle w:val="TextoNormalCaracter"/>
          </w:rPr>
          <w:t>8/1992</w:t>
        </w:r>
      </w:hyperlink>
      <w:r w:rsidRPr="003104DF">
        <w:rPr>
          <w:rStyle w:val="TextoNormalCaracter"/>
        </w:rPr>
        <w:t>, f. 4.</w:t>
      </w:r>
    </w:p>
    <w:p w:rsidR="003104DF" w:rsidRPr="003104DF" w:rsidRDefault="003104DF" w:rsidP="003104DF">
      <w:pPr>
        <w:pStyle w:val="TextoNormalSangraFrancesa"/>
        <w:rPr>
          <w:rStyle w:val="TextoNormalCaracter"/>
        </w:rPr>
      </w:pPr>
      <w:bookmarkStart w:id="832" w:name="DESCRIPTORALFABETICO330"/>
      <w:r w:rsidRPr="003104DF">
        <w:rPr>
          <w:rStyle w:val="TextoNormalNegritaCaracter"/>
        </w:rPr>
        <w:t>Imposibilidad de ejecución</w:t>
      </w:r>
      <w:bookmarkEnd w:id="832"/>
      <w:r w:rsidRPr="003104DF">
        <w:rPr>
          <w:rStyle w:val="TextoNormalCaracter"/>
        </w:rPr>
        <w:t xml:space="preserve">, Auto </w:t>
      </w:r>
      <w:hyperlink w:anchor="AUTO_1992_4" w:history="1">
        <w:r w:rsidRPr="003104DF">
          <w:rPr>
            <w:rStyle w:val="TextoNormalCaracter"/>
          </w:rPr>
          <w:t>4/1992</w:t>
        </w:r>
      </w:hyperlink>
      <w:r w:rsidRPr="003104DF">
        <w:rPr>
          <w:rStyle w:val="TextoNormalCaracter"/>
        </w:rPr>
        <w:t>.</w:t>
      </w:r>
    </w:p>
    <w:p w:rsidR="003104DF" w:rsidRPr="003104DF" w:rsidRDefault="003104DF" w:rsidP="003104DF">
      <w:pPr>
        <w:pStyle w:val="TextoNormalSangraFrancesa"/>
        <w:rPr>
          <w:rStyle w:val="TextoNormalCaracter"/>
        </w:rPr>
      </w:pPr>
      <w:bookmarkStart w:id="833" w:name="DESCRIPTORALFABETICO168"/>
      <w:r w:rsidRPr="003104DF">
        <w:rPr>
          <w:rStyle w:val="TextoNormalNegritaCaracter"/>
        </w:rPr>
        <w:t>Impugnabilidad de resoluciones de los Juzgados de Vigilancia Penitenciaria</w:t>
      </w:r>
      <w:bookmarkEnd w:id="833"/>
      <w:r w:rsidRPr="003104DF">
        <w:rPr>
          <w:rStyle w:val="TextoNormalCaracter"/>
        </w:rPr>
        <w:t xml:space="preserve">, Sentencia </w:t>
      </w:r>
      <w:hyperlink w:anchor="SENTENCIA_1992_54" w:history="1">
        <w:r w:rsidRPr="003104DF">
          <w:rPr>
            <w:rStyle w:val="TextoNormalCaracter"/>
          </w:rPr>
          <w:t>54/1992</w:t>
        </w:r>
      </w:hyperlink>
      <w:r w:rsidRPr="003104DF">
        <w:rPr>
          <w:rStyle w:val="TextoNormalCaracter"/>
        </w:rPr>
        <w:t>, f. 3.</w:t>
      </w:r>
    </w:p>
    <w:p w:rsidR="003104DF" w:rsidRPr="003104DF" w:rsidRDefault="003104DF" w:rsidP="003104DF">
      <w:pPr>
        <w:pStyle w:val="TextoNormalSangraFrancesa"/>
        <w:rPr>
          <w:rStyle w:val="TextoNormalCaracter"/>
        </w:rPr>
      </w:pPr>
      <w:bookmarkStart w:id="834" w:name="DESCRIPTORALFABETICO249"/>
      <w:r w:rsidRPr="003104DF">
        <w:rPr>
          <w:rStyle w:val="TextoNormalNegritaCaracter"/>
        </w:rPr>
        <w:t>Impugnación de leyes de presupuestos</w:t>
      </w:r>
      <w:bookmarkEnd w:id="834"/>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1, 2, 3, 4, 5, 6, 7, 8, 9, 10, 11, 12, 13, 14, 15, 16, 17.</w:t>
      </w:r>
    </w:p>
    <w:p w:rsidR="003104DF" w:rsidRPr="003104DF" w:rsidRDefault="003104DF" w:rsidP="003104DF">
      <w:pPr>
        <w:pStyle w:val="TextoNormalSangraFrancesa"/>
        <w:rPr>
          <w:rStyle w:val="TextoNormalCaracter"/>
        </w:rPr>
      </w:pPr>
      <w:bookmarkStart w:id="835" w:name="DESCRIPTORALFABETICO133"/>
      <w:r w:rsidRPr="003104DF">
        <w:rPr>
          <w:rStyle w:val="TextoNormalNegritaCaracter"/>
        </w:rPr>
        <w:t>Imputabilidad de la violación al órgano judicial</w:t>
      </w:r>
      <w:bookmarkEnd w:id="835"/>
      <w:r w:rsidRPr="003104DF">
        <w:rPr>
          <w:rStyle w:val="TextoNormalCaracter"/>
        </w:rPr>
        <w:t xml:space="preserve">, Sentencia </w:t>
      </w:r>
      <w:hyperlink w:anchor="SENTENCIA_1992_30" w:history="1">
        <w:r w:rsidRPr="003104DF">
          <w:rPr>
            <w:rStyle w:val="TextoNormalCaracter"/>
          </w:rPr>
          <w:t>30/1992</w:t>
        </w:r>
      </w:hyperlink>
      <w:r w:rsidRPr="003104DF">
        <w:rPr>
          <w:rStyle w:val="TextoNormalCaracter"/>
        </w:rPr>
        <w:t>, f. 2.</w:t>
      </w:r>
    </w:p>
    <w:p w:rsidR="003104DF" w:rsidRPr="003104DF" w:rsidRDefault="003104DF" w:rsidP="003104DF">
      <w:pPr>
        <w:pStyle w:val="TextoNormalSangraFrancesa"/>
        <w:rPr>
          <w:rStyle w:val="TextoNormalCaracter"/>
        </w:rPr>
      </w:pPr>
      <w:bookmarkStart w:id="836" w:name="DESCRIPTORALFABETICO414"/>
      <w:r w:rsidRPr="003104DF">
        <w:rPr>
          <w:rStyle w:val="TextoNormalNegritaCaracter"/>
        </w:rPr>
        <w:t>Imputados</w:t>
      </w:r>
      <w:bookmarkEnd w:id="836"/>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Concepto, </w:t>
      </w:r>
      <w:r w:rsidRPr="003104DF">
        <w:rPr>
          <w:rStyle w:val="TextoNormalCaracter"/>
        </w:rPr>
        <w:t xml:space="preserve">Auto </w:t>
      </w:r>
      <w:hyperlink w:anchor="AUTO_1992_83" w:history="1">
        <w:r w:rsidRPr="003104DF">
          <w:rPr>
            <w:rStyle w:val="TextoNormalCaracter"/>
          </w:rPr>
          <w:t>83/1992</w:t>
        </w:r>
      </w:hyperlink>
      <w:r w:rsidRPr="003104DF">
        <w:rPr>
          <w:rStyle w:val="TextoNormalCaracter"/>
        </w:rPr>
        <w:t>.</w:t>
      </w:r>
    </w:p>
    <w:p w:rsidR="003104DF" w:rsidRPr="003104DF" w:rsidRDefault="003104DF" w:rsidP="003104DF">
      <w:pPr>
        <w:pStyle w:val="TextoNormalSangraFrancesa"/>
        <w:rPr>
          <w:rStyle w:val="TextoNormalCaracter"/>
        </w:rPr>
      </w:pPr>
      <w:bookmarkStart w:id="837" w:name="DESCRIPTORALFABETICO399"/>
      <w:r w:rsidRPr="003104DF">
        <w:rPr>
          <w:rStyle w:val="TextoNormalNegritaCaracter"/>
        </w:rPr>
        <w:t>Inadmisión de recurso contencioso-administrativo</w:t>
      </w:r>
      <w:bookmarkEnd w:id="837"/>
      <w:r w:rsidRPr="003104DF">
        <w:rPr>
          <w:rStyle w:val="TextoNormalCaracter"/>
        </w:rPr>
        <w:t xml:space="preserve">, Sentencias </w:t>
      </w:r>
      <w:hyperlink w:anchor="SENTENCIA_1992_43" w:history="1">
        <w:r w:rsidRPr="003104DF">
          <w:rPr>
            <w:rStyle w:val="TextoNormalCaracter"/>
          </w:rPr>
          <w:t>43/1992</w:t>
        </w:r>
      </w:hyperlink>
      <w:r w:rsidRPr="003104DF">
        <w:rPr>
          <w:rStyle w:val="TextoNormalCaracter"/>
        </w:rPr>
        <w:t xml:space="preserve">, ff. 1, 2, 3; </w:t>
      </w:r>
      <w:hyperlink w:anchor="SENTENCIA_1992_53" w:history="1">
        <w:r w:rsidRPr="003104DF">
          <w:rPr>
            <w:rStyle w:val="TextoNormalCaracter"/>
          </w:rPr>
          <w:t>53/1992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838" w:name="DESCRIPTORALFABETICO151"/>
      <w:r w:rsidRPr="003104DF">
        <w:rPr>
          <w:rStyle w:val="TextoNormalNegritaCaracter"/>
        </w:rPr>
        <w:t>Inadmisión de recurso de amparo</w:t>
      </w:r>
      <w:bookmarkEnd w:id="838"/>
      <w:r w:rsidRPr="003104DF">
        <w:rPr>
          <w:rStyle w:val="TextoNormalCaracter"/>
        </w:rPr>
        <w:t xml:space="preserve">, Sentencias </w:t>
      </w:r>
      <w:hyperlink w:anchor="SENTENCIA_1992_18" w:history="1">
        <w:r w:rsidRPr="003104DF">
          <w:rPr>
            <w:rStyle w:val="TextoNormalCaracter"/>
          </w:rPr>
          <w:t>18/1992</w:t>
        </w:r>
      </w:hyperlink>
      <w:r w:rsidRPr="003104DF">
        <w:rPr>
          <w:rStyle w:val="TextoNormalCaracter"/>
        </w:rPr>
        <w:t xml:space="preserve">, f. 2; </w:t>
      </w:r>
      <w:hyperlink w:anchor="SENTENCIA_1992_27" w:history="1">
        <w:r w:rsidRPr="003104DF">
          <w:rPr>
            <w:rStyle w:val="TextoNormalCaracter"/>
          </w:rPr>
          <w:t>27/1992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3" w:history="1">
        <w:r w:rsidRPr="003104DF">
          <w:rPr>
            <w:rStyle w:val="TextoNormalCaracter"/>
          </w:rPr>
          <w:t>3/1992</w:t>
        </w:r>
      </w:hyperlink>
      <w:r w:rsidRPr="003104DF">
        <w:rPr>
          <w:rStyle w:val="TextoNormalCaracter"/>
        </w:rPr>
        <w:t xml:space="preserve">; </w:t>
      </w:r>
      <w:hyperlink w:anchor="AUTO_1992_4" w:history="1">
        <w:r w:rsidRPr="003104DF">
          <w:rPr>
            <w:rStyle w:val="TextoNormalCaracter"/>
          </w:rPr>
          <w:t>4/1992</w:t>
        </w:r>
      </w:hyperlink>
      <w:r w:rsidRPr="003104DF">
        <w:rPr>
          <w:rStyle w:val="TextoNormalCaracter"/>
        </w:rPr>
        <w:t xml:space="preserve">; </w:t>
      </w:r>
      <w:hyperlink w:anchor="AUTO_1992_6" w:history="1">
        <w:r w:rsidRPr="003104DF">
          <w:rPr>
            <w:rStyle w:val="TextoNormalCaracter"/>
          </w:rPr>
          <w:t>6/1992</w:t>
        </w:r>
      </w:hyperlink>
      <w:r w:rsidRPr="003104DF">
        <w:rPr>
          <w:rStyle w:val="TextoNormalCaracter"/>
        </w:rPr>
        <w:t xml:space="preserve">; </w:t>
      </w:r>
      <w:hyperlink w:anchor="AUTO_1992_7" w:history="1">
        <w:r w:rsidRPr="003104DF">
          <w:rPr>
            <w:rStyle w:val="TextoNormalCaracter"/>
          </w:rPr>
          <w:t>7/1992</w:t>
        </w:r>
      </w:hyperlink>
      <w:r w:rsidRPr="003104DF">
        <w:rPr>
          <w:rStyle w:val="TextoNormalCaracter"/>
        </w:rPr>
        <w:t xml:space="preserve">; </w:t>
      </w:r>
      <w:hyperlink w:anchor="AUTO_1992_13" w:history="1">
        <w:r w:rsidRPr="003104DF">
          <w:rPr>
            <w:rStyle w:val="TextoNormalCaracter"/>
          </w:rPr>
          <w:t>13/1992</w:t>
        </w:r>
      </w:hyperlink>
      <w:r w:rsidRPr="003104DF">
        <w:rPr>
          <w:rStyle w:val="TextoNormalCaracter"/>
        </w:rPr>
        <w:t xml:space="preserve">; </w:t>
      </w:r>
      <w:hyperlink w:anchor="AUTO_1992_16" w:history="1">
        <w:r w:rsidRPr="003104DF">
          <w:rPr>
            <w:rStyle w:val="TextoNormalCaracter"/>
          </w:rPr>
          <w:t>16/1992</w:t>
        </w:r>
      </w:hyperlink>
      <w:r w:rsidRPr="003104DF">
        <w:rPr>
          <w:rStyle w:val="TextoNormalCaracter"/>
        </w:rPr>
        <w:t xml:space="preserve">; </w:t>
      </w:r>
      <w:hyperlink w:anchor="AUTO_1992_17" w:history="1">
        <w:r w:rsidRPr="003104DF">
          <w:rPr>
            <w:rStyle w:val="TextoNormalCaracter"/>
          </w:rPr>
          <w:t>17/1992</w:t>
        </w:r>
      </w:hyperlink>
      <w:r w:rsidRPr="003104DF">
        <w:rPr>
          <w:rStyle w:val="TextoNormalCaracter"/>
        </w:rPr>
        <w:t xml:space="preserve">; </w:t>
      </w:r>
      <w:hyperlink w:anchor="AUTO_1992_19" w:history="1">
        <w:r w:rsidRPr="003104DF">
          <w:rPr>
            <w:rStyle w:val="TextoNormalCaracter"/>
          </w:rPr>
          <w:t>19/1992</w:t>
        </w:r>
      </w:hyperlink>
      <w:r w:rsidRPr="003104DF">
        <w:rPr>
          <w:rStyle w:val="TextoNormalCaracter"/>
        </w:rPr>
        <w:t xml:space="preserve">; </w:t>
      </w:r>
      <w:hyperlink w:anchor="AUTO_1992_21" w:history="1">
        <w:r w:rsidRPr="003104DF">
          <w:rPr>
            <w:rStyle w:val="TextoNormalCaracter"/>
          </w:rPr>
          <w:t>21/1992</w:t>
        </w:r>
      </w:hyperlink>
      <w:r w:rsidRPr="003104DF">
        <w:rPr>
          <w:rStyle w:val="TextoNormalCaracter"/>
        </w:rPr>
        <w:t xml:space="preserve">; </w:t>
      </w:r>
      <w:hyperlink w:anchor="AUTO_1992_22" w:history="1">
        <w:r w:rsidRPr="003104DF">
          <w:rPr>
            <w:rStyle w:val="TextoNormalCaracter"/>
          </w:rPr>
          <w:t>22/1992</w:t>
        </w:r>
      </w:hyperlink>
      <w:r w:rsidRPr="003104DF">
        <w:rPr>
          <w:rStyle w:val="TextoNormalCaracter"/>
        </w:rPr>
        <w:t xml:space="preserve">; </w:t>
      </w:r>
      <w:hyperlink w:anchor="AUTO_1992_23" w:history="1">
        <w:r w:rsidRPr="003104DF">
          <w:rPr>
            <w:rStyle w:val="TextoNormalCaracter"/>
          </w:rPr>
          <w:t>23/1992</w:t>
        </w:r>
      </w:hyperlink>
      <w:r w:rsidRPr="003104DF">
        <w:rPr>
          <w:rStyle w:val="TextoNormalCaracter"/>
        </w:rPr>
        <w:t xml:space="preserve">; </w:t>
      </w:r>
      <w:hyperlink w:anchor="AUTO_1992_24" w:history="1">
        <w:r w:rsidRPr="003104DF">
          <w:rPr>
            <w:rStyle w:val="TextoNormalCaracter"/>
          </w:rPr>
          <w:t>24/1992</w:t>
        </w:r>
      </w:hyperlink>
      <w:r w:rsidRPr="003104DF">
        <w:rPr>
          <w:rStyle w:val="TextoNormalCaracter"/>
        </w:rPr>
        <w:t xml:space="preserve">; </w:t>
      </w:r>
      <w:hyperlink w:anchor="AUTO_1992_25" w:history="1">
        <w:r w:rsidRPr="003104DF">
          <w:rPr>
            <w:rStyle w:val="TextoNormalCaracter"/>
          </w:rPr>
          <w:t>25/1992</w:t>
        </w:r>
      </w:hyperlink>
      <w:r w:rsidRPr="003104DF">
        <w:rPr>
          <w:rStyle w:val="TextoNormalCaracter"/>
        </w:rPr>
        <w:t xml:space="preserve">; </w:t>
      </w:r>
      <w:hyperlink w:anchor="AUTO_1992_26" w:history="1">
        <w:r w:rsidRPr="003104DF">
          <w:rPr>
            <w:rStyle w:val="TextoNormalCaracter"/>
          </w:rPr>
          <w:t>26/1992</w:t>
        </w:r>
      </w:hyperlink>
      <w:r w:rsidRPr="003104DF">
        <w:rPr>
          <w:rStyle w:val="TextoNormalCaracter"/>
        </w:rPr>
        <w:t xml:space="preserve">; </w:t>
      </w:r>
      <w:hyperlink w:anchor="AUTO_1992_27" w:history="1">
        <w:r w:rsidRPr="003104DF">
          <w:rPr>
            <w:rStyle w:val="TextoNormalCaracter"/>
          </w:rPr>
          <w:t>27/1992</w:t>
        </w:r>
      </w:hyperlink>
      <w:r w:rsidRPr="003104DF">
        <w:rPr>
          <w:rStyle w:val="TextoNormalCaracter"/>
        </w:rPr>
        <w:t xml:space="preserve">; </w:t>
      </w:r>
      <w:hyperlink w:anchor="AUTO_1992_37" w:history="1">
        <w:r w:rsidRPr="003104DF">
          <w:rPr>
            <w:rStyle w:val="TextoNormalCaracter"/>
          </w:rPr>
          <w:t>37/1992</w:t>
        </w:r>
      </w:hyperlink>
      <w:r w:rsidRPr="003104DF">
        <w:rPr>
          <w:rStyle w:val="TextoNormalCaracter"/>
        </w:rPr>
        <w:t xml:space="preserve">; </w:t>
      </w:r>
      <w:hyperlink w:anchor="AUTO_1992_38" w:history="1">
        <w:r w:rsidRPr="003104DF">
          <w:rPr>
            <w:rStyle w:val="TextoNormalCaracter"/>
          </w:rPr>
          <w:t>38/1992</w:t>
        </w:r>
      </w:hyperlink>
      <w:r w:rsidRPr="003104DF">
        <w:rPr>
          <w:rStyle w:val="TextoNormalCaracter"/>
        </w:rPr>
        <w:t xml:space="preserve">; </w:t>
      </w:r>
      <w:hyperlink w:anchor="AUTO_1992_40" w:history="1">
        <w:r w:rsidRPr="003104DF">
          <w:rPr>
            <w:rStyle w:val="TextoNormalCaracter"/>
          </w:rPr>
          <w:t>40/1992</w:t>
        </w:r>
      </w:hyperlink>
      <w:r w:rsidRPr="003104DF">
        <w:rPr>
          <w:rStyle w:val="TextoNormalCaracter"/>
        </w:rPr>
        <w:t xml:space="preserve">; </w:t>
      </w:r>
      <w:hyperlink w:anchor="AUTO_1992_42" w:history="1">
        <w:r w:rsidRPr="003104DF">
          <w:rPr>
            <w:rStyle w:val="TextoNormalCaracter"/>
          </w:rPr>
          <w:t>42/1992</w:t>
        </w:r>
      </w:hyperlink>
      <w:r w:rsidRPr="003104DF">
        <w:rPr>
          <w:rStyle w:val="TextoNormalCaracter"/>
        </w:rPr>
        <w:t xml:space="preserve">; </w:t>
      </w:r>
      <w:hyperlink w:anchor="AUTO_1992_50" w:history="1">
        <w:r w:rsidRPr="003104DF">
          <w:rPr>
            <w:rStyle w:val="TextoNormalCaracter"/>
          </w:rPr>
          <w:t>50/1992</w:t>
        </w:r>
      </w:hyperlink>
      <w:r w:rsidRPr="003104DF">
        <w:rPr>
          <w:rStyle w:val="TextoNormalCaracter"/>
        </w:rPr>
        <w:t xml:space="preserve">; </w:t>
      </w:r>
      <w:hyperlink w:anchor="AUTO_1992_51" w:history="1">
        <w:r w:rsidRPr="003104DF">
          <w:rPr>
            <w:rStyle w:val="TextoNormalCaracter"/>
          </w:rPr>
          <w:t>51/1992</w:t>
        </w:r>
      </w:hyperlink>
      <w:r w:rsidRPr="003104DF">
        <w:rPr>
          <w:rStyle w:val="TextoNormalCaracter"/>
        </w:rPr>
        <w:t xml:space="preserve">; </w:t>
      </w:r>
      <w:hyperlink w:anchor="AUTO_1992_52" w:history="1">
        <w:r w:rsidRPr="003104DF">
          <w:rPr>
            <w:rStyle w:val="TextoNormalCaracter"/>
          </w:rPr>
          <w:t>52/1992</w:t>
        </w:r>
      </w:hyperlink>
      <w:r w:rsidRPr="003104DF">
        <w:rPr>
          <w:rStyle w:val="TextoNormalCaracter"/>
        </w:rPr>
        <w:t xml:space="preserve">; </w:t>
      </w:r>
      <w:hyperlink w:anchor="AUTO_1992_54" w:history="1">
        <w:r w:rsidRPr="003104DF">
          <w:rPr>
            <w:rStyle w:val="TextoNormalCaracter"/>
          </w:rPr>
          <w:t>54/1992</w:t>
        </w:r>
      </w:hyperlink>
      <w:r w:rsidRPr="003104DF">
        <w:rPr>
          <w:rStyle w:val="TextoNormalCaracter"/>
        </w:rPr>
        <w:t xml:space="preserve">; </w:t>
      </w:r>
      <w:hyperlink w:anchor="AUTO_1992_55" w:history="1">
        <w:r w:rsidRPr="003104DF">
          <w:rPr>
            <w:rStyle w:val="TextoNormalCaracter"/>
          </w:rPr>
          <w:t>55/1992</w:t>
        </w:r>
      </w:hyperlink>
      <w:r w:rsidRPr="003104DF">
        <w:rPr>
          <w:rStyle w:val="TextoNormalCaracter"/>
        </w:rPr>
        <w:t xml:space="preserve">; </w:t>
      </w:r>
      <w:hyperlink w:anchor="AUTO_1992_58" w:history="1">
        <w:r w:rsidRPr="003104DF">
          <w:rPr>
            <w:rStyle w:val="TextoNormalCaracter"/>
          </w:rPr>
          <w:t>58/1992</w:t>
        </w:r>
      </w:hyperlink>
      <w:r w:rsidRPr="003104DF">
        <w:rPr>
          <w:rStyle w:val="TextoNormalCaracter"/>
        </w:rPr>
        <w:t xml:space="preserve">; </w:t>
      </w:r>
      <w:hyperlink w:anchor="AUTO_1992_59" w:history="1">
        <w:r w:rsidRPr="003104DF">
          <w:rPr>
            <w:rStyle w:val="TextoNormalCaracter"/>
          </w:rPr>
          <w:t>59/1992</w:t>
        </w:r>
      </w:hyperlink>
      <w:r w:rsidRPr="003104DF">
        <w:rPr>
          <w:rStyle w:val="TextoNormalCaracter"/>
        </w:rPr>
        <w:t xml:space="preserve">; </w:t>
      </w:r>
      <w:hyperlink w:anchor="AUTO_1992_60" w:history="1">
        <w:r w:rsidRPr="003104DF">
          <w:rPr>
            <w:rStyle w:val="TextoNormalCaracter"/>
          </w:rPr>
          <w:t>60/1992</w:t>
        </w:r>
      </w:hyperlink>
      <w:r w:rsidRPr="003104DF">
        <w:rPr>
          <w:rStyle w:val="TextoNormalCaracter"/>
        </w:rPr>
        <w:t xml:space="preserve">; </w:t>
      </w:r>
      <w:hyperlink w:anchor="AUTO_1992_61" w:history="1">
        <w:r w:rsidRPr="003104DF">
          <w:rPr>
            <w:rStyle w:val="TextoNormalCaracter"/>
          </w:rPr>
          <w:t>61/1992</w:t>
        </w:r>
      </w:hyperlink>
      <w:r w:rsidRPr="003104DF">
        <w:rPr>
          <w:rStyle w:val="TextoNormalCaracter"/>
        </w:rPr>
        <w:t xml:space="preserve">; </w:t>
      </w:r>
      <w:hyperlink w:anchor="AUTO_1992_62" w:history="1">
        <w:r w:rsidRPr="003104DF">
          <w:rPr>
            <w:rStyle w:val="TextoNormalCaracter"/>
          </w:rPr>
          <w:t>62/1992</w:t>
        </w:r>
      </w:hyperlink>
      <w:r w:rsidRPr="003104DF">
        <w:rPr>
          <w:rStyle w:val="TextoNormalCaracter"/>
        </w:rPr>
        <w:t xml:space="preserve">; </w:t>
      </w:r>
      <w:hyperlink w:anchor="AUTO_1992_70" w:history="1">
        <w:r w:rsidRPr="003104DF">
          <w:rPr>
            <w:rStyle w:val="TextoNormalCaracter"/>
          </w:rPr>
          <w:t>70/1992</w:t>
        </w:r>
      </w:hyperlink>
      <w:r w:rsidRPr="003104DF">
        <w:rPr>
          <w:rStyle w:val="TextoNormalCaracter"/>
        </w:rPr>
        <w:t xml:space="preserve">; </w:t>
      </w:r>
      <w:hyperlink w:anchor="AUTO_1992_71" w:history="1">
        <w:r w:rsidRPr="003104DF">
          <w:rPr>
            <w:rStyle w:val="TextoNormalCaracter"/>
          </w:rPr>
          <w:t>71/1992</w:t>
        </w:r>
      </w:hyperlink>
      <w:r w:rsidRPr="003104DF">
        <w:rPr>
          <w:rStyle w:val="TextoNormalCaracter"/>
        </w:rPr>
        <w:t xml:space="preserve">; </w:t>
      </w:r>
      <w:hyperlink w:anchor="AUTO_1992_72" w:history="1">
        <w:r w:rsidRPr="003104DF">
          <w:rPr>
            <w:rStyle w:val="TextoNormalCaracter"/>
          </w:rPr>
          <w:t>72/1992</w:t>
        </w:r>
      </w:hyperlink>
      <w:r w:rsidRPr="003104DF">
        <w:rPr>
          <w:rStyle w:val="TextoNormalCaracter"/>
        </w:rPr>
        <w:t xml:space="preserve">; </w:t>
      </w:r>
      <w:hyperlink w:anchor="AUTO_1992_73" w:history="1">
        <w:r w:rsidRPr="003104DF">
          <w:rPr>
            <w:rStyle w:val="TextoNormalCaracter"/>
          </w:rPr>
          <w:t>73/1992</w:t>
        </w:r>
      </w:hyperlink>
      <w:r w:rsidRPr="003104DF">
        <w:rPr>
          <w:rStyle w:val="TextoNormalCaracter"/>
        </w:rPr>
        <w:t xml:space="preserve">; </w:t>
      </w:r>
      <w:hyperlink w:anchor="AUTO_1992_74" w:history="1">
        <w:r w:rsidRPr="003104DF">
          <w:rPr>
            <w:rStyle w:val="TextoNormalCaracter"/>
          </w:rPr>
          <w:t>74/1992</w:t>
        </w:r>
      </w:hyperlink>
      <w:r w:rsidRPr="003104DF">
        <w:rPr>
          <w:rStyle w:val="TextoNormalCaracter"/>
        </w:rPr>
        <w:t xml:space="preserve">; </w:t>
      </w:r>
      <w:hyperlink w:anchor="AUTO_1992_83" w:history="1">
        <w:r w:rsidRPr="003104DF">
          <w:rPr>
            <w:rStyle w:val="TextoNormalCaracter"/>
          </w:rPr>
          <w:t>83/1992</w:t>
        </w:r>
      </w:hyperlink>
      <w:r w:rsidRPr="003104DF">
        <w:rPr>
          <w:rStyle w:val="TextoNormalCaracter"/>
        </w:rPr>
        <w:t xml:space="preserve">; </w:t>
      </w:r>
      <w:hyperlink w:anchor="AUTO_1992_84" w:history="1">
        <w:r w:rsidRPr="003104DF">
          <w:rPr>
            <w:rStyle w:val="TextoNormalCaracter"/>
          </w:rPr>
          <w:t>84/1992</w:t>
        </w:r>
      </w:hyperlink>
      <w:r w:rsidRPr="003104DF">
        <w:rPr>
          <w:rStyle w:val="TextoNormalCaracter"/>
        </w:rPr>
        <w:t xml:space="preserve">; </w:t>
      </w:r>
      <w:hyperlink w:anchor="AUTO_1992_85" w:history="1">
        <w:r w:rsidRPr="003104DF">
          <w:rPr>
            <w:rStyle w:val="TextoNormalCaracter"/>
          </w:rPr>
          <w:t>85/1992</w:t>
        </w:r>
      </w:hyperlink>
      <w:r w:rsidRPr="003104DF">
        <w:rPr>
          <w:rStyle w:val="TextoNormalCaracter"/>
        </w:rPr>
        <w:t xml:space="preserve">; </w:t>
      </w:r>
      <w:hyperlink w:anchor="AUTO_1992_86" w:history="1">
        <w:r w:rsidRPr="003104DF">
          <w:rPr>
            <w:rStyle w:val="TextoNormalCaracter"/>
          </w:rPr>
          <w:t>86/1992</w:t>
        </w:r>
      </w:hyperlink>
      <w:r w:rsidRPr="003104DF">
        <w:rPr>
          <w:rStyle w:val="TextoNormalCaracter"/>
        </w:rPr>
        <w:t xml:space="preserve">; </w:t>
      </w:r>
      <w:hyperlink w:anchor="AUTO_1992_92" w:history="1">
        <w:r w:rsidRPr="003104DF">
          <w:rPr>
            <w:rStyle w:val="TextoNormalCaracter"/>
          </w:rPr>
          <w:t>92/1992</w:t>
        </w:r>
      </w:hyperlink>
      <w:r w:rsidRPr="003104DF">
        <w:rPr>
          <w:rStyle w:val="TextoNormalCaracter"/>
        </w:rPr>
        <w:t xml:space="preserve">; </w:t>
      </w:r>
      <w:hyperlink w:anchor="AUTO_1992_93" w:history="1">
        <w:r w:rsidRPr="003104DF">
          <w:rPr>
            <w:rStyle w:val="TextoNormalCaracter"/>
          </w:rPr>
          <w:t>93/1992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 xml:space="preserve">; </w:t>
      </w:r>
      <w:hyperlink w:anchor="AUTO_1992_100" w:history="1">
        <w:r w:rsidRPr="003104DF">
          <w:rPr>
            <w:rStyle w:val="TextoNormalCaracter"/>
          </w:rPr>
          <w:t>100/1992</w:t>
        </w:r>
      </w:hyperlink>
      <w:r w:rsidRPr="003104DF">
        <w:rPr>
          <w:rStyle w:val="TextoNormalCaracter"/>
        </w:rPr>
        <w:t xml:space="preserve">; </w:t>
      </w:r>
      <w:hyperlink w:anchor="AUTO_1992_101" w:history="1">
        <w:r w:rsidRPr="003104DF">
          <w:rPr>
            <w:rStyle w:val="TextoNormalCaracter"/>
          </w:rPr>
          <w:t>101/1992</w:t>
        </w:r>
      </w:hyperlink>
      <w:r w:rsidRPr="003104DF">
        <w:rPr>
          <w:rStyle w:val="TextoNormalCaracter"/>
        </w:rPr>
        <w:t xml:space="preserve">; </w:t>
      </w:r>
      <w:hyperlink w:anchor="AUTO_1992_104" w:history="1">
        <w:r w:rsidRPr="003104DF">
          <w:rPr>
            <w:rStyle w:val="TextoNormalCaracter"/>
          </w:rPr>
          <w:t>104/1992</w:t>
        </w:r>
      </w:hyperlink>
      <w:r w:rsidRPr="003104DF">
        <w:rPr>
          <w:rStyle w:val="TextoNormalCaracter"/>
        </w:rPr>
        <w:t xml:space="preserve">; </w:t>
      </w:r>
      <w:hyperlink w:anchor="AUTO_1992_105" w:history="1">
        <w:r w:rsidRPr="003104DF">
          <w:rPr>
            <w:rStyle w:val="TextoNormalCaracter"/>
          </w:rPr>
          <w:t>105/1992</w:t>
        </w:r>
      </w:hyperlink>
      <w:r w:rsidRPr="003104DF">
        <w:rPr>
          <w:rStyle w:val="TextoNormalCaracter"/>
        </w:rPr>
        <w:t xml:space="preserve">; </w:t>
      </w:r>
      <w:hyperlink w:anchor="AUTO_1992_108" w:history="1">
        <w:r w:rsidRPr="003104DF">
          <w:rPr>
            <w:rStyle w:val="TextoNormalCaracter"/>
          </w:rPr>
          <w:t>108/1992</w:t>
        </w:r>
      </w:hyperlink>
      <w:r w:rsidRPr="003104DF">
        <w:rPr>
          <w:rStyle w:val="TextoNormalCaracter"/>
        </w:rPr>
        <w:t xml:space="preserve">; </w:t>
      </w:r>
      <w:hyperlink w:anchor="AUTO_1992_111" w:history="1">
        <w:r w:rsidRPr="003104DF">
          <w:rPr>
            <w:rStyle w:val="TextoNormalCaracter"/>
          </w:rPr>
          <w:t>111/1992</w:t>
        </w:r>
      </w:hyperlink>
      <w:r w:rsidRPr="003104DF">
        <w:rPr>
          <w:rStyle w:val="TextoNormalCaracter"/>
        </w:rPr>
        <w:t>.</w:t>
      </w:r>
    </w:p>
    <w:p w:rsidR="003104DF" w:rsidRPr="003104DF" w:rsidRDefault="003104DF" w:rsidP="003104DF">
      <w:pPr>
        <w:pStyle w:val="TextoNormalSangraFrancesa"/>
        <w:rPr>
          <w:rStyle w:val="TextoNormalCaracter"/>
        </w:rPr>
      </w:pPr>
      <w:bookmarkStart w:id="839" w:name="DESCRIPTORALFABETICO378"/>
      <w:r w:rsidRPr="003104DF">
        <w:rPr>
          <w:rStyle w:val="TextoNormalNegritaCaracter"/>
        </w:rPr>
        <w:t>Inadmisión de recurso de apelación</w:t>
      </w:r>
      <w:bookmarkEnd w:id="839"/>
      <w:r w:rsidRPr="003104DF">
        <w:rPr>
          <w:rStyle w:val="TextoNormalCaracter"/>
        </w:rPr>
        <w:t xml:space="preserve">, Sentencias </w:t>
      </w:r>
      <w:hyperlink w:anchor="SENTENCIA_1992_3" w:history="1">
        <w:r w:rsidRPr="003104DF">
          <w:rPr>
            <w:rStyle w:val="TextoNormalCaracter"/>
          </w:rPr>
          <w:t>3/1992</w:t>
        </w:r>
      </w:hyperlink>
      <w:r w:rsidRPr="003104DF">
        <w:rPr>
          <w:rStyle w:val="TextoNormalCaracter"/>
        </w:rPr>
        <w:t xml:space="preserve">, f. 4; </w:t>
      </w:r>
      <w:hyperlink w:anchor="SENTENCIA_1992_23" w:history="1">
        <w:r w:rsidRPr="003104DF">
          <w:rPr>
            <w:rStyle w:val="TextoNormalCaracter"/>
          </w:rPr>
          <w:t>23/1992</w:t>
        </w:r>
      </w:hyperlink>
      <w:r w:rsidRPr="003104DF">
        <w:rPr>
          <w:rStyle w:val="TextoNormalCaracter"/>
        </w:rPr>
        <w:t xml:space="preserve">, ff. 1, 2, 3, 4, 5; </w:t>
      </w:r>
      <w:hyperlink w:anchor="SENTENCIA_1992_42" w:history="1">
        <w:r w:rsidRPr="003104DF">
          <w:rPr>
            <w:rStyle w:val="TextoNormalCaracter"/>
          </w:rPr>
          <w:t>42/1992</w:t>
        </w:r>
      </w:hyperlink>
      <w:r w:rsidRPr="003104DF">
        <w:rPr>
          <w:rStyle w:val="TextoNormalCaracter"/>
        </w:rPr>
        <w:t xml:space="preserve">, ff. 2, 3, 4; </w:t>
      </w:r>
      <w:hyperlink w:anchor="SENTENCIA_1992_51" w:history="1">
        <w:r w:rsidRPr="003104DF">
          <w:rPr>
            <w:rStyle w:val="TextoNormalCaracter"/>
          </w:rPr>
          <w:t>51/1992</w:t>
        </w:r>
      </w:hyperlink>
      <w:r w:rsidRPr="003104DF">
        <w:rPr>
          <w:rStyle w:val="TextoNormalCaracter"/>
        </w:rPr>
        <w:t xml:space="preserve">, ff. 1, 2; </w:t>
      </w:r>
      <w:hyperlink w:anchor="SENTENCIA_1992_64" w:history="1">
        <w:r w:rsidRPr="003104DF">
          <w:rPr>
            <w:rStyle w:val="TextoNormalCaracter"/>
          </w:rPr>
          <w:t>64/1992</w:t>
        </w:r>
      </w:hyperlink>
      <w:r w:rsidRPr="003104DF">
        <w:rPr>
          <w:rStyle w:val="TextoNormalCaracter"/>
        </w:rPr>
        <w:t xml:space="preserve">, ff. 1, 2, 3, 4, 5, 6; </w:t>
      </w:r>
      <w:hyperlink w:anchor="SENTENCIA_1992_66" w:history="1">
        <w:r w:rsidRPr="003104DF">
          <w:rPr>
            <w:rStyle w:val="TextoNormalCaracter"/>
          </w:rPr>
          <w:t>66/1992</w:t>
        </w:r>
      </w:hyperlink>
      <w:r w:rsidRPr="003104DF">
        <w:rPr>
          <w:rStyle w:val="TextoNormalCaracter"/>
        </w:rPr>
        <w:t>, ff. 1, 2.</w:t>
      </w:r>
    </w:p>
    <w:p w:rsidR="003104DF" w:rsidRPr="003104DF" w:rsidRDefault="003104DF" w:rsidP="003104DF">
      <w:pPr>
        <w:pStyle w:val="TextoNormalSangraFrancesa"/>
        <w:rPr>
          <w:rStyle w:val="TextoNormalCaracter"/>
        </w:rPr>
      </w:pPr>
      <w:bookmarkStart w:id="840" w:name="DESCRIPTORALFABETICO381"/>
      <w:r w:rsidRPr="003104DF">
        <w:rPr>
          <w:rStyle w:val="TextoNormalNegritaCaracter"/>
        </w:rPr>
        <w:t>Inadmisión de recurso de casación</w:t>
      </w:r>
      <w:bookmarkEnd w:id="840"/>
      <w:r w:rsidRPr="003104DF">
        <w:rPr>
          <w:rStyle w:val="TextoNormalCaracter"/>
        </w:rPr>
        <w:t xml:space="preserve">, Sentencias </w:t>
      </w:r>
      <w:hyperlink w:anchor="SENTENCIA_1992_9" w:history="1">
        <w:r w:rsidRPr="003104DF">
          <w:rPr>
            <w:rStyle w:val="TextoNormalCaracter"/>
          </w:rPr>
          <w:t>9/1992</w:t>
        </w:r>
      </w:hyperlink>
      <w:r w:rsidRPr="003104DF">
        <w:rPr>
          <w:rStyle w:val="TextoNormalCaracter"/>
        </w:rPr>
        <w:t xml:space="preserve">, f. 2; </w:t>
      </w:r>
      <w:hyperlink w:anchor="SENTENCIA_1992_55" w:history="1">
        <w:r w:rsidRPr="003104DF">
          <w:rPr>
            <w:rStyle w:val="TextoNormalCaracter"/>
          </w:rPr>
          <w:t>55/1992</w:t>
        </w:r>
      </w:hyperlink>
      <w:r w:rsidRPr="003104DF">
        <w:rPr>
          <w:rStyle w:val="TextoNormalCaracter"/>
        </w:rPr>
        <w:t xml:space="preserve">, ff. 1, 2, 3; </w:t>
      </w:r>
      <w:hyperlink w:anchor="SENTENCIA_1992_63" w:history="1">
        <w:r w:rsidRPr="003104DF">
          <w:rPr>
            <w:rStyle w:val="TextoNormalCaracter"/>
          </w:rPr>
          <w:t>63/1992</w:t>
        </w:r>
      </w:hyperlink>
      <w:r w:rsidRPr="003104DF">
        <w:rPr>
          <w:rStyle w:val="TextoNormalCaracter"/>
        </w:rPr>
        <w:t>, ff. 1, 2, 3.</w:t>
      </w:r>
    </w:p>
    <w:p w:rsidR="003104DF" w:rsidRPr="003104DF" w:rsidRDefault="003104DF" w:rsidP="003104DF">
      <w:pPr>
        <w:pStyle w:val="TextoNormalSangraFrancesa"/>
        <w:rPr>
          <w:rStyle w:val="TextoNormalCaracter"/>
        </w:rPr>
      </w:pPr>
      <w:bookmarkStart w:id="841" w:name="DESCRIPTORALFABETICO397"/>
      <w:r w:rsidRPr="003104DF">
        <w:rPr>
          <w:rStyle w:val="TextoNormalNegritaCaracter"/>
        </w:rPr>
        <w:t>Inadmisión de recurso de casación civil</w:t>
      </w:r>
      <w:bookmarkEnd w:id="841"/>
      <w:r w:rsidRPr="003104DF">
        <w:rPr>
          <w:rStyle w:val="TextoNormalCaracter"/>
        </w:rPr>
        <w:t xml:space="preserve">, Sentencias </w:t>
      </w:r>
      <w:hyperlink w:anchor="SENTENCIA_1992_16" w:history="1">
        <w:r w:rsidRPr="003104DF">
          <w:rPr>
            <w:rStyle w:val="TextoNormalCaracter"/>
          </w:rPr>
          <w:t>16/1992</w:t>
        </w:r>
      </w:hyperlink>
      <w:r w:rsidRPr="003104DF">
        <w:rPr>
          <w:rStyle w:val="TextoNormalCaracter"/>
        </w:rPr>
        <w:t xml:space="preserve">, ff. 1, 2, 3, 4; </w:t>
      </w:r>
      <w:hyperlink w:anchor="SENTENCIA_1992_55" w:history="1">
        <w:r w:rsidRPr="003104DF">
          <w:rPr>
            <w:rStyle w:val="TextoNormalCaracter"/>
          </w:rPr>
          <w:t>55/1992</w:t>
        </w:r>
      </w:hyperlink>
      <w:r w:rsidRPr="003104DF">
        <w:rPr>
          <w:rStyle w:val="TextoNormalCaracter"/>
        </w:rPr>
        <w:t xml:space="preserve">, ff. 2, 3; </w:t>
      </w:r>
      <w:hyperlink w:anchor="SENTENCIA_1992_63" w:history="1">
        <w:r w:rsidRPr="003104DF">
          <w:rPr>
            <w:rStyle w:val="TextoNormalCaracter"/>
          </w:rPr>
          <w:t>63/1992</w:t>
        </w:r>
      </w:hyperlink>
      <w:r w:rsidRPr="003104DF">
        <w:rPr>
          <w:rStyle w:val="TextoNormalCaracter"/>
        </w:rPr>
        <w:t>, ff. 2,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26" w:history="1">
        <w:r w:rsidRPr="003104DF">
          <w:rPr>
            <w:rStyle w:val="TextoNormalCaracter"/>
          </w:rPr>
          <w:t>26/1992</w:t>
        </w:r>
      </w:hyperlink>
      <w:r w:rsidRPr="003104DF">
        <w:rPr>
          <w:rStyle w:val="TextoNormalCaracter"/>
        </w:rPr>
        <w:t xml:space="preserve">; </w:t>
      </w:r>
      <w:hyperlink w:anchor="AUTO_1992_62" w:history="1">
        <w:r w:rsidRPr="003104DF">
          <w:rPr>
            <w:rStyle w:val="TextoNormalCaracter"/>
          </w:rPr>
          <w:t>62/1992</w:t>
        </w:r>
      </w:hyperlink>
      <w:r w:rsidRPr="003104DF">
        <w:rPr>
          <w:rStyle w:val="TextoNormalCaracter"/>
        </w:rPr>
        <w:t>.</w:t>
      </w:r>
    </w:p>
    <w:p w:rsidR="003104DF" w:rsidRPr="003104DF" w:rsidRDefault="003104DF" w:rsidP="003104DF">
      <w:pPr>
        <w:pStyle w:val="TextoNormalSangraFrancesa"/>
        <w:rPr>
          <w:rStyle w:val="TextoNormalCaracter"/>
        </w:rPr>
      </w:pPr>
      <w:bookmarkStart w:id="842" w:name="DESCRIPTORALFABETICO383"/>
      <w:r w:rsidRPr="003104DF">
        <w:rPr>
          <w:rStyle w:val="TextoNormalNegritaCaracter"/>
        </w:rPr>
        <w:t>Inadmisión de recurso de reposición</w:t>
      </w:r>
      <w:bookmarkEnd w:id="842"/>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ff. 3, 6.</w:t>
      </w:r>
    </w:p>
    <w:p w:rsidR="003104DF" w:rsidRPr="003104DF" w:rsidRDefault="003104DF" w:rsidP="003104DF">
      <w:pPr>
        <w:pStyle w:val="TextoNormalSangraFrancesa"/>
        <w:rPr>
          <w:rStyle w:val="TextoNormalCaracter"/>
        </w:rPr>
      </w:pPr>
      <w:bookmarkStart w:id="843" w:name="DESCRIPTORALFABETICO385"/>
      <w:r w:rsidRPr="003104DF">
        <w:rPr>
          <w:rStyle w:val="TextoNormalNegritaCaracter"/>
        </w:rPr>
        <w:t>Inadmisión de recurso de súplica</w:t>
      </w:r>
      <w:bookmarkEnd w:id="843"/>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3.</w:t>
      </w:r>
    </w:p>
    <w:p w:rsidR="003104DF" w:rsidRPr="003104DF" w:rsidRDefault="003104DF" w:rsidP="003104DF">
      <w:pPr>
        <w:pStyle w:val="TextoNormalSangraFrancesa"/>
        <w:rPr>
          <w:rStyle w:val="TextoNormalCaracter"/>
        </w:rPr>
      </w:pPr>
      <w:bookmarkStart w:id="844" w:name="DESCRIPTORALFABETICO405"/>
      <w:r w:rsidRPr="003104DF">
        <w:rPr>
          <w:rStyle w:val="TextoNormalNegritaCaracter"/>
        </w:rPr>
        <w:t>Inadmisión de recurso de suplicación</w:t>
      </w:r>
      <w:bookmarkEnd w:id="844"/>
      <w:r w:rsidRPr="003104DF">
        <w:rPr>
          <w:rStyle w:val="TextoNormalCaracter"/>
        </w:rPr>
        <w:t xml:space="preserve">, Sentencia </w:t>
      </w:r>
      <w:hyperlink w:anchor="SENTENCIA_1992_60" w:history="1">
        <w:r w:rsidRPr="003104DF">
          <w:rPr>
            <w:rStyle w:val="TextoNormalCaracter"/>
          </w:rPr>
          <w:t>60/1992</w:t>
        </w:r>
      </w:hyperlink>
      <w:r w:rsidRPr="003104DF">
        <w:rPr>
          <w:rStyle w:val="TextoNormalCaracter"/>
        </w:rPr>
        <w:t>, ff. 1, 2.</w:t>
      </w:r>
    </w:p>
    <w:p w:rsidR="003104DF" w:rsidRPr="003104DF" w:rsidRDefault="003104DF" w:rsidP="003104DF">
      <w:pPr>
        <w:pStyle w:val="TextoNormalSangraFrancesa"/>
        <w:rPr>
          <w:rStyle w:val="TextoNormalCaracter"/>
        </w:rPr>
      </w:pPr>
      <w:bookmarkStart w:id="845" w:name="DESCRIPTORALFABETICO154"/>
      <w:r w:rsidRPr="003104DF">
        <w:rPr>
          <w:rStyle w:val="TextoNormalNegritaCaracter"/>
        </w:rPr>
        <w:t>Inadmisión parcial de recurso de amparo</w:t>
      </w:r>
      <w:bookmarkEnd w:id="845"/>
      <w:r w:rsidRPr="003104DF">
        <w:rPr>
          <w:rStyle w:val="TextoNormalCaracter"/>
        </w:rPr>
        <w:t xml:space="preserve">, Sentencia </w:t>
      </w:r>
      <w:hyperlink w:anchor="SENTENCIA_1992_42" w:history="1">
        <w:r w:rsidRPr="003104DF">
          <w:rPr>
            <w:rStyle w:val="TextoNormalCaracter"/>
          </w:rPr>
          <w:t>42/1992</w:t>
        </w:r>
      </w:hyperlink>
      <w:r w:rsidRPr="003104DF">
        <w:rPr>
          <w:rStyle w:val="TextoNormalCaracter"/>
        </w:rPr>
        <w:t>, f. 2.</w:t>
      </w:r>
    </w:p>
    <w:p w:rsidR="003104DF" w:rsidRPr="003104DF" w:rsidRDefault="003104DF" w:rsidP="003104DF">
      <w:pPr>
        <w:pStyle w:val="TextoNormalSangraFrancesa"/>
        <w:rPr>
          <w:rStyle w:val="TextoNormalCaracter"/>
        </w:rPr>
      </w:pPr>
      <w:bookmarkStart w:id="846" w:name="DESCRIPTORALFABETICO372"/>
      <w:r w:rsidRPr="003104DF">
        <w:rPr>
          <w:rStyle w:val="TextoNormalNegritaCaracter"/>
        </w:rPr>
        <w:t>Inadmisión por falta de requisitos procesales</w:t>
      </w:r>
      <w:bookmarkEnd w:id="846"/>
      <w:r w:rsidRPr="003104DF">
        <w:rPr>
          <w:rStyle w:val="TextoNormalCaracter"/>
        </w:rPr>
        <w:t xml:space="preserve">, Sentencia </w:t>
      </w:r>
      <w:hyperlink w:anchor="SENTENCIA_1992_16" w:history="1">
        <w:r w:rsidRPr="003104DF">
          <w:rPr>
            <w:rStyle w:val="TextoNormalCaracter"/>
          </w:rPr>
          <w:t>16/1992</w:t>
        </w:r>
      </w:hyperlink>
      <w:r w:rsidRPr="003104DF">
        <w:rPr>
          <w:rStyle w:val="TextoNormalCaracter"/>
        </w:rPr>
        <w:t>, f. 4.</w:t>
      </w:r>
    </w:p>
    <w:p w:rsidR="003104DF" w:rsidRPr="003104DF" w:rsidRDefault="003104DF" w:rsidP="003104DF">
      <w:pPr>
        <w:pStyle w:val="TextoNormalSangraFrancesa"/>
        <w:rPr>
          <w:rStyle w:val="TextoNormalCaracter"/>
        </w:rPr>
      </w:pPr>
      <w:bookmarkStart w:id="847" w:name="DESCRIPTORALFABETICO335"/>
      <w:r w:rsidRPr="003104DF">
        <w:rPr>
          <w:rStyle w:val="TextoNormalNegritaCaracter"/>
        </w:rPr>
        <w:t>Incomparecencia de testigos de cargo</w:t>
      </w:r>
      <w:bookmarkEnd w:id="847"/>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 4.</w:t>
      </w:r>
    </w:p>
    <w:p w:rsidR="003104DF" w:rsidRPr="003104DF" w:rsidRDefault="003104DF" w:rsidP="003104DF">
      <w:pPr>
        <w:pStyle w:val="TextoNormalSangraFrancesa"/>
        <w:rPr>
          <w:rStyle w:val="TextoNormalCaracter"/>
        </w:rPr>
      </w:pPr>
      <w:bookmarkStart w:id="848" w:name="DESCRIPTORALFABETICO336"/>
      <w:r w:rsidRPr="003104DF">
        <w:rPr>
          <w:rStyle w:val="TextoNormalNegritaCaracter"/>
        </w:rPr>
        <w:t>Incomparecencia en juicio oral</w:t>
      </w:r>
      <w:bookmarkEnd w:id="848"/>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 4.</w:t>
      </w:r>
    </w:p>
    <w:p w:rsidR="003104DF" w:rsidRPr="003104DF" w:rsidRDefault="003104DF" w:rsidP="003104DF">
      <w:pPr>
        <w:pStyle w:val="TextoNormalSangraFrancesa"/>
        <w:rPr>
          <w:rStyle w:val="TextoNormalCaracter"/>
        </w:rPr>
      </w:pPr>
      <w:bookmarkStart w:id="849" w:name="DESCRIPTORALFABETICO61"/>
      <w:r w:rsidRPr="003104DF">
        <w:rPr>
          <w:rStyle w:val="TextoNormalNegritaCaracter"/>
        </w:rPr>
        <w:t>Incongruencia de las sentencias</w:t>
      </w:r>
      <w:bookmarkEnd w:id="849"/>
      <w:r w:rsidRPr="003104DF">
        <w:rPr>
          <w:rStyle w:val="TextoNormalCaracter"/>
        </w:rPr>
        <w:t xml:space="preserve">, Sentencias </w:t>
      </w:r>
      <w:hyperlink w:anchor="SENTENCIA_1992_32" w:history="1">
        <w:r w:rsidRPr="003104DF">
          <w:rPr>
            <w:rStyle w:val="TextoNormalCaracter"/>
          </w:rPr>
          <w:t>32/1992</w:t>
        </w:r>
      </w:hyperlink>
      <w:r w:rsidRPr="003104DF">
        <w:rPr>
          <w:rStyle w:val="TextoNormalCaracter"/>
        </w:rPr>
        <w:t xml:space="preserve">, ff. 3, 4; </w:t>
      </w:r>
      <w:hyperlink w:anchor="SENTENCIA_1992_34" w:history="1">
        <w:r w:rsidRPr="003104DF">
          <w:rPr>
            <w:rStyle w:val="TextoNormalCaracter"/>
          </w:rPr>
          <w:t>34/1992</w:t>
        </w:r>
      </w:hyperlink>
      <w:r w:rsidRPr="003104DF">
        <w:rPr>
          <w:rStyle w:val="TextoNormalCaracter"/>
        </w:rPr>
        <w:t xml:space="preserve">, ff. 1, 2, 3, 4; </w:t>
      </w:r>
      <w:hyperlink w:anchor="SENTENCIA_1992_59" w:history="1">
        <w:r w:rsidRPr="003104DF">
          <w:rPr>
            <w:rStyle w:val="TextoNormalCaracter"/>
          </w:rPr>
          <w:t>59/1992</w:t>
        </w:r>
      </w:hyperlink>
      <w:r w:rsidRPr="003104DF">
        <w:rPr>
          <w:rStyle w:val="TextoNormalCaracter"/>
        </w:rPr>
        <w:t>, f. 2.</w:t>
      </w:r>
    </w:p>
    <w:p w:rsidR="003104DF" w:rsidRPr="003104DF" w:rsidRDefault="003104DF" w:rsidP="003104DF">
      <w:pPr>
        <w:pStyle w:val="TextoNormalSangraFrancesa"/>
        <w:rPr>
          <w:rStyle w:val="TextoNormalCaracter"/>
        </w:rPr>
      </w:pPr>
      <w:bookmarkStart w:id="850" w:name="DESCRIPTORALFABETICO64"/>
      <w:r w:rsidRPr="003104DF">
        <w:rPr>
          <w:rStyle w:val="TextoNormalNegritaCaracter"/>
        </w:rPr>
        <w:t>Incongruencia omisiva</w:t>
      </w:r>
      <w:bookmarkEnd w:id="850"/>
      <w:r w:rsidRPr="003104DF">
        <w:rPr>
          <w:rStyle w:val="TextoNormalCaracter"/>
        </w:rPr>
        <w:t xml:space="preserve">, Sentencia </w:t>
      </w:r>
      <w:hyperlink w:anchor="SENTENCIA_1992_49" w:history="1">
        <w:r w:rsidRPr="003104DF">
          <w:rPr>
            <w:rStyle w:val="TextoNormalCaracter"/>
          </w:rPr>
          <w:t>49/1992</w:t>
        </w:r>
      </w:hyperlink>
      <w:r w:rsidRPr="003104DF">
        <w:rPr>
          <w:rStyle w:val="TextoNormalCaracter"/>
        </w:rPr>
        <w:t>, f. 6.</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26" w:history="1">
        <w:r w:rsidRPr="003104DF">
          <w:rPr>
            <w:rStyle w:val="TextoNormalCaracter"/>
          </w:rPr>
          <w:t>26/1992</w:t>
        </w:r>
      </w:hyperlink>
      <w:r w:rsidRPr="003104DF">
        <w:rPr>
          <w:rStyle w:val="TextoNormalCaracter"/>
        </w:rPr>
        <w:t xml:space="preserve">; </w:t>
      </w:r>
      <w:hyperlink w:anchor="AUTO_1992_86" w:history="1">
        <w:r w:rsidRPr="003104DF">
          <w:rPr>
            <w:rStyle w:val="TextoNormalCaracter"/>
          </w:rPr>
          <w:t>86/1992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Inculpados</w:t>
      </w:r>
      <w:r>
        <w:t xml:space="preserve"> véase </w:t>
      </w:r>
      <w:hyperlink w:anchor="DESCRIPTORALFABETICO414" w:history="1">
        <w:r w:rsidRPr="003104DF">
          <w:rPr>
            <w:rStyle w:val="TextoNormalNegritaCaracter"/>
          </w:rPr>
          <w:t>Imputados</w:t>
        </w:r>
      </w:hyperlink>
    </w:p>
    <w:p w:rsidR="003104DF" w:rsidRPr="003104DF" w:rsidRDefault="003104DF" w:rsidP="003104DF">
      <w:pPr>
        <w:pStyle w:val="TextoNormalSangraFrancesa"/>
        <w:rPr>
          <w:rStyle w:val="TextoNormalCaracter"/>
        </w:rPr>
      </w:pPr>
      <w:bookmarkStart w:id="851" w:name="DESCRIPTORALFABETICO73"/>
      <w:r w:rsidRPr="003104DF">
        <w:rPr>
          <w:rStyle w:val="TextoNormalNegritaCaracter"/>
        </w:rPr>
        <w:t>Indefensión imputable al recurrente</w:t>
      </w:r>
      <w:bookmarkEnd w:id="851"/>
      <w:r w:rsidRPr="003104DF">
        <w:rPr>
          <w:rStyle w:val="TextoNormalCaracter"/>
        </w:rPr>
        <w:t xml:space="preserve">, Sentencias </w:t>
      </w:r>
      <w:hyperlink w:anchor="SENTENCIA_1992_17" w:history="1">
        <w:r w:rsidRPr="003104DF">
          <w:rPr>
            <w:rStyle w:val="TextoNormalCaracter"/>
          </w:rPr>
          <w:t>17/1992</w:t>
        </w:r>
      </w:hyperlink>
      <w:r w:rsidRPr="003104DF">
        <w:rPr>
          <w:rStyle w:val="TextoNormalCaracter"/>
        </w:rPr>
        <w:t xml:space="preserve">, f. 4; </w:t>
      </w:r>
      <w:hyperlink w:anchor="SENTENCIA_1992_22" w:history="1">
        <w:r w:rsidRPr="003104DF">
          <w:rPr>
            <w:rStyle w:val="TextoNormalCaracter"/>
          </w:rPr>
          <w:t>22/1992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9" w:history="1">
        <w:r w:rsidRPr="003104DF">
          <w:rPr>
            <w:rStyle w:val="TextoNormalCaracter"/>
          </w:rPr>
          <w:t>59/1992</w:t>
        </w:r>
      </w:hyperlink>
      <w:r w:rsidRPr="003104DF">
        <w:rPr>
          <w:rStyle w:val="TextoNormalCaracter"/>
        </w:rPr>
        <w:t xml:space="preserve">; </w:t>
      </w:r>
      <w:hyperlink w:anchor="AUTO_1992_85" w:history="1">
        <w:r w:rsidRPr="003104DF">
          <w:rPr>
            <w:rStyle w:val="TextoNormalCaracter"/>
          </w:rPr>
          <w:t>85/1992</w:t>
        </w:r>
      </w:hyperlink>
      <w:r w:rsidRPr="003104DF">
        <w:rPr>
          <w:rStyle w:val="TextoNormalCaracter"/>
        </w:rPr>
        <w:t xml:space="preserve">; </w:t>
      </w:r>
      <w:hyperlink w:anchor="AUTO_1992_111" w:history="1">
        <w:r w:rsidRPr="003104DF">
          <w:rPr>
            <w:rStyle w:val="TextoNormalCaracter"/>
          </w:rPr>
          <w:t>111/1992</w:t>
        </w:r>
      </w:hyperlink>
      <w:r w:rsidRPr="003104DF">
        <w:rPr>
          <w:rStyle w:val="TextoNormalCaracter"/>
        </w:rPr>
        <w:t xml:space="preserve">; </w:t>
      </w:r>
      <w:hyperlink w:anchor="AUTO_1992_114" w:history="1">
        <w:r w:rsidRPr="003104DF">
          <w:rPr>
            <w:rStyle w:val="TextoNormalCaracter"/>
          </w:rPr>
          <w:t>114/1992</w:t>
        </w:r>
      </w:hyperlink>
      <w:r w:rsidRPr="003104DF">
        <w:rPr>
          <w:rStyle w:val="TextoNormalCaracter"/>
        </w:rPr>
        <w:t>.</w:t>
      </w:r>
    </w:p>
    <w:p w:rsidR="003104DF" w:rsidRPr="003104DF" w:rsidRDefault="003104DF" w:rsidP="003104DF">
      <w:pPr>
        <w:pStyle w:val="TextoNormalSangraFrancesa"/>
        <w:rPr>
          <w:rStyle w:val="TextoNormalCaracter"/>
        </w:rPr>
      </w:pPr>
      <w:bookmarkStart w:id="852" w:name="DESCRIPTORALFABETICO74"/>
      <w:r w:rsidRPr="003104DF">
        <w:rPr>
          <w:rStyle w:val="TextoNormalNegritaCaracter"/>
        </w:rPr>
        <w:lastRenderedPageBreak/>
        <w:t>Indefensión material</w:t>
      </w:r>
      <w:bookmarkEnd w:id="852"/>
      <w:r w:rsidRPr="003104DF">
        <w:rPr>
          <w:rStyle w:val="TextoNormalCaracter"/>
        </w:rPr>
        <w:t xml:space="preserve">, Sentencia </w:t>
      </w:r>
      <w:hyperlink w:anchor="SENTENCIA_1992_6" w:history="1">
        <w:r w:rsidRPr="003104DF">
          <w:rPr>
            <w:rStyle w:val="TextoNormalCaracter"/>
          </w:rPr>
          <w:t>6/1992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84" w:history="1">
        <w:r w:rsidRPr="003104DF">
          <w:rPr>
            <w:rStyle w:val="TextoNormalCaracter"/>
          </w:rPr>
          <w:t>84/1992</w:t>
        </w:r>
      </w:hyperlink>
      <w:r w:rsidRPr="003104DF">
        <w:rPr>
          <w:rStyle w:val="TextoNormalCaracter"/>
        </w:rPr>
        <w:t xml:space="preserve">; </w:t>
      </w:r>
      <w:hyperlink w:anchor="AUTO_1992_104" w:history="1">
        <w:r w:rsidRPr="003104DF">
          <w:rPr>
            <w:rStyle w:val="TextoNormalCaracter"/>
          </w:rPr>
          <w:t>104/1992</w:t>
        </w:r>
      </w:hyperlink>
      <w:r w:rsidRPr="003104DF">
        <w:rPr>
          <w:rStyle w:val="TextoNormalCaracter"/>
        </w:rPr>
        <w:t xml:space="preserve">; </w:t>
      </w:r>
      <w:hyperlink w:anchor="AUTO_1992_108" w:history="1">
        <w:r w:rsidRPr="003104DF">
          <w:rPr>
            <w:rStyle w:val="TextoNormalCaracter"/>
          </w:rPr>
          <w:t>108/1992</w:t>
        </w:r>
      </w:hyperlink>
      <w:r w:rsidRPr="003104DF">
        <w:rPr>
          <w:rStyle w:val="TextoNormalCaracter"/>
        </w:rPr>
        <w:t>.</w:t>
      </w:r>
    </w:p>
    <w:p w:rsidR="003104DF" w:rsidRPr="003104DF" w:rsidRDefault="003104DF" w:rsidP="003104DF">
      <w:pPr>
        <w:pStyle w:val="TextoNormalSangraFrancesa"/>
        <w:rPr>
          <w:rStyle w:val="TextoNormalCaracter"/>
        </w:rPr>
      </w:pPr>
      <w:bookmarkStart w:id="853" w:name="DESCRIPTORALFABETICO264"/>
      <w:r w:rsidRPr="003104DF">
        <w:rPr>
          <w:rStyle w:val="TextoNormalNegritaCaracter"/>
        </w:rPr>
        <w:t>Indemnización por delito</w:t>
      </w:r>
      <w:bookmarkEnd w:id="853"/>
      <w:r w:rsidRPr="003104DF">
        <w:rPr>
          <w:rStyle w:val="TextoNormalCaracter"/>
        </w:rPr>
        <w:t xml:space="preserve">, Sentencia </w:t>
      </w:r>
      <w:hyperlink w:anchor="SENTENCIA_1992_20" w:history="1">
        <w:r w:rsidRPr="003104DF">
          <w:rPr>
            <w:rStyle w:val="TextoNormalCaracter"/>
          </w:rPr>
          <w:t>20/1992</w:t>
        </w:r>
      </w:hyperlink>
      <w:r w:rsidRPr="003104DF">
        <w:rPr>
          <w:rStyle w:val="TextoNormalCaracter"/>
        </w:rPr>
        <w:t>, f. 1.</w:t>
      </w:r>
    </w:p>
    <w:p w:rsidR="003104DF" w:rsidRPr="003104DF" w:rsidRDefault="003104DF" w:rsidP="003104DF">
      <w:pPr>
        <w:pStyle w:val="TextoNormalSangraFrancesa"/>
        <w:rPr>
          <w:rStyle w:val="TextoNormalCaracter"/>
        </w:rPr>
      </w:pPr>
      <w:bookmarkStart w:id="854" w:name="DESCRIPTORALFABETICO373"/>
      <w:r w:rsidRPr="003104DF">
        <w:rPr>
          <w:rStyle w:val="TextoNormalNegritaCaracter"/>
        </w:rPr>
        <w:t>Indicación de recursos</w:t>
      </w:r>
      <w:bookmarkEnd w:id="854"/>
      <w:r w:rsidRPr="003104DF">
        <w:rPr>
          <w:rStyle w:val="TextoNormalCaracter"/>
        </w:rPr>
        <w:t xml:space="preserve">, Sentencias </w:t>
      </w:r>
      <w:hyperlink w:anchor="SENTENCIA_1992_41" w:history="1">
        <w:r w:rsidRPr="003104DF">
          <w:rPr>
            <w:rStyle w:val="TextoNormalCaracter"/>
          </w:rPr>
          <w:t>41/1992</w:t>
        </w:r>
      </w:hyperlink>
      <w:r w:rsidRPr="003104DF">
        <w:rPr>
          <w:rStyle w:val="TextoNormalCaracter"/>
        </w:rPr>
        <w:t xml:space="preserve">, f. 2; </w:t>
      </w:r>
      <w:hyperlink w:anchor="SENTENCIA_1992_53" w:history="1">
        <w:r w:rsidRPr="003104DF">
          <w:rPr>
            <w:rStyle w:val="TextoNormalCaracter"/>
          </w:rPr>
          <w:t>53/1992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0" w:history="1">
        <w:r w:rsidRPr="003104DF">
          <w:rPr>
            <w:rStyle w:val="TextoNormalCaracter"/>
          </w:rPr>
          <w:t>50/1992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Efectos, </w:t>
      </w:r>
      <w:r w:rsidRPr="003104DF">
        <w:rPr>
          <w:rStyle w:val="TextoNormalCaracter"/>
        </w:rPr>
        <w:t xml:space="preserve">Auto </w:t>
      </w:r>
      <w:hyperlink w:anchor="AUTO_1992_89" w:history="1">
        <w:r w:rsidRPr="003104DF">
          <w:rPr>
            <w:rStyle w:val="TextoNormalCaracter"/>
          </w:rPr>
          <w:t>89/1992</w:t>
        </w:r>
      </w:hyperlink>
      <w:r w:rsidRPr="003104DF">
        <w:rPr>
          <w:rStyle w:val="TextoNormalCaracter"/>
        </w:rPr>
        <w:t>.</w:t>
      </w:r>
    </w:p>
    <w:p w:rsidR="003104DF" w:rsidRPr="003104DF" w:rsidRDefault="003104DF" w:rsidP="003104DF">
      <w:pPr>
        <w:pStyle w:val="TextoNormalSangraFrancesa"/>
        <w:rPr>
          <w:rStyle w:val="TextoNormalCaracter"/>
        </w:rPr>
      </w:pPr>
      <w:bookmarkStart w:id="855" w:name="DESCRIPTORALFABETICO387"/>
      <w:r w:rsidRPr="003104DF">
        <w:rPr>
          <w:rStyle w:val="TextoNormalNegritaCaracter"/>
        </w:rPr>
        <w:t>Indisponibilidad de los requisitos procesales</w:t>
      </w:r>
      <w:bookmarkEnd w:id="855"/>
      <w:r w:rsidRPr="003104DF">
        <w:rPr>
          <w:rStyle w:val="TextoNormalCaracter"/>
        </w:rPr>
        <w:t xml:space="preserve">, Sentencia </w:t>
      </w:r>
      <w:hyperlink w:anchor="SENTENCIA_1992_42" w:history="1">
        <w:r w:rsidRPr="003104DF">
          <w:rPr>
            <w:rStyle w:val="TextoNormalCaracter"/>
          </w:rPr>
          <w:t>42/1992</w:t>
        </w:r>
      </w:hyperlink>
      <w:r w:rsidRPr="003104DF">
        <w:rPr>
          <w:rStyle w:val="TextoNormalCaracter"/>
        </w:rPr>
        <w:t>, f. 3.</w:t>
      </w:r>
    </w:p>
    <w:p w:rsidR="003104DF" w:rsidRPr="003104DF" w:rsidRDefault="003104DF" w:rsidP="003104DF">
      <w:pPr>
        <w:pStyle w:val="TextoNormalSangraFrancesa"/>
        <w:rPr>
          <w:rStyle w:val="TextoNormalCaracter"/>
        </w:rPr>
      </w:pPr>
      <w:bookmarkStart w:id="856" w:name="DESCRIPTORALFABETICO243"/>
      <w:r w:rsidRPr="003104DF">
        <w:rPr>
          <w:rStyle w:val="TextoNormalNegritaCaracter"/>
        </w:rPr>
        <w:t>Infanticidio</w:t>
      </w:r>
      <w:bookmarkEnd w:id="856"/>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4.</w:t>
      </w:r>
    </w:p>
    <w:p w:rsidR="003104DF" w:rsidRPr="003104DF" w:rsidRDefault="003104DF" w:rsidP="003104DF">
      <w:pPr>
        <w:pStyle w:val="TextoNormalSangraFrancesa"/>
        <w:rPr>
          <w:rStyle w:val="TextoNormalCaracter"/>
        </w:rPr>
      </w:pPr>
      <w:bookmarkStart w:id="857" w:name="DESCRIPTORALFABETICO350"/>
      <w:r w:rsidRPr="003104DF">
        <w:rPr>
          <w:rStyle w:val="TextoNormalNegritaCaracter"/>
        </w:rPr>
        <w:t>Informes periciales</w:t>
      </w:r>
      <w:bookmarkEnd w:id="857"/>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4.</w:t>
      </w:r>
    </w:p>
    <w:p w:rsidR="003104DF" w:rsidRPr="003104DF" w:rsidRDefault="003104DF" w:rsidP="003104DF">
      <w:pPr>
        <w:pStyle w:val="TextoNormalSangraFrancesa"/>
        <w:rPr>
          <w:rStyle w:val="TextoNormalCaracter"/>
        </w:rPr>
      </w:pPr>
      <w:bookmarkStart w:id="858" w:name="DESCRIPTORALFABETICO220"/>
      <w:r w:rsidRPr="003104DF">
        <w:rPr>
          <w:rStyle w:val="TextoNormalNegritaCaracter"/>
        </w:rPr>
        <w:t>Infracciones tributarias</w:t>
      </w:r>
      <w:bookmarkEnd w:id="858"/>
      <w:r w:rsidRPr="003104DF">
        <w:rPr>
          <w:rStyle w:val="TextoNormalCaracter"/>
        </w:rPr>
        <w:t xml:space="preserve">, Auto </w:t>
      </w:r>
      <w:hyperlink w:anchor="AUTO_1992_3" w:history="1">
        <w:r w:rsidRPr="003104DF">
          <w:rPr>
            <w:rStyle w:val="TextoNormalCaracter"/>
          </w:rPr>
          <w:t>3/1992</w:t>
        </w:r>
      </w:hyperlink>
      <w:r w:rsidRPr="003104DF">
        <w:rPr>
          <w:rStyle w:val="TextoNormalCaracter"/>
        </w:rPr>
        <w:t>.</w:t>
      </w:r>
    </w:p>
    <w:p w:rsidR="003104DF" w:rsidRPr="003104DF" w:rsidRDefault="003104DF" w:rsidP="003104DF">
      <w:pPr>
        <w:pStyle w:val="TextoNormalSangraFrancesa"/>
        <w:rPr>
          <w:rStyle w:val="TextoNormalCaracter"/>
        </w:rPr>
      </w:pPr>
      <w:bookmarkStart w:id="859" w:name="DESCRIPTORALFABETICO244"/>
      <w:r w:rsidRPr="003104DF">
        <w:rPr>
          <w:rStyle w:val="TextoNormalNegritaCaracter"/>
        </w:rPr>
        <w:t>Injurias al Jefe del Estado</w:t>
      </w:r>
      <w:bookmarkEnd w:id="859"/>
      <w:r w:rsidRPr="003104DF">
        <w:rPr>
          <w:rStyle w:val="TextoNormalCaracter"/>
        </w:rPr>
        <w:t xml:space="preserve">, Auto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Instrucción de recursos</w:t>
      </w:r>
      <w:r>
        <w:t xml:space="preserve"> véase </w:t>
      </w:r>
      <w:hyperlink w:anchor="DESCRIPTORALFABETICO373" w:history="1">
        <w:r w:rsidRPr="003104DF">
          <w:rPr>
            <w:rStyle w:val="TextoNormalNegritaCaracter"/>
          </w:rPr>
          <w:t>Indicación de recursos</w:t>
        </w:r>
      </w:hyperlink>
    </w:p>
    <w:p w:rsidR="003104DF" w:rsidRPr="003104DF" w:rsidRDefault="003104DF" w:rsidP="003104DF">
      <w:pPr>
        <w:pStyle w:val="TextoNormalSangraFrancesa"/>
        <w:rPr>
          <w:rStyle w:val="TextoNormalNegritaCaracter"/>
        </w:rPr>
      </w:pPr>
      <w:r w:rsidRPr="003104DF">
        <w:rPr>
          <w:rStyle w:val="TextoNormalCursivaCaracter"/>
        </w:rPr>
        <w:t>Interés público de la información</w:t>
      </w:r>
      <w:r>
        <w:t xml:space="preserve"> véase </w:t>
      </w:r>
      <w:hyperlink w:anchor="DESCRIPTORALFABETICO104" w:history="1">
        <w:r w:rsidRPr="003104DF">
          <w:rPr>
            <w:rStyle w:val="TextoNormalNegritaCaracter"/>
          </w:rPr>
          <w:t>Relevancia pública de la información</w:t>
        </w:r>
      </w:hyperlink>
    </w:p>
    <w:p w:rsidR="003104DF" w:rsidRPr="003104DF" w:rsidRDefault="003104DF" w:rsidP="003104DF">
      <w:pPr>
        <w:pStyle w:val="TextoNormalSangraFrancesa"/>
        <w:rPr>
          <w:rStyle w:val="TextoNormalCaracter"/>
        </w:rPr>
      </w:pPr>
      <w:bookmarkStart w:id="860" w:name="DESCRIPTORALFABETICO256"/>
      <w:r w:rsidRPr="003104DF">
        <w:rPr>
          <w:rStyle w:val="TextoNormalNegritaCaracter"/>
        </w:rPr>
        <w:t>Interpretación conforme a la Constitución</w:t>
      </w:r>
      <w:bookmarkEnd w:id="860"/>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 4; </w:t>
      </w:r>
      <w:hyperlink w:anchor="SENTENCIA_1992_23" w:history="1">
        <w:r w:rsidRPr="003104DF">
          <w:rPr>
            <w:rStyle w:val="TextoNormalCaracter"/>
          </w:rPr>
          <w:t>23/1992</w:t>
        </w:r>
      </w:hyperlink>
      <w:r w:rsidRPr="003104DF">
        <w:rPr>
          <w:rStyle w:val="TextoNormalCaracter"/>
        </w:rPr>
        <w:t xml:space="preserve">, f. 3; </w:t>
      </w:r>
      <w:hyperlink w:anchor="SENTENCIA_1992_31" w:history="1">
        <w:r w:rsidRPr="003104DF">
          <w:rPr>
            <w:rStyle w:val="TextoNormalCaracter"/>
          </w:rPr>
          <w:t>31/1992</w:t>
        </w:r>
      </w:hyperlink>
      <w:r w:rsidRPr="003104DF">
        <w:rPr>
          <w:rStyle w:val="TextoNormalCaracter"/>
        </w:rPr>
        <w:t xml:space="preserve">, f. 4; </w:t>
      </w:r>
      <w:hyperlink w:anchor="SENTENCIA_1992_61" w:history="1">
        <w:r w:rsidRPr="003104DF">
          <w:rPr>
            <w:rStyle w:val="TextoNormalCaracter"/>
          </w:rPr>
          <w:t>61/1992</w:t>
        </w:r>
      </w:hyperlink>
      <w:r w:rsidRPr="003104DF">
        <w:rPr>
          <w:rStyle w:val="TextoNormalCaracter"/>
        </w:rPr>
        <w:t xml:space="preserve">, f. 1; </w:t>
      </w:r>
      <w:hyperlink w:anchor="SENTENCIA_1992_66" w:history="1">
        <w:r w:rsidRPr="003104DF">
          <w:rPr>
            <w:rStyle w:val="TextoNormalCaracter"/>
          </w:rPr>
          <w:t>66/1992</w:t>
        </w:r>
      </w:hyperlink>
      <w:r w:rsidRPr="003104DF">
        <w:rPr>
          <w:rStyle w:val="TextoNormalCaracter"/>
        </w:rPr>
        <w:t>, f. 2.</w:t>
      </w:r>
    </w:p>
    <w:p w:rsidR="003104DF" w:rsidRPr="003104DF" w:rsidRDefault="003104DF" w:rsidP="003104DF">
      <w:pPr>
        <w:pStyle w:val="TextoNormalSangraFrancesa"/>
        <w:rPr>
          <w:rStyle w:val="TextoNormalCaracter"/>
        </w:rPr>
      </w:pPr>
      <w:bookmarkStart w:id="861" w:name="DESCRIPTORALFABETICO257"/>
      <w:r w:rsidRPr="003104DF">
        <w:rPr>
          <w:rStyle w:val="TextoNormalNegritaCaracter"/>
        </w:rPr>
        <w:t>Interpretación de las normas más favorable a los derechos fundamentales</w:t>
      </w:r>
      <w:bookmarkEnd w:id="861"/>
      <w:r w:rsidRPr="003104DF">
        <w:rPr>
          <w:rStyle w:val="TextoNormalCaracter"/>
        </w:rPr>
        <w:t xml:space="preserve">, Sentencia </w:t>
      </w:r>
      <w:hyperlink w:anchor="SENTENCIA_1992_53" w:history="1">
        <w:r w:rsidRPr="003104DF">
          <w:rPr>
            <w:rStyle w:val="TextoNormalCaracter"/>
          </w:rPr>
          <w:t>53/1992</w:t>
        </w:r>
      </w:hyperlink>
      <w:r w:rsidRPr="003104DF">
        <w:rPr>
          <w:rStyle w:val="TextoNormalCaracter"/>
        </w:rPr>
        <w:t>, f. 2, 3.</w:t>
      </w:r>
    </w:p>
    <w:p w:rsidR="003104DF" w:rsidRPr="003104DF" w:rsidRDefault="003104DF" w:rsidP="003104DF">
      <w:pPr>
        <w:pStyle w:val="TextoNormalSangraFrancesa"/>
        <w:rPr>
          <w:rStyle w:val="TextoNormalCaracter"/>
        </w:rPr>
      </w:pPr>
      <w:bookmarkStart w:id="862" w:name="DESCRIPTORALFABETICO364"/>
      <w:r w:rsidRPr="003104DF">
        <w:rPr>
          <w:rStyle w:val="TextoNormalNegritaCaracter"/>
        </w:rPr>
        <w:t>Interrupción de plazos procesales</w:t>
      </w:r>
      <w:bookmarkEnd w:id="862"/>
      <w:r w:rsidRPr="003104DF">
        <w:rPr>
          <w:rStyle w:val="TextoNormalCaracter"/>
        </w:rPr>
        <w:t xml:space="preserve">, Sentencia </w:t>
      </w:r>
      <w:hyperlink w:anchor="SENTENCIA_1992_37" w:history="1">
        <w:r w:rsidRPr="003104DF">
          <w:rPr>
            <w:rStyle w:val="TextoNormalCaracter"/>
          </w:rPr>
          <w:t>37/1992</w:t>
        </w:r>
      </w:hyperlink>
      <w:r w:rsidRPr="003104DF">
        <w:rPr>
          <w:rStyle w:val="TextoNormalCaracter"/>
        </w:rPr>
        <w:t>, f. 4.</w:t>
      </w:r>
    </w:p>
    <w:p w:rsidR="003104DF" w:rsidRPr="003104DF" w:rsidRDefault="003104DF" w:rsidP="003104DF">
      <w:pPr>
        <w:pStyle w:val="TextoNormalSangraFrancesa"/>
        <w:rPr>
          <w:rStyle w:val="TextoNormalCaracter"/>
        </w:rPr>
      </w:pPr>
      <w:bookmarkStart w:id="863" w:name="DESCRIPTORALFABETICO215"/>
      <w:r w:rsidRPr="003104DF">
        <w:rPr>
          <w:rStyle w:val="TextoNormalNegritaCaracter"/>
        </w:rPr>
        <w:t>Investigación de operaciones bancarias</w:t>
      </w:r>
      <w:bookmarkEnd w:id="863"/>
      <w:r w:rsidRPr="003104DF">
        <w:rPr>
          <w:rStyle w:val="TextoNormalCaracter"/>
        </w:rPr>
        <w:t xml:space="preserve">, Auto </w:t>
      </w:r>
      <w:hyperlink w:anchor="AUTO_1992_52" w:history="1">
        <w:r w:rsidRPr="003104DF">
          <w:rPr>
            <w:rStyle w:val="TextoNormalCaracter"/>
          </w:rPr>
          <w:t>52/1992</w:t>
        </w:r>
      </w:hyperlink>
      <w:r w:rsidRPr="003104DF">
        <w:rPr>
          <w:rStyle w:val="TextoNormalCaracter"/>
        </w:rPr>
        <w:t>.</w:t>
      </w:r>
    </w:p>
    <w:p w:rsidR="003104DF" w:rsidRPr="003104DF" w:rsidRDefault="003104DF" w:rsidP="003104DF">
      <w:pPr>
        <w:pStyle w:val="TextoNormalSangraFrancesa"/>
        <w:rPr>
          <w:rStyle w:val="TextoNormalCaracter"/>
        </w:rPr>
      </w:pPr>
      <w:bookmarkStart w:id="864" w:name="DESCRIPTORALFABETICO136"/>
      <w:r w:rsidRPr="003104DF">
        <w:rPr>
          <w:rStyle w:val="TextoNormalNegritaCaracter"/>
        </w:rPr>
        <w:t>Invocación parcial</w:t>
      </w:r>
      <w:bookmarkEnd w:id="864"/>
      <w:r w:rsidRPr="003104DF">
        <w:rPr>
          <w:rStyle w:val="TextoNormalCaracter"/>
        </w:rPr>
        <w:t xml:space="preserve">, Sentencia </w:t>
      </w:r>
      <w:hyperlink w:anchor="SENTENCIA_1992_27" w:history="1">
        <w:r w:rsidRPr="003104DF">
          <w:rPr>
            <w:rStyle w:val="TextoNormalCaracter"/>
          </w:rPr>
          <w:t>27/1992</w:t>
        </w:r>
      </w:hyperlink>
      <w:r w:rsidRPr="003104DF">
        <w:rPr>
          <w:rStyle w:val="TextoNormalCaracter"/>
        </w:rPr>
        <w:t>, f. 3.</w:t>
      </w:r>
    </w:p>
    <w:p w:rsidR="003104DF" w:rsidRPr="003104DF" w:rsidRDefault="003104DF" w:rsidP="003104DF">
      <w:pPr>
        <w:pStyle w:val="TextoNormalSangraFrancesa"/>
        <w:rPr>
          <w:rStyle w:val="TextoNormalCaracter"/>
        </w:rPr>
      </w:pPr>
      <w:bookmarkStart w:id="865" w:name="DESCRIPTORALFABETICO137"/>
      <w:r w:rsidRPr="003104DF">
        <w:rPr>
          <w:rStyle w:val="TextoNormalNegritaCaracter"/>
        </w:rPr>
        <w:t xml:space="preserve">Invocación </w:t>
      </w:r>
      <w:r w:rsidRPr="003104DF">
        <w:rPr>
          <w:rStyle w:val="TextoNormalNegritaCaracter"/>
          <w:i/>
        </w:rPr>
        <w:t>per saltum</w:t>
      </w:r>
      <w:bookmarkEnd w:id="865"/>
      <w:r w:rsidRPr="003104DF">
        <w:rPr>
          <w:rStyle w:val="TextoNormalCaracter"/>
        </w:rPr>
        <w:t xml:space="preserve">, Sentencia </w:t>
      </w:r>
      <w:hyperlink w:anchor="SENTENCIA_1992_49" w:history="1">
        <w:r w:rsidRPr="003104DF">
          <w:rPr>
            <w:rStyle w:val="TextoNormalCaracter"/>
          </w:rPr>
          <w:t>49/1992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Irregularidades procesales</w:t>
      </w:r>
      <w:r>
        <w:t xml:space="preserve"> véase </w:t>
      </w:r>
      <w:hyperlink w:anchor="DESCRIPTORALFABETICO319" w:history="1">
        <w:r w:rsidRPr="003104DF">
          <w:rPr>
            <w:rStyle w:val="TextoNormalNegritaCaracter"/>
          </w:rPr>
          <w:t>Defectos procesales</w:t>
        </w:r>
      </w:hyperlink>
    </w:p>
    <w:p w:rsidR="003104DF" w:rsidRPr="003104DF" w:rsidRDefault="003104DF" w:rsidP="003104DF">
      <w:pPr>
        <w:pStyle w:val="TextoNormalSangraFrancesa"/>
        <w:rPr>
          <w:rStyle w:val="TextoNormalNegritaCaracter"/>
        </w:rPr>
      </w:pPr>
      <w:r w:rsidRPr="003104DF">
        <w:rPr>
          <w:rStyle w:val="TextoNormalCursivaCaracter"/>
        </w:rPr>
        <w:t>Iura novit curia</w:t>
      </w:r>
      <w:r>
        <w:t xml:space="preserve"> véase </w:t>
      </w:r>
      <w:hyperlink w:anchor="DESCRIPTORALFABETICO371" w:history="1">
        <w:r w:rsidRPr="003104DF">
          <w:rPr>
            <w:rStyle w:val="TextoNormalNegritaCaracter"/>
          </w:rPr>
          <w:t xml:space="preserve">Principio </w:t>
        </w:r>
        <w:r w:rsidRPr="003104DF">
          <w:rPr>
            <w:rStyle w:val="TextoNormalNegritaCaracter"/>
            <w:i/>
          </w:rPr>
          <w:t>iura novit curia</w:t>
        </w:r>
      </w:hyperlink>
    </w:p>
    <w:p w:rsidR="003104DF" w:rsidRPr="003104DF" w:rsidRDefault="003104DF" w:rsidP="003104DF">
      <w:pPr>
        <w:pStyle w:val="TextoNormalSangraFrancesa"/>
        <w:rPr>
          <w:rStyle w:val="TextoNormalCaracter"/>
        </w:rPr>
      </w:pPr>
      <w:bookmarkStart w:id="866" w:name="DESCRIPTORALFABETICO34"/>
      <w:r w:rsidRPr="003104DF">
        <w:rPr>
          <w:rStyle w:val="TextoNormalNegritaCaracter"/>
          <w:i/>
        </w:rPr>
        <w:t>Ius in officium</w:t>
      </w:r>
      <w:bookmarkEnd w:id="866"/>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3.</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J</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67" w:name="DESCRIPTORALFABETICO272"/>
      <w:r w:rsidRPr="003104DF">
        <w:rPr>
          <w:rStyle w:val="TextoNormalNegritaCaracter"/>
        </w:rPr>
        <w:t>Jubilación</w:t>
      </w:r>
      <w:bookmarkEnd w:id="867"/>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 2.</w:t>
      </w:r>
    </w:p>
    <w:p w:rsidR="003104DF" w:rsidRPr="003104DF" w:rsidRDefault="003104DF" w:rsidP="003104DF">
      <w:pPr>
        <w:pStyle w:val="TextoNormalSangraFrancesa"/>
        <w:rPr>
          <w:rStyle w:val="TextoNormalCaracter"/>
        </w:rPr>
      </w:pPr>
      <w:bookmarkStart w:id="868" w:name="DESCRIPTORALFABETICO416"/>
      <w:r w:rsidRPr="003104DF">
        <w:rPr>
          <w:rStyle w:val="TextoNormalNegritaCaracter"/>
        </w:rPr>
        <w:t>Juicio de faltas</w:t>
      </w:r>
      <w:bookmarkEnd w:id="868"/>
      <w:r w:rsidRPr="003104DF">
        <w:rPr>
          <w:rStyle w:val="TextoNormalCaracter"/>
        </w:rPr>
        <w:t xml:space="preserve">, Sentencias </w:t>
      </w:r>
      <w:hyperlink w:anchor="SENTENCIA_1992_11" w:history="1">
        <w:r w:rsidRPr="003104DF">
          <w:rPr>
            <w:rStyle w:val="TextoNormalCaracter"/>
          </w:rPr>
          <w:t>11/1992</w:t>
        </w:r>
      </w:hyperlink>
      <w:r w:rsidRPr="003104DF">
        <w:rPr>
          <w:rStyle w:val="TextoNormalCaracter"/>
        </w:rPr>
        <w:t xml:space="preserve">, f. 4; </w:t>
      </w:r>
      <w:hyperlink w:anchor="SENTENCIA_1992_17" w:history="1">
        <w:r w:rsidRPr="003104DF">
          <w:rPr>
            <w:rStyle w:val="TextoNormalCaracter"/>
          </w:rPr>
          <w:t>17/1992</w:t>
        </w:r>
      </w:hyperlink>
      <w:r w:rsidRPr="003104DF">
        <w:rPr>
          <w:rStyle w:val="TextoNormalCaracter"/>
        </w:rPr>
        <w:t>, f. 2.</w:t>
      </w:r>
    </w:p>
    <w:p w:rsidR="003104DF" w:rsidRPr="003104DF" w:rsidRDefault="003104DF" w:rsidP="003104DF">
      <w:pPr>
        <w:pStyle w:val="TextoNormalSangraFrancesa"/>
        <w:rPr>
          <w:rStyle w:val="TextoNormalCaracter"/>
        </w:rPr>
      </w:pPr>
      <w:bookmarkStart w:id="869" w:name="DESCRIPTORALFABETICO128"/>
      <w:r w:rsidRPr="003104DF">
        <w:rPr>
          <w:rStyle w:val="TextoNormalNegritaCaracter"/>
        </w:rPr>
        <w:t>Juicio de relevancia</w:t>
      </w:r>
      <w:bookmarkEnd w:id="869"/>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1.</w:t>
      </w:r>
    </w:p>
    <w:p w:rsidR="003104DF" w:rsidRPr="003104DF" w:rsidRDefault="003104DF" w:rsidP="003104DF">
      <w:pPr>
        <w:pStyle w:val="TextoNormalSangraFrancesa"/>
        <w:rPr>
          <w:rStyle w:val="TextoNormalCaracter"/>
        </w:rPr>
      </w:pPr>
      <w:bookmarkStart w:id="870" w:name="DESCRIPTORALFABETICO391"/>
      <w:r w:rsidRPr="003104DF">
        <w:rPr>
          <w:rStyle w:val="TextoNormalNegritaCaracter"/>
        </w:rPr>
        <w:t>Juicio ejecutivo</w:t>
      </w:r>
      <w:bookmarkEnd w:id="870"/>
      <w:r w:rsidRPr="003104DF">
        <w:rPr>
          <w:rStyle w:val="TextoNormalCaracter"/>
        </w:rPr>
        <w:t xml:space="preserve">, Sentencias </w:t>
      </w:r>
      <w:hyperlink w:anchor="SENTENCIA_1992_6" w:history="1">
        <w:r w:rsidRPr="003104DF">
          <w:rPr>
            <w:rStyle w:val="TextoNormalCaracter"/>
          </w:rPr>
          <w:t>6/1992</w:t>
        </w:r>
      </w:hyperlink>
      <w:r w:rsidRPr="003104DF">
        <w:rPr>
          <w:rStyle w:val="TextoNormalCaracter"/>
        </w:rPr>
        <w:t xml:space="preserve">, ff. 6, 7; </w:t>
      </w:r>
      <w:hyperlink w:anchor="SENTENCIA_1992_14" w:history="1">
        <w:r w:rsidRPr="003104DF">
          <w:rPr>
            <w:rStyle w:val="TextoNormalCaracter"/>
          </w:rPr>
          <w:t>14/1992</w:t>
        </w:r>
      </w:hyperlink>
      <w:r w:rsidRPr="003104DF">
        <w:rPr>
          <w:rStyle w:val="TextoNormalCaracter"/>
        </w:rPr>
        <w:t xml:space="preserve">, ff. 2, 4, 10, VP;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ursivaCaracter"/>
        </w:rPr>
        <w:t xml:space="preserve">    Régimen jurídico, </w:t>
      </w:r>
      <w:r w:rsidRPr="003104DF">
        <w:rPr>
          <w:rStyle w:val="TextoNormalCaracter"/>
        </w:rPr>
        <w:t xml:space="preserve">Sentencia </w:t>
      </w:r>
      <w:hyperlink w:anchor="SENTENCIA_1992_14" w:history="1">
        <w:r w:rsidRPr="003104DF">
          <w:rPr>
            <w:rStyle w:val="TextoNormalCaracter"/>
          </w:rPr>
          <w:t>14/1992</w:t>
        </w:r>
      </w:hyperlink>
      <w:r w:rsidRPr="003104DF">
        <w:rPr>
          <w:rStyle w:val="TextoNormalCaracter"/>
        </w:rPr>
        <w:t>, f. 1.</w:t>
      </w:r>
    </w:p>
    <w:p w:rsidR="003104DF" w:rsidRPr="003104DF" w:rsidRDefault="003104DF" w:rsidP="003104DF">
      <w:pPr>
        <w:pStyle w:val="TextoNormalSangraFrancesa"/>
        <w:rPr>
          <w:rStyle w:val="TextoNormalNegritaCaracter"/>
        </w:rPr>
      </w:pPr>
      <w:r w:rsidRPr="003104DF">
        <w:rPr>
          <w:rStyle w:val="TextoNormalCursivaCaracter"/>
        </w:rPr>
        <w:t>Juicio incidental de protección de derechos fundamentales</w:t>
      </w:r>
      <w:r>
        <w:t xml:space="preserve"> véase </w:t>
      </w:r>
      <w:hyperlink w:anchor="DESCRIPTORALFABETICO294" w:history="1">
        <w:r w:rsidRPr="003104DF">
          <w:rPr>
            <w:rStyle w:val="TextoNormalNegritaCaracter"/>
          </w:rPr>
          <w:t>Procedimiento especial de la ley de protección jurisdiccional de los derechos fundamentales</w:t>
        </w:r>
      </w:hyperlink>
    </w:p>
    <w:p w:rsidR="003104DF" w:rsidRPr="003104DF" w:rsidRDefault="003104DF" w:rsidP="003104DF">
      <w:pPr>
        <w:pStyle w:val="TextoNormalSangraFrancesa"/>
        <w:rPr>
          <w:rStyle w:val="TextoNormalCaracter"/>
        </w:rPr>
      </w:pPr>
      <w:bookmarkStart w:id="871" w:name="DESCRIPTORALFABETICO417"/>
      <w:r w:rsidRPr="003104DF">
        <w:rPr>
          <w:rStyle w:val="TextoNormalNegritaCaracter"/>
        </w:rPr>
        <w:t>Juicio oral</w:t>
      </w:r>
      <w:bookmarkEnd w:id="871"/>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 4.</w:t>
      </w:r>
    </w:p>
    <w:p w:rsidR="003104DF" w:rsidRPr="003104DF" w:rsidRDefault="003104DF" w:rsidP="003104DF">
      <w:pPr>
        <w:pStyle w:val="TextoNormalSangraFrancesa"/>
        <w:rPr>
          <w:rStyle w:val="TextoNormalCaracter"/>
        </w:rPr>
      </w:pPr>
      <w:bookmarkStart w:id="872" w:name="DESCRIPTORALFABETICO48"/>
      <w:r w:rsidRPr="003104DF">
        <w:rPr>
          <w:rStyle w:val="TextoNormalNegritaCaracter"/>
        </w:rPr>
        <w:t>Justificación razonable del tratamiento legal diferenciado</w:t>
      </w:r>
      <w:bookmarkEnd w:id="872"/>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 5;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873" w:name="DESCRIPTORALFABETICO171"/>
      <w:r w:rsidRPr="003104DF">
        <w:rPr>
          <w:rStyle w:val="TextoNormalNegritaCaracter"/>
        </w:rPr>
        <w:t>Juzgado de Instrucción</w:t>
      </w:r>
      <w:bookmarkEnd w:id="873"/>
      <w:r w:rsidRPr="003104DF">
        <w:rPr>
          <w:rStyle w:val="TextoNormalCaracter"/>
        </w:rPr>
        <w:t xml:space="preserve">, Auto </w:t>
      </w:r>
      <w:hyperlink w:anchor="AUTO_1992_83" w:history="1">
        <w:r w:rsidRPr="003104DF">
          <w:rPr>
            <w:rStyle w:val="TextoNormalCaracter"/>
          </w:rPr>
          <w:t>83/1992</w:t>
        </w:r>
      </w:hyperlink>
      <w:r w:rsidRPr="003104DF">
        <w:rPr>
          <w:rStyle w:val="TextoNormalCaracter"/>
        </w:rPr>
        <w:t>.</w:t>
      </w:r>
    </w:p>
    <w:p w:rsidR="003104DF" w:rsidRPr="003104DF" w:rsidRDefault="003104DF" w:rsidP="003104DF">
      <w:pPr>
        <w:pStyle w:val="TextoNormalSangraFrancesa"/>
        <w:rPr>
          <w:rStyle w:val="TextoNormalCaracter"/>
        </w:rPr>
      </w:pPr>
      <w:bookmarkStart w:id="874" w:name="DESCRIPTORALFABETICO172"/>
      <w:r w:rsidRPr="003104DF">
        <w:rPr>
          <w:rStyle w:val="TextoNormalNegritaCaracter"/>
        </w:rPr>
        <w:t>Juzgado de Vigilancia Penitenciaria</w:t>
      </w:r>
      <w:bookmarkEnd w:id="874"/>
      <w:r w:rsidRPr="003104DF">
        <w:rPr>
          <w:rStyle w:val="TextoNormalCaracter"/>
        </w:rPr>
        <w:t xml:space="preserve">, Sentencia </w:t>
      </w:r>
      <w:hyperlink w:anchor="SENTENCIA_1992_54" w:history="1">
        <w:r w:rsidRPr="003104DF">
          <w:rPr>
            <w:rStyle w:val="TextoNormalCaracter"/>
          </w:rPr>
          <w:t>54/1992</w:t>
        </w:r>
      </w:hyperlink>
      <w:r w:rsidRPr="003104DF">
        <w:rPr>
          <w:rStyle w:val="TextoNormalCaracter"/>
        </w:rPr>
        <w:t>, f. 3.</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L</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75" w:name="DESCRIPTORALFABETICO333"/>
      <w:r w:rsidRPr="003104DF">
        <w:rPr>
          <w:rStyle w:val="TextoNormalNegritaCaracter"/>
        </w:rPr>
        <w:lastRenderedPageBreak/>
        <w:t>Lanzamiento de arrendatario</w:t>
      </w:r>
      <w:bookmarkEnd w:id="875"/>
      <w:r w:rsidRPr="003104DF">
        <w:rPr>
          <w:rStyle w:val="TextoNormalCaracter"/>
        </w:rPr>
        <w:t xml:space="preserve">, Sentencia </w:t>
      </w:r>
      <w:hyperlink w:anchor="SENTENCIA_1992_6" w:history="1">
        <w:r w:rsidRPr="003104DF">
          <w:rPr>
            <w:rStyle w:val="TextoNormalCaracter"/>
          </w:rPr>
          <w:t>6/1992</w:t>
        </w:r>
      </w:hyperlink>
      <w:r w:rsidRPr="003104DF">
        <w:rPr>
          <w:rStyle w:val="TextoNormalCaracter"/>
        </w:rPr>
        <w:t>, ff. 6, 7.</w:t>
      </w:r>
    </w:p>
    <w:p w:rsidR="003104DF" w:rsidRPr="003104DF" w:rsidRDefault="003104DF" w:rsidP="003104DF">
      <w:pPr>
        <w:pStyle w:val="TextoNormalSangraFrancesa"/>
        <w:rPr>
          <w:rStyle w:val="TextoNormalCaracter"/>
        </w:rPr>
      </w:pPr>
      <w:bookmarkStart w:id="876" w:name="DESCRIPTORALFABETICO247"/>
      <w:r w:rsidRPr="003104DF">
        <w:rPr>
          <w:rStyle w:val="TextoNormalNegritaCaracter"/>
        </w:rPr>
        <w:t>Legislación básica</w:t>
      </w:r>
      <w:bookmarkEnd w:id="876"/>
      <w:r w:rsidRPr="003104DF">
        <w:rPr>
          <w:rStyle w:val="TextoNormalCaracter"/>
        </w:rPr>
        <w:t xml:space="preserve">, Sentencias </w:t>
      </w:r>
      <w:hyperlink w:anchor="SENTENCIA_1992_35" w:history="1">
        <w:r w:rsidRPr="003104DF">
          <w:rPr>
            <w:rStyle w:val="TextoNormalCaracter"/>
          </w:rPr>
          <w:t>35/1992</w:t>
        </w:r>
      </w:hyperlink>
      <w:r w:rsidRPr="003104DF">
        <w:rPr>
          <w:rStyle w:val="TextoNormalCaracter"/>
        </w:rPr>
        <w:t xml:space="preserve">, ff. 3, 13, VP; </w:t>
      </w:r>
      <w:hyperlink w:anchor="SENTENCIA_1992_57" w:history="1">
        <w:r w:rsidRPr="003104DF">
          <w:rPr>
            <w:rStyle w:val="TextoNormalCaracter"/>
          </w:rPr>
          <w:t>57/1992</w:t>
        </w:r>
      </w:hyperlink>
      <w:r w:rsidRPr="003104DF">
        <w:rPr>
          <w:rStyle w:val="TextoNormalCaracter"/>
        </w:rPr>
        <w:t>, f. 3.</w:t>
      </w:r>
    </w:p>
    <w:p w:rsidR="003104DF" w:rsidRPr="003104DF" w:rsidRDefault="003104DF" w:rsidP="003104DF">
      <w:pPr>
        <w:pStyle w:val="TextoNormalSangraFrancesa"/>
        <w:rPr>
          <w:rStyle w:val="TextoNormalCaracter"/>
        </w:rPr>
      </w:pPr>
      <w:bookmarkStart w:id="877" w:name="DESCRIPTORALFABETICO248"/>
      <w:r w:rsidRPr="003104DF">
        <w:rPr>
          <w:rStyle w:val="TextoNormalNegritaCaracter"/>
        </w:rPr>
        <w:t>Legislación procesal</w:t>
      </w:r>
      <w:bookmarkEnd w:id="877"/>
      <w:r w:rsidRPr="003104DF">
        <w:rPr>
          <w:rStyle w:val="TextoNormalCaracter"/>
        </w:rPr>
        <w:t xml:space="preserve">, Sentencia </w:t>
      </w:r>
      <w:hyperlink w:anchor="SENTENCIA_1992_61" w:history="1">
        <w:r w:rsidRPr="003104DF">
          <w:rPr>
            <w:rStyle w:val="TextoNormalCaracter"/>
          </w:rPr>
          <w:t>61/1992</w:t>
        </w:r>
      </w:hyperlink>
      <w:r w:rsidRPr="003104DF">
        <w:rPr>
          <w:rStyle w:val="TextoNormalCaracter"/>
        </w:rPr>
        <w:t>, f. 1.</w:t>
      </w:r>
    </w:p>
    <w:p w:rsidR="003104DF" w:rsidRPr="003104DF" w:rsidRDefault="003104DF" w:rsidP="003104DF">
      <w:pPr>
        <w:pStyle w:val="TextoNormalSangraFrancesa"/>
        <w:rPr>
          <w:rStyle w:val="TextoNormalCaracter"/>
        </w:rPr>
      </w:pPr>
      <w:bookmarkStart w:id="878" w:name="DESCRIPTORALFABETICO144"/>
      <w:r w:rsidRPr="003104DF">
        <w:rPr>
          <w:rStyle w:val="TextoNormalNegritaCaracter"/>
        </w:rPr>
        <w:t>Legitimación en el recurso de amparo</w:t>
      </w:r>
      <w:bookmarkEnd w:id="878"/>
      <w:r w:rsidRPr="003104DF">
        <w:rPr>
          <w:rStyle w:val="TextoNormalCaracter"/>
        </w:rPr>
        <w:t xml:space="preserve">, Autos </w:t>
      </w:r>
      <w:hyperlink w:anchor="AUTO_1992_40" w:history="1">
        <w:r w:rsidRPr="003104DF">
          <w:rPr>
            <w:rStyle w:val="TextoNormalCaracter"/>
          </w:rPr>
          <w:t>40/1992</w:t>
        </w:r>
      </w:hyperlink>
      <w:r w:rsidRPr="003104DF">
        <w:rPr>
          <w:rStyle w:val="TextoNormalCaracter"/>
        </w:rPr>
        <w:t xml:space="preserve">; </w:t>
      </w:r>
      <w:hyperlink w:anchor="AUTO_1992_72" w:history="1">
        <w:r w:rsidRPr="003104DF">
          <w:rPr>
            <w:rStyle w:val="TextoNormalCaracter"/>
          </w:rPr>
          <w:t>72/1992</w:t>
        </w:r>
      </w:hyperlink>
      <w:r w:rsidRPr="003104DF">
        <w:rPr>
          <w:rStyle w:val="TextoNormalCaracter"/>
        </w:rPr>
        <w:t>.</w:t>
      </w:r>
    </w:p>
    <w:p w:rsidR="003104DF" w:rsidRPr="003104DF" w:rsidRDefault="003104DF" w:rsidP="003104DF">
      <w:pPr>
        <w:pStyle w:val="TextoNormalSangraFrancesa"/>
        <w:rPr>
          <w:rStyle w:val="TextoNormalCaracter"/>
        </w:rPr>
      </w:pPr>
      <w:bookmarkStart w:id="879" w:name="DESCRIPTORALFABETICO361"/>
      <w:r w:rsidRPr="003104DF">
        <w:rPr>
          <w:rStyle w:val="TextoNormalNegritaCaracter"/>
        </w:rPr>
        <w:t>Legitimación procesal</w:t>
      </w:r>
      <w:bookmarkEnd w:id="879"/>
      <w:r w:rsidRPr="003104DF">
        <w:rPr>
          <w:rStyle w:val="TextoNormalCaracter"/>
        </w:rPr>
        <w:t xml:space="preserve">, Sentencia </w:t>
      </w:r>
      <w:hyperlink w:anchor="SENTENCIA_1992_60" w:history="1">
        <w:r w:rsidRPr="003104DF">
          <w:rPr>
            <w:rStyle w:val="TextoNormalCaracter"/>
          </w:rPr>
          <w:t>60/1992</w:t>
        </w:r>
      </w:hyperlink>
      <w:r w:rsidRPr="003104DF">
        <w:rPr>
          <w:rStyle w:val="TextoNormalCaracter"/>
        </w:rPr>
        <w:t>, f. 2.</w:t>
      </w:r>
    </w:p>
    <w:p w:rsidR="003104DF" w:rsidRPr="003104DF" w:rsidRDefault="003104DF" w:rsidP="003104DF">
      <w:pPr>
        <w:pStyle w:val="TextoNormalSangraFrancesa"/>
        <w:rPr>
          <w:rStyle w:val="TextoNormalCaracter"/>
        </w:rPr>
      </w:pPr>
      <w:bookmarkStart w:id="880" w:name="DESCRIPTORALFABETICO141"/>
      <w:r w:rsidRPr="003104DF">
        <w:rPr>
          <w:rStyle w:val="TextoNormalNegritaCaracter"/>
        </w:rPr>
        <w:t>Lesión hipotética del derecho fundamental</w:t>
      </w:r>
      <w:bookmarkEnd w:id="880"/>
      <w:r w:rsidRPr="003104DF">
        <w:rPr>
          <w:rStyle w:val="TextoNormalCaracter"/>
        </w:rPr>
        <w:t xml:space="preserve">, Sentencia </w:t>
      </w:r>
      <w:hyperlink w:anchor="SENTENCIA_1992_62" w:history="1">
        <w:r w:rsidRPr="003104DF">
          <w:rPr>
            <w:rStyle w:val="TextoNormalCaracter"/>
          </w:rPr>
          <w:t>62/1992</w:t>
        </w:r>
      </w:hyperlink>
      <w:r w:rsidRPr="003104DF">
        <w:rPr>
          <w:rStyle w:val="TextoNormalCaracter"/>
        </w:rPr>
        <w:t>, f. 4.</w:t>
      </w:r>
    </w:p>
    <w:p w:rsidR="003104DF" w:rsidRPr="003104DF" w:rsidRDefault="003104DF" w:rsidP="003104DF">
      <w:pPr>
        <w:pStyle w:val="TextoNormalSangraFrancesa"/>
        <w:rPr>
          <w:rStyle w:val="TextoNormalCaracter"/>
        </w:rPr>
      </w:pPr>
      <w:bookmarkStart w:id="881" w:name="DESCRIPTORALFABETICO116"/>
      <w:r w:rsidRPr="003104DF">
        <w:rPr>
          <w:rStyle w:val="TextoNormalNegritaCaracter"/>
        </w:rPr>
        <w:t>Levantamiento de la suspensión de disposiciones de las Comunidades Autónomas</w:t>
      </w:r>
      <w:bookmarkEnd w:id="881"/>
      <w:r w:rsidRPr="003104DF">
        <w:rPr>
          <w:rStyle w:val="TextoNormalCaracter"/>
        </w:rPr>
        <w:t xml:space="preserve">, Autos </w:t>
      </w:r>
      <w:hyperlink w:anchor="AUTO_1992_12" w:history="1">
        <w:r w:rsidRPr="003104DF">
          <w:rPr>
            <w:rStyle w:val="TextoNormalCaracter"/>
          </w:rPr>
          <w:t>12/1992</w:t>
        </w:r>
      </w:hyperlink>
      <w:r w:rsidRPr="003104DF">
        <w:rPr>
          <w:rStyle w:val="TextoNormalCaracter"/>
        </w:rPr>
        <w:t xml:space="preserve">; </w:t>
      </w:r>
      <w:hyperlink w:anchor="AUTO_1992_63" w:history="1">
        <w:r w:rsidRPr="003104DF">
          <w:rPr>
            <w:rStyle w:val="TextoNormalCaracter"/>
          </w:rPr>
          <w:t>63/1992</w:t>
        </w:r>
      </w:hyperlink>
      <w:r w:rsidRPr="003104DF">
        <w:rPr>
          <w:rStyle w:val="TextoNormalCaracter"/>
        </w:rPr>
        <w:t xml:space="preserve">; </w:t>
      </w:r>
      <w:hyperlink w:anchor="AUTO_1992_81" w:history="1">
        <w:r w:rsidRPr="003104DF">
          <w:rPr>
            <w:rStyle w:val="TextoNormalCaracter"/>
          </w:rPr>
          <w:t>81/1992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Leyes de bases</w:t>
      </w:r>
      <w:r>
        <w:t xml:space="preserve"> véase </w:t>
      </w:r>
      <w:hyperlink w:anchor="DESCRIPTORALFABETICO247" w:history="1">
        <w:r w:rsidRPr="003104DF">
          <w:rPr>
            <w:rStyle w:val="TextoNormalNegritaCaracter"/>
          </w:rPr>
          <w:t>Legislación básica</w:t>
        </w:r>
      </w:hyperlink>
    </w:p>
    <w:p w:rsidR="003104DF" w:rsidRPr="003104DF" w:rsidRDefault="003104DF" w:rsidP="003104DF">
      <w:pPr>
        <w:pStyle w:val="TextoNormalSangraFrancesa"/>
        <w:rPr>
          <w:rStyle w:val="TextoNormalCaracter"/>
        </w:rPr>
      </w:pPr>
      <w:bookmarkStart w:id="882" w:name="DESCRIPTORALFABETICO250"/>
      <w:r w:rsidRPr="003104DF">
        <w:rPr>
          <w:rStyle w:val="TextoNormalNegritaCaracter"/>
        </w:rPr>
        <w:t>Leyes de presupuestos generales del Estado</w:t>
      </w:r>
      <w:bookmarkEnd w:id="882"/>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1, 2, 3, 4, 5, 6, 7, 8, 9, 10, 11, 12, 13, 14, 15, 16, 17.</w:t>
      </w:r>
    </w:p>
    <w:p w:rsidR="003104DF" w:rsidRPr="003104DF" w:rsidRDefault="003104DF" w:rsidP="003104DF">
      <w:pPr>
        <w:pStyle w:val="TextoNormalSangraFrancesa"/>
        <w:rPr>
          <w:rStyle w:val="TextoNormalNegritaCaracter"/>
        </w:rPr>
      </w:pPr>
      <w:r w:rsidRPr="003104DF">
        <w:rPr>
          <w:rStyle w:val="TextoNormalCursivaCaracter"/>
        </w:rPr>
        <w:t>Leyes procesales</w:t>
      </w:r>
      <w:r>
        <w:t xml:space="preserve"> véase </w:t>
      </w:r>
      <w:hyperlink w:anchor="DESCRIPTORALFABETICO248" w:history="1">
        <w:r w:rsidRPr="003104DF">
          <w:rPr>
            <w:rStyle w:val="TextoNormalNegritaCaracter"/>
          </w:rPr>
          <w:t>Legislación procesal</w:t>
        </w:r>
      </w:hyperlink>
    </w:p>
    <w:p w:rsidR="003104DF" w:rsidRPr="003104DF" w:rsidRDefault="003104DF" w:rsidP="003104DF">
      <w:pPr>
        <w:pStyle w:val="TextoNormalSangraFrancesa"/>
        <w:rPr>
          <w:rStyle w:val="TextoNormalNegritaCaracter"/>
        </w:rPr>
      </w:pPr>
      <w:r w:rsidRPr="003104DF">
        <w:rPr>
          <w:rStyle w:val="TextoNormalCursivaCaracter"/>
        </w:rPr>
        <w:t>Libertad de comunicación</w:t>
      </w:r>
      <w:r>
        <w:t xml:space="preserve"> véase </w:t>
      </w:r>
      <w:hyperlink w:anchor="DESCRIPTORALFABETICO102" w:history="1">
        <w:r w:rsidRPr="003104DF">
          <w:rPr>
            <w:rStyle w:val="TextoNormalNegritaCaracter"/>
          </w:rPr>
          <w:t>Derecho a comunicar libremente información</w:t>
        </w:r>
      </w:hyperlink>
    </w:p>
    <w:p w:rsidR="003104DF" w:rsidRPr="003104DF" w:rsidRDefault="003104DF" w:rsidP="003104DF">
      <w:pPr>
        <w:pStyle w:val="TextoNormalSangraFrancesa"/>
        <w:rPr>
          <w:rStyle w:val="TextoNormalCaracter"/>
        </w:rPr>
      </w:pPr>
      <w:bookmarkStart w:id="883" w:name="DESCRIPTORALFABETICO99"/>
      <w:r w:rsidRPr="003104DF">
        <w:rPr>
          <w:rStyle w:val="TextoNormalNegritaCaracter"/>
        </w:rPr>
        <w:t>Libertad de expresión</w:t>
      </w:r>
      <w:bookmarkEnd w:id="883"/>
      <w:r w:rsidRPr="003104DF">
        <w:rPr>
          <w:rStyle w:val="TextoNormalCaracter"/>
        </w:rPr>
        <w:t xml:space="preserve">, Auto </w:t>
      </w:r>
      <w:hyperlink w:anchor="AUTO_1992_17" w:history="1">
        <w:r w:rsidRPr="003104DF">
          <w:rPr>
            <w:rStyle w:val="TextoNormalCaracter"/>
          </w:rPr>
          <w:t>17/1992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Auto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Caracter"/>
        </w:rPr>
      </w:pPr>
      <w:bookmarkStart w:id="884" w:name="DESCRIPTORALFABETICO101"/>
      <w:r w:rsidRPr="003104DF">
        <w:rPr>
          <w:rStyle w:val="TextoNormalNegritaCaracter"/>
        </w:rPr>
        <w:t>Libertad de información</w:t>
      </w:r>
      <w:bookmarkEnd w:id="884"/>
      <w:r w:rsidRPr="003104DF">
        <w:rPr>
          <w:rStyle w:val="TextoNormalCaracter"/>
        </w:rPr>
        <w:t xml:space="preserve">, Sentencia </w:t>
      </w:r>
      <w:hyperlink w:anchor="SENTENCIA_1992_40" w:history="1">
        <w:r w:rsidRPr="003104DF">
          <w:rPr>
            <w:rStyle w:val="TextoNormalCaracter"/>
          </w:rPr>
          <w:t>40/1992</w:t>
        </w:r>
      </w:hyperlink>
      <w:r w:rsidRPr="003104DF">
        <w:rPr>
          <w:rStyle w:val="TextoNormalCaracter"/>
        </w:rPr>
        <w:t>, f. 1.</w:t>
      </w:r>
    </w:p>
    <w:p w:rsidR="003104DF" w:rsidRPr="003104DF" w:rsidRDefault="003104DF" w:rsidP="003104DF">
      <w:pPr>
        <w:pStyle w:val="TextoNormalSangraFrancesa"/>
        <w:rPr>
          <w:rStyle w:val="TextoNormalCaracter"/>
        </w:rPr>
      </w:pPr>
      <w:bookmarkStart w:id="885" w:name="DESCRIPTORALFABETICO107"/>
      <w:r w:rsidRPr="003104DF">
        <w:rPr>
          <w:rStyle w:val="TextoNormalNegritaCaracter"/>
        </w:rPr>
        <w:t>Libertad ideológica</w:t>
      </w:r>
      <w:bookmarkEnd w:id="885"/>
      <w:r w:rsidRPr="003104DF">
        <w:rPr>
          <w:rStyle w:val="TextoNormalCaracter"/>
        </w:rPr>
        <w:t xml:space="preserve">, Auto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Caracter"/>
        </w:rPr>
      </w:pPr>
      <w:bookmarkStart w:id="886" w:name="DESCRIPTORALFABETICO109"/>
      <w:r w:rsidRPr="003104DF">
        <w:rPr>
          <w:rStyle w:val="TextoNormalNegritaCaracter"/>
        </w:rPr>
        <w:t>Libertad sindical</w:t>
      </w:r>
      <w:bookmarkEnd w:id="886"/>
      <w:r w:rsidRPr="003104DF">
        <w:rPr>
          <w:rStyle w:val="TextoNormalCaracter"/>
        </w:rPr>
        <w:t xml:space="preserve">, Sentencia </w:t>
      </w:r>
      <w:hyperlink w:anchor="SENTENCIA_1992_21" w:history="1">
        <w:r w:rsidRPr="003104DF">
          <w:rPr>
            <w:rStyle w:val="TextoNormalCaracter"/>
          </w:rPr>
          <w:t>21/1992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25" w:history="1">
        <w:r w:rsidRPr="003104DF">
          <w:rPr>
            <w:rStyle w:val="TextoNormalCaracter"/>
          </w:rPr>
          <w:t>25/1992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30" w:history="1">
        <w:r w:rsidRPr="003104DF">
          <w:rPr>
            <w:rStyle w:val="TextoNormalCaracter"/>
          </w:rPr>
          <w:t>30/1992</w:t>
        </w:r>
      </w:hyperlink>
      <w:r w:rsidRPr="003104DF">
        <w:rPr>
          <w:rStyle w:val="TextoNormalCaracter"/>
        </w:rPr>
        <w:t>, f. 3.</w:t>
      </w:r>
    </w:p>
    <w:p w:rsidR="003104DF" w:rsidRPr="003104DF" w:rsidRDefault="003104DF" w:rsidP="003104DF">
      <w:pPr>
        <w:pStyle w:val="TextoNormalSangraFrancesa"/>
        <w:rPr>
          <w:rStyle w:val="TextoNormalCaracter"/>
        </w:rPr>
      </w:pPr>
      <w:bookmarkStart w:id="887" w:name="DESCRIPTORALFABETICO108"/>
      <w:r w:rsidRPr="003104DF">
        <w:rPr>
          <w:rStyle w:val="TextoNormalNegritaCaracter"/>
        </w:rPr>
        <w:t>Límites a la libertad ideológica, religiosa y de culto</w:t>
      </w:r>
      <w:bookmarkEnd w:id="887"/>
      <w:r w:rsidRPr="003104DF">
        <w:rPr>
          <w:rStyle w:val="TextoNormalCaracter"/>
        </w:rPr>
        <w:t xml:space="preserve">, Auto </w:t>
      </w:r>
      <w:hyperlink w:anchor="AUTO_1992_19" w:history="1">
        <w:r w:rsidRPr="003104DF">
          <w:rPr>
            <w:rStyle w:val="TextoNormalCaracter"/>
          </w:rPr>
          <w:t>19/1992</w:t>
        </w:r>
      </w:hyperlink>
      <w:r w:rsidRPr="003104DF">
        <w:rPr>
          <w:rStyle w:val="TextoNormalCaracter"/>
        </w:rPr>
        <w:t>.</w:t>
      </w:r>
    </w:p>
    <w:p w:rsidR="003104DF" w:rsidRPr="003104DF" w:rsidRDefault="003104DF" w:rsidP="003104DF">
      <w:pPr>
        <w:pStyle w:val="TextoNormalSangraFrancesa"/>
        <w:rPr>
          <w:rStyle w:val="TextoNormalCaracter"/>
        </w:rPr>
      </w:pPr>
      <w:bookmarkStart w:id="888" w:name="DESCRIPTORALFABETICO50"/>
      <w:r w:rsidRPr="003104DF">
        <w:rPr>
          <w:rStyle w:val="TextoNormalNegritaCaracter"/>
        </w:rPr>
        <w:t>Límites al derecho a la intimidad</w:t>
      </w:r>
      <w:bookmarkEnd w:id="888"/>
      <w:r w:rsidRPr="003104DF">
        <w:rPr>
          <w:rStyle w:val="TextoNormalCaracter"/>
        </w:rPr>
        <w:t xml:space="preserve">, Auto </w:t>
      </w:r>
      <w:hyperlink w:anchor="AUTO_1992_52" w:history="1">
        <w:r w:rsidRPr="003104DF">
          <w:rPr>
            <w:rStyle w:val="TextoNormalCaracter"/>
          </w:rPr>
          <w:t>52/1992</w:t>
        </w:r>
      </w:hyperlink>
      <w:r w:rsidRPr="003104DF">
        <w:rPr>
          <w:rStyle w:val="TextoNormalCaracter"/>
        </w:rPr>
        <w:t>.</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M</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89" w:name="DESCRIPTORALFABETICO114"/>
      <w:r w:rsidRPr="003104DF">
        <w:rPr>
          <w:rStyle w:val="TextoNormalNegritaCaracter"/>
        </w:rPr>
        <w:t>Mantenimiento de la suspensión del acto que origina el amparo</w:t>
      </w:r>
      <w:bookmarkEnd w:id="889"/>
      <w:r w:rsidRPr="003104DF">
        <w:rPr>
          <w:rStyle w:val="TextoNormalCaracter"/>
        </w:rPr>
        <w:t xml:space="preserve">, Auto </w:t>
      </w:r>
      <w:hyperlink w:anchor="AUTO_1992_87" w:history="1">
        <w:r w:rsidRPr="003104DF">
          <w:rPr>
            <w:rStyle w:val="TextoNormalCaracter"/>
          </w:rPr>
          <w:t>87/1992</w:t>
        </w:r>
      </w:hyperlink>
      <w:r w:rsidRPr="003104DF">
        <w:rPr>
          <w:rStyle w:val="TextoNormalCaracter"/>
        </w:rPr>
        <w:t>.</w:t>
      </w:r>
    </w:p>
    <w:p w:rsidR="003104DF" w:rsidRPr="003104DF" w:rsidRDefault="003104DF" w:rsidP="003104DF">
      <w:pPr>
        <w:pStyle w:val="TextoNormalSangraFrancesa"/>
        <w:rPr>
          <w:rStyle w:val="TextoNormalCaracter"/>
        </w:rPr>
      </w:pPr>
      <w:bookmarkStart w:id="890" w:name="DESCRIPTORALFABETICO232"/>
      <w:r w:rsidRPr="003104DF">
        <w:rPr>
          <w:rStyle w:val="TextoNormalNegritaCaracter"/>
        </w:rPr>
        <w:t>Matrimonio</w:t>
      </w:r>
      <w:bookmarkEnd w:id="890"/>
      <w:r w:rsidRPr="003104DF">
        <w:rPr>
          <w:rStyle w:val="TextoNormalCaracter"/>
        </w:rPr>
        <w:t xml:space="preserve">, Sentencia </w:t>
      </w:r>
      <w:hyperlink w:anchor="SENTENCIA_1992_2" w:history="1">
        <w:r w:rsidRPr="003104DF">
          <w:rPr>
            <w:rStyle w:val="TextoNormalCaracter"/>
          </w:rPr>
          <w:t>2/1992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891" w:name="DESCRIPTORALFABETICO358"/>
      <w:r w:rsidRPr="003104DF">
        <w:rPr>
          <w:rStyle w:val="TextoNormalNegritaCaracter"/>
        </w:rPr>
        <w:t>Medidas cautelares</w:t>
      </w:r>
      <w:bookmarkEnd w:id="891"/>
      <w:r w:rsidRPr="003104DF">
        <w:rPr>
          <w:rStyle w:val="TextoNormalCaracter"/>
        </w:rPr>
        <w:t xml:space="preserve">, Auto </w:t>
      </w:r>
      <w:hyperlink w:anchor="AUTO_1992_50" w:history="1">
        <w:r w:rsidRPr="003104DF">
          <w:rPr>
            <w:rStyle w:val="TextoNormalCaracter"/>
          </w:rPr>
          <w:t>50/1992</w:t>
        </w:r>
      </w:hyperlink>
      <w:r w:rsidRPr="003104DF">
        <w:rPr>
          <w:rStyle w:val="TextoNormalCaracter"/>
        </w:rPr>
        <w:t>.</w:t>
      </w:r>
    </w:p>
    <w:p w:rsidR="003104DF" w:rsidRPr="003104DF" w:rsidRDefault="003104DF" w:rsidP="003104DF">
      <w:pPr>
        <w:pStyle w:val="TextoNormalSangraFrancesa"/>
        <w:rPr>
          <w:rStyle w:val="TextoNormalCaracter"/>
        </w:rPr>
      </w:pPr>
      <w:bookmarkStart w:id="892" w:name="DESCRIPTORALFABETICO183"/>
      <w:r w:rsidRPr="003104DF">
        <w:rPr>
          <w:rStyle w:val="TextoNormalNegritaCaracter"/>
        </w:rPr>
        <w:t>Mesas parlamentarias</w:t>
      </w:r>
      <w:bookmarkEnd w:id="892"/>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893" w:name="DESCRIPTORALFABETICO412"/>
      <w:r w:rsidRPr="003104DF">
        <w:rPr>
          <w:rStyle w:val="TextoNormalNegritaCaracter"/>
        </w:rPr>
        <w:t>Modificación de las conclusiones provisionales</w:t>
      </w:r>
      <w:bookmarkEnd w:id="893"/>
      <w:r w:rsidRPr="003104DF">
        <w:rPr>
          <w:rStyle w:val="TextoNormalCaracter"/>
        </w:rPr>
        <w:t xml:space="preserve">, Auto </w:t>
      </w:r>
      <w:hyperlink w:anchor="AUTO_1992_72" w:history="1">
        <w:r w:rsidRPr="003104DF">
          <w:rPr>
            <w:rStyle w:val="TextoNormalCaracter"/>
          </w:rPr>
          <w:t>72/1992</w:t>
        </w:r>
      </w:hyperlink>
      <w:r w:rsidRPr="003104DF">
        <w:rPr>
          <w:rStyle w:val="TextoNormalCaracter"/>
        </w:rPr>
        <w:t>.</w:t>
      </w:r>
    </w:p>
    <w:p w:rsidR="003104DF" w:rsidRPr="003104DF" w:rsidRDefault="003104DF" w:rsidP="003104DF">
      <w:pPr>
        <w:pStyle w:val="TextoNormalSangraFrancesa"/>
        <w:rPr>
          <w:rStyle w:val="TextoNormalCaracter"/>
        </w:rPr>
      </w:pPr>
      <w:bookmarkStart w:id="894" w:name="DESCRIPTORALFABETICO164"/>
      <w:r w:rsidRPr="003104DF">
        <w:rPr>
          <w:rStyle w:val="TextoNormalNegritaCaracter"/>
        </w:rPr>
        <w:t>Modos de ejercicio de la potestad financiera</w:t>
      </w:r>
      <w:bookmarkEnd w:id="894"/>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895" w:name="DESCRIPTORALFABETICO285"/>
      <w:r w:rsidRPr="003104DF">
        <w:rPr>
          <w:rStyle w:val="TextoNormalNegritaCaracter"/>
        </w:rPr>
        <w:t>Motivación de la decisión de fijación de servicios mínimos</w:t>
      </w:r>
      <w:bookmarkEnd w:id="895"/>
      <w:r w:rsidRPr="003104DF">
        <w:rPr>
          <w:rStyle w:val="TextoNormalCaracter"/>
        </w:rPr>
        <w:t xml:space="preserve">, Sentencia </w:t>
      </w:r>
      <w:hyperlink w:anchor="SENTENCIA_1992_8" w:history="1">
        <w:r w:rsidRPr="003104DF">
          <w:rPr>
            <w:rStyle w:val="TextoNormalCaracter"/>
          </w:rPr>
          <w:t>8/1992</w:t>
        </w:r>
      </w:hyperlink>
      <w:r w:rsidRPr="003104DF">
        <w:rPr>
          <w:rStyle w:val="TextoNormalCaracter"/>
        </w:rPr>
        <w:t>, f. 3.</w:t>
      </w:r>
    </w:p>
    <w:p w:rsidR="003104DF" w:rsidRPr="003104DF" w:rsidRDefault="003104DF" w:rsidP="003104DF">
      <w:pPr>
        <w:pStyle w:val="TextoNormalSangraFrancesa"/>
        <w:rPr>
          <w:rStyle w:val="TextoNormalCaracter"/>
        </w:rPr>
      </w:pPr>
      <w:bookmarkStart w:id="896" w:name="DESCRIPTORALFABETICO65"/>
      <w:r w:rsidRPr="003104DF">
        <w:rPr>
          <w:rStyle w:val="TextoNormalNegritaCaracter"/>
        </w:rPr>
        <w:t>Motivación de las resoluciones judiciales</w:t>
      </w:r>
      <w:bookmarkEnd w:id="896"/>
      <w:r w:rsidRPr="003104DF">
        <w:rPr>
          <w:rStyle w:val="TextoNormalCaracter"/>
        </w:rPr>
        <w:t xml:space="preserve">, Sentencia </w:t>
      </w:r>
      <w:hyperlink w:anchor="SENTENCIA_1992_54" w:history="1">
        <w:r w:rsidRPr="003104DF">
          <w:rPr>
            <w:rStyle w:val="TextoNormalCaracter"/>
          </w:rPr>
          <w:t>54/1992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60" w:history="1">
        <w:r w:rsidRPr="003104DF">
          <w:rPr>
            <w:rStyle w:val="TextoNormalCaracter"/>
          </w:rPr>
          <w:t>60/1992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Vulnerado, </w:t>
      </w:r>
      <w:r w:rsidRPr="003104DF">
        <w:rPr>
          <w:rStyle w:val="TextoNormalCaracter"/>
        </w:rPr>
        <w:t xml:space="preserve">Auto </w:t>
      </w:r>
      <w:hyperlink w:anchor="AUTO_1992_50" w:history="1">
        <w:r w:rsidRPr="003104DF">
          <w:rPr>
            <w:rStyle w:val="TextoNormalCaracter"/>
          </w:rPr>
          <w:t>50/1992</w:t>
        </w:r>
      </w:hyperlink>
      <w:r w:rsidRPr="003104DF">
        <w:rPr>
          <w:rStyle w:val="TextoNormalCaracter"/>
        </w:rPr>
        <w:t>.</w:t>
      </w:r>
    </w:p>
    <w:p w:rsidR="003104DF" w:rsidRPr="003104DF" w:rsidRDefault="003104DF" w:rsidP="003104DF">
      <w:pPr>
        <w:pStyle w:val="TextoNormalSangraFrancesa"/>
        <w:rPr>
          <w:rStyle w:val="TextoNormalCaracter"/>
        </w:rPr>
      </w:pPr>
      <w:bookmarkStart w:id="897" w:name="DESCRIPTORALFABETICO66"/>
      <w:r w:rsidRPr="003104DF">
        <w:rPr>
          <w:rStyle w:val="TextoNormalNegritaCaracter"/>
        </w:rPr>
        <w:t>Motivación de las sentencias</w:t>
      </w:r>
      <w:bookmarkEnd w:id="897"/>
      <w:r w:rsidRPr="003104DF">
        <w:rPr>
          <w:rStyle w:val="TextoNormalCaracter"/>
        </w:rPr>
        <w:t xml:space="preserve">, Sentencias </w:t>
      </w:r>
      <w:hyperlink w:anchor="SENTENCIA_1992_7" w:history="1">
        <w:r w:rsidRPr="003104DF">
          <w:rPr>
            <w:rStyle w:val="TextoNormalCaracter"/>
          </w:rPr>
          <w:t>7/1992</w:t>
        </w:r>
      </w:hyperlink>
      <w:r w:rsidRPr="003104DF">
        <w:rPr>
          <w:rStyle w:val="TextoNormalCaracter"/>
        </w:rPr>
        <w:t xml:space="preserve">, f. 5; </w:t>
      </w:r>
      <w:hyperlink w:anchor="SENTENCIA_1992_27" w:history="1">
        <w:r w:rsidRPr="003104DF">
          <w:rPr>
            <w:rStyle w:val="TextoNormalCaracter"/>
          </w:rPr>
          <w:t>27/1992</w:t>
        </w:r>
      </w:hyperlink>
      <w:r w:rsidRPr="003104DF">
        <w:rPr>
          <w:rStyle w:val="TextoNormalCaracter"/>
        </w:rPr>
        <w:t>, f. 4.</w:t>
      </w:r>
    </w:p>
    <w:p w:rsidR="003104DF" w:rsidRPr="003104DF" w:rsidRDefault="003104DF" w:rsidP="003104DF">
      <w:pPr>
        <w:pStyle w:val="TextoNormalSangraFrancesa"/>
        <w:rPr>
          <w:rStyle w:val="TextoNormalCaracter"/>
        </w:rPr>
      </w:pPr>
      <w:bookmarkStart w:id="898" w:name="DESCRIPTORALFABETICO67"/>
      <w:r w:rsidRPr="003104DF">
        <w:rPr>
          <w:rStyle w:val="TextoNormalNegritaCaracter"/>
        </w:rPr>
        <w:t>Motivación de las sentencias por remisión</w:t>
      </w:r>
      <w:bookmarkEnd w:id="898"/>
      <w:r w:rsidRPr="003104DF">
        <w:rPr>
          <w:rStyle w:val="TextoNormalCaracter"/>
        </w:rPr>
        <w:t xml:space="preserve">, Sentencia </w:t>
      </w:r>
      <w:hyperlink w:anchor="SENTENCIA_1992_27" w:history="1">
        <w:r w:rsidRPr="003104DF">
          <w:rPr>
            <w:rStyle w:val="TextoNormalCaracter"/>
          </w:rPr>
          <w:t>27/1992</w:t>
        </w:r>
      </w:hyperlink>
      <w:r w:rsidRPr="003104DF">
        <w:rPr>
          <w:rStyle w:val="TextoNormalCaracter"/>
        </w:rPr>
        <w:t>, f. 4.</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N</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899" w:name="DESCRIPTORALFABETICO271"/>
      <w:r w:rsidRPr="003104DF">
        <w:rPr>
          <w:rStyle w:val="TextoNormalNegritaCaracter"/>
        </w:rPr>
        <w:t>Naturaleza de las cuotas de la Seguridad Social</w:t>
      </w:r>
      <w:bookmarkEnd w:id="899"/>
      <w:r w:rsidRPr="003104DF">
        <w:rPr>
          <w:rStyle w:val="TextoNormalCaracter"/>
        </w:rPr>
        <w:t xml:space="preserve">, Sentencia </w:t>
      </w:r>
      <w:hyperlink w:anchor="SENTENCIA_1992_39" w:history="1">
        <w:r w:rsidRPr="003104DF">
          <w:rPr>
            <w:rStyle w:val="TextoNormalCaracter"/>
          </w:rPr>
          <w:t>39/1992</w:t>
        </w:r>
      </w:hyperlink>
      <w:r w:rsidRPr="003104DF">
        <w:rPr>
          <w:rStyle w:val="TextoNormalCaracter"/>
        </w:rPr>
        <w:t>, f. 6.</w:t>
      </w:r>
    </w:p>
    <w:p w:rsidR="003104DF" w:rsidRPr="003104DF" w:rsidRDefault="003104DF" w:rsidP="003104DF">
      <w:pPr>
        <w:pStyle w:val="TextoNormalSangraFrancesa"/>
        <w:rPr>
          <w:rStyle w:val="TextoNormalNegritaCaracter"/>
        </w:rPr>
      </w:pPr>
      <w:r w:rsidRPr="003104DF">
        <w:rPr>
          <w:rStyle w:val="TextoNormalCursivaCaracter"/>
        </w:rPr>
        <w:t>Normas de reparto judicial</w:t>
      </w:r>
      <w:r>
        <w:t xml:space="preserve"> véase </w:t>
      </w:r>
      <w:hyperlink w:anchor="DESCRIPTORALFABETICO169" w:history="1">
        <w:r w:rsidRPr="003104DF">
          <w:rPr>
            <w:rStyle w:val="TextoNormalNegritaCaracter"/>
          </w:rPr>
          <w:t>Reparto de asuntos</w:t>
        </w:r>
      </w:hyperlink>
    </w:p>
    <w:p w:rsidR="003104DF" w:rsidRPr="003104DF" w:rsidRDefault="003104DF" w:rsidP="003104DF">
      <w:pPr>
        <w:pStyle w:val="TextoNormalSangraFrancesa"/>
        <w:rPr>
          <w:rStyle w:val="TextoNormalNegritaCaracter"/>
        </w:rPr>
      </w:pPr>
      <w:r w:rsidRPr="003104DF">
        <w:rPr>
          <w:rStyle w:val="TextoNormalCursivaCaracter"/>
        </w:rPr>
        <w:lastRenderedPageBreak/>
        <w:t>Notificación de resoluciones judiciales</w:t>
      </w:r>
      <w:r>
        <w:t xml:space="preserve"> véase </w:t>
      </w:r>
      <w:hyperlink w:anchor="DESCRIPTORALFABETICO303" w:history="1">
        <w:r w:rsidRPr="003104DF">
          <w:rPr>
            <w:rStyle w:val="TextoNormalNegritaCaracter"/>
          </w:rPr>
          <w:t>Notificación judicial</w:t>
        </w:r>
      </w:hyperlink>
    </w:p>
    <w:p w:rsidR="003104DF" w:rsidRPr="003104DF" w:rsidRDefault="003104DF" w:rsidP="003104DF">
      <w:pPr>
        <w:pStyle w:val="TextoNormalSangraFrancesa"/>
        <w:rPr>
          <w:rStyle w:val="TextoNormalCaracter"/>
        </w:rPr>
      </w:pPr>
      <w:bookmarkStart w:id="900" w:name="DESCRIPTORALFABETICO303"/>
      <w:r w:rsidRPr="003104DF">
        <w:rPr>
          <w:rStyle w:val="TextoNormalNegritaCaracter"/>
        </w:rPr>
        <w:t>Notificación judicial</w:t>
      </w:r>
      <w:bookmarkEnd w:id="900"/>
      <w:r w:rsidRPr="003104DF">
        <w:rPr>
          <w:rStyle w:val="TextoNormalCaracter"/>
        </w:rPr>
        <w:t xml:space="preserve">, Sentencia </w:t>
      </w:r>
      <w:hyperlink w:anchor="SENTENCIA_1992_22" w:history="1">
        <w:r w:rsidRPr="003104DF">
          <w:rPr>
            <w:rStyle w:val="TextoNormalCaracter"/>
          </w:rPr>
          <w:t>22/1992</w:t>
        </w:r>
      </w:hyperlink>
      <w:r w:rsidRPr="003104DF">
        <w:rPr>
          <w:rStyle w:val="TextoNormalCaracter"/>
        </w:rPr>
        <w:t>, f. 3.</w:t>
      </w:r>
    </w:p>
    <w:p w:rsidR="003104DF" w:rsidRPr="003104DF" w:rsidRDefault="003104DF" w:rsidP="003104DF">
      <w:pPr>
        <w:pStyle w:val="TextoNormalSangraFrancesa"/>
        <w:rPr>
          <w:rStyle w:val="TextoNormalCaracter"/>
        </w:rPr>
      </w:pPr>
      <w:bookmarkStart w:id="901" w:name="DESCRIPTORALFABETICO305"/>
      <w:r w:rsidRPr="003104DF">
        <w:rPr>
          <w:rStyle w:val="TextoNormalNegritaCaracter"/>
        </w:rPr>
        <w:t>Nulidad de actuaciones</w:t>
      </w:r>
      <w:bookmarkEnd w:id="901"/>
      <w:r w:rsidRPr="003104DF">
        <w:rPr>
          <w:rStyle w:val="TextoNormalCaracter"/>
        </w:rPr>
        <w:t xml:space="preserve">, Auto </w:t>
      </w:r>
      <w:hyperlink w:anchor="AUTO_1992_83" w:history="1">
        <w:r w:rsidRPr="003104DF">
          <w:rPr>
            <w:rStyle w:val="TextoNormalCaracter"/>
          </w:rPr>
          <w:t>83/1992</w:t>
        </w:r>
      </w:hyperlink>
      <w:r w:rsidRPr="003104DF">
        <w:rPr>
          <w:rStyle w:val="TextoNormalCaracter"/>
        </w:rPr>
        <w:t>.</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O</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902" w:name="DESCRIPTORALFABETICO143"/>
      <w:r w:rsidRPr="003104DF">
        <w:rPr>
          <w:rStyle w:val="TextoNormalNegritaCaracter"/>
        </w:rPr>
        <w:t>Objeto del recurso de amparo</w:t>
      </w:r>
      <w:bookmarkEnd w:id="902"/>
      <w:r w:rsidRPr="003104DF">
        <w:rPr>
          <w:rStyle w:val="TextoNormalCaracter"/>
        </w:rPr>
        <w:t xml:space="preserve">, Sentencia </w:t>
      </w:r>
      <w:hyperlink w:anchor="SENTENCIA_1992_18" w:history="1">
        <w:r w:rsidRPr="003104DF">
          <w:rPr>
            <w:rStyle w:val="TextoNormalCaracter"/>
          </w:rPr>
          <w:t>18/1992</w:t>
        </w:r>
      </w:hyperlink>
      <w:r w:rsidRPr="003104DF">
        <w:rPr>
          <w:rStyle w:val="TextoNormalCaracter"/>
        </w:rPr>
        <w:t>, f. 1.</w:t>
      </w:r>
    </w:p>
    <w:p w:rsidR="003104DF" w:rsidRPr="003104DF" w:rsidRDefault="003104DF" w:rsidP="003104DF">
      <w:pPr>
        <w:pStyle w:val="TextoNormalSangraFrancesa"/>
        <w:rPr>
          <w:rStyle w:val="TextoNormalCaracter"/>
        </w:rPr>
      </w:pPr>
      <w:bookmarkStart w:id="903" w:name="DESCRIPTORALFABETICO125"/>
      <w:r w:rsidRPr="003104DF">
        <w:rPr>
          <w:rStyle w:val="TextoNormalNegritaCaracter"/>
        </w:rPr>
        <w:t>Objeto inidóneo</w:t>
      </w:r>
      <w:bookmarkEnd w:id="903"/>
      <w:r w:rsidRPr="003104DF">
        <w:rPr>
          <w:rStyle w:val="TextoNormalCaracter"/>
        </w:rPr>
        <w:t xml:space="preserve">, Sentencia </w:t>
      </w:r>
      <w:hyperlink w:anchor="SENTENCIA_1992_37" w:history="1">
        <w:r w:rsidRPr="003104DF">
          <w:rPr>
            <w:rStyle w:val="TextoNormalCaracter"/>
          </w:rPr>
          <w:t>37/1992</w:t>
        </w:r>
      </w:hyperlink>
      <w:r w:rsidRPr="003104DF">
        <w:rPr>
          <w:rStyle w:val="TextoNormalCaracter"/>
        </w:rPr>
        <w:t>, f. 3.</w:t>
      </w:r>
    </w:p>
    <w:p w:rsidR="003104DF" w:rsidRPr="003104DF" w:rsidRDefault="003104DF" w:rsidP="003104DF">
      <w:pPr>
        <w:pStyle w:val="TextoNormalSangraFrancesa"/>
        <w:rPr>
          <w:rStyle w:val="TextoNormalCaracter"/>
        </w:rPr>
      </w:pPr>
      <w:bookmarkStart w:id="904" w:name="DESCRIPTORALFABETICO23"/>
      <w:r w:rsidRPr="003104DF">
        <w:rPr>
          <w:rStyle w:val="TextoNormalNegritaCaracter"/>
        </w:rPr>
        <w:t>Ocultación del hecho imponible</w:t>
      </w:r>
      <w:bookmarkEnd w:id="904"/>
      <w:r w:rsidRPr="003104DF">
        <w:rPr>
          <w:rStyle w:val="TextoNormalCaracter"/>
        </w:rPr>
        <w:t xml:space="preserve">, Auto </w:t>
      </w:r>
      <w:hyperlink w:anchor="AUTO_1992_3" w:history="1">
        <w:r w:rsidRPr="003104DF">
          <w:rPr>
            <w:rStyle w:val="TextoNormalCaracter"/>
          </w:rPr>
          <w:t>3/1992</w:t>
        </w:r>
      </w:hyperlink>
      <w:r w:rsidRPr="003104DF">
        <w:rPr>
          <w:rStyle w:val="TextoNormalCaracter"/>
        </w:rPr>
        <w:t>.</w:t>
      </w:r>
    </w:p>
    <w:p w:rsidR="003104DF" w:rsidRPr="003104DF" w:rsidRDefault="003104DF" w:rsidP="003104DF">
      <w:pPr>
        <w:pStyle w:val="TextoNormalSangraFrancesa"/>
        <w:rPr>
          <w:rStyle w:val="TextoNormalCaracter"/>
        </w:rPr>
      </w:pPr>
      <w:bookmarkStart w:id="905" w:name="DESCRIPTORALFABETICO295"/>
      <w:r w:rsidRPr="003104DF">
        <w:rPr>
          <w:rStyle w:val="TextoNormalNegritaCaracter"/>
        </w:rPr>
        <w:t>Ofrecimiento de acciones</w:t>
      </w:r>
      <w:bookmarkEnd w:id="905"/>
      <w:r w:rsidRPr="003104DF">
        <w:rPr>
          <w:rStyle w:val="TextoNormalCaracter"/>
        </w:rPr>
        <w:t xml:space="preserve">, Sentencia </w:t>
      </w:r>
      <w:hyperlink w:anchor="SENTENCIA_1992_66" w:history="1">
        <w:r w:rsidRPr="003104DF">
          <w:rPr>
            <w:rStyle w:val="TextoNormalCaracter"/>
          </w:rPr>
          <w:t>66/1992</w:t>
        </w:r>
      </w:hyperlink>
      <w:r w:rsidRPr="003104DF">
        <w:rPr>
          <w:rStyle w:val="TextoNormalCaracter"/>
        </w:rPr>
        <w:t>, f. 2.</w:t>
      </w:r>
    </w:p>
    <w:p w:rsidR="003104DF" w:rsidRPr="003104DF" w:rsidRDefault="003104DF" w:rsidP="003104DF">
      <w:pPr>
        <w:pStyle w:val="TextoNormalSangraFrancesa"/>
        <w:rPr>
          <w:rStyle w:val="TextoNormalCaracter"/>
        </w:rPr>
      </w:pPr>
      <w:bookmarkStart w:id="906" w:name="DESCRIPTORALFABETICO322"/>
      <w:r w:rsidRPr="003104DF">
        <w:rPr>
          <w:rStyle w:val="TextoNormalNegritaCaracter"/>
        </w:rPr>
        <w:t>Omisión de firma de abogado</w:t>
      </w:r>
      <w:bookmarkEnd w:id="906"/>
      <w:r w:rsidRPr="003104DF">
        <w:rPr>
          <w:rStyle w:val="TextoNormalCaracter"/>
        </w:rPr>
        <w:t xml:space="preserve">, Sentencia </w:t>
      </w:r>
      <w:hyperlink w:anchor="SENTENCIA_1992_16" w:history="1">
        <w:r w:rsidRPr="003104DF">
          <w:rPr>
            <w:rStyle w:val="TextoNormalCaracter"/>
          </w:rPr>
          <w:t>16/1992</w:t>
        </w:r>
      </w:hyperlink>
      <w:r w:rsidRPr="003104DF">
        <w:rPr>
          <w:rStyle w:val="TextoNormalCaracter"/>
        </w:rPr>
        <w:t>, f. 3.</w:t>
      </w:r>
    </w:p>
    <w:p w:rsidR="003104DF" w:rsidRPr="003104DF" w:rsidRDefault="003104DF" w:rsidP="003104DF">
      <w:pPr>
        <w:pStyle w:val="TextoNormalSangraFrancesa"/>
        <w:rPr>
          <w:rStyle w:val="TextoNormalCaracter"/>
        </w:rPr>
      </w:pPr>
      <w:bookmarkStart w:id="907" w:name="DESCRIPTORALFABETICO323"/>
      <w:r w:rsidRPr="003104DF">
        <w:rPr>
          <w:rStyle w:val="TextoNormalNegritaCaracter"/>
        </w:rPr>
        <w:t>Omisión de firma de procurador</w:t>
      </w:r>
      <w:bookmarkEnd w:id="907"/>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 4.</w:t>
      </w:r>
    </w:p>
    <w:p w:rsidR="003104DF" w:rsidRPr="003104DF" w:rsidRDefault="003104DF" w:rsidP="003104DF">
      <w:pPr>
        <w:pStyle w:val="TextoNormalSangraFrancesa"/>
        <w:rPr>
          <w:rStyle w:val="TextoNormalCaracter"/>
        </w:rPr>
      </w:pPr>
      <w:bookmarkStart w:id="908" w:name="DESCRIPTORALFABETICO389"/>
      <w:r w:rsidRPr="003104DF">
        <w:rPr>
          <w:rStyle w:val="TextoNormalNegritaCaracter"/>
        </w:rPr>
        <w:t>Omisión de pronunciamiento sobre cuestión previa</w:t>
      </w:r>
      <w:bookmarkEnd w:id="908"/>
      <w:r w:rsidRPr="003104DF">
        <w:rPr>
          <w:rStyle w:val="TextoNormalCaracter"/>
        </w:rPr>
        <w:t xml:space="preserve">, Sentencia </w:t>
      </w:r>
      <w:hyperlink w:anchor="SENTENCIA_1992_34" w:history="1">
        <w:r w:rsidRPr="003104DF">
          <w:rPr>
            <w:rStyle w:val="TextoNormalCaracter"/>
          </w:rPr>
          <w:t>34/1992</w:t>
        </w:r>
      </w:hyperlink>
      <w:r w:rsidRPr="003104DF">
        <w:rPr>
          <w:rStyle w:val="TextoNormalCaracter"/>
        </w:rPr>
        <w:t>, ff. 1, 2, 3, 4.</w:t>
      </w:r>
    </w:p>
    <w:p w:rsidR="003104DF" w:rsidRPr="003104DF" w:rsidRDefault="003104DF" w:rsidP="003104DF">
      <w:pPr>
        <w:pStyle w:val="TextoNormalSangraFrancesa"/>
        <w:rPr>
          <w:rStyle w:val="TextoNormalNegritaCaracter"/>
        </w:rPr>
      </w:pPr>
      <w:r w:rsidRPr="003104DF">
        <w:rPr>
          <w:rStyle w:val="TextoNormalCursivaCaracter"/>
        </w:rPr>
        <w:t>Onus probandi</w:t>
      </w:r>
      <w:r>
        <w:t xml:space="preserve"> véase </w:t>
      </w:r>
      <w:hyperlink w:anchor="DESCRIPTORALFABETICO341" w:history="1">
        <w:r w:rsidRPr="003104DF">
          <w:rPr>
            <w:rStyle w:val="TextoNormalNegritaCaracter"/>
          </w:rPr>
          <w:t>Carga de la prueba</w:t>
        </w:r>
      </w:hyperlink>
    </w:p>
    <w:p w:rsidR="003104DF" w:rsidRPr="003104DF" w:rsidRDefault="003104DF" w:rsidP="003104DF">
      <w:pPr>
        <w:pStyle w:val="TextoNormalSangraFrancesa"/>
        <w:rPr>
          <w:rStyle w:val="TextoNormalCaracter"/>
        </w:rPr>
      </w:pPr>
      <w:bookmarkStart w:id="909" w:name="DESCRIPTORALFABETICO100"/>
      <w:r w:rsidRPr="003104DF">
        <w:rPr>
          <w:rStyle w:val="TextoNormalNegritaCaracter"/>
        </w:rPr>
        <w:t>Opinión pública libre</w:t>
      </w:r>
      <w:bookmarkEnd w:id="909"/>
      <w:r w:rsidRPr="003104DF">
        <w:rPr>
          <w:rStyle w:val="TextoNormalCaracter"/>
        </w:rPr>
        <w:t xml:space="preserve">, Sentencia </w:t>
      </w:r>
      <w:hyperlink w:anchor="SENTENCIA_1992_40" w:history="1">
        <w:r w:rsidRPr="003104DF">
          <w:rPr>
            <w:rStyle w:val="TextoNormalCaracter"/>
          </w:rPr>
          <w:t>40/1992</w:t>
        </w:r>
      </w:hyperlink>
      <w:r w:rsidRPr="003104DF">
        <w:rPr>
          <w:rStyle w:val="TextoNormalCaracter"/>
        </w:rPr>
        <w:t>, f. 1.</w:t>
      </w:r>
    </w:p>
    <w:p w:rsidR="003104DF" w:rsidRPr="003104DF" w:rsidRDefault="003104DF" w:rsidP="003104DF">
      <w:pPr>
        <w:pStyle w:val="TextoNormalSangraFrancesa"/>
        <w:rPr>
          <w:rStyle w:val="TextoNormalCaracter"/>
        </w:rPr>
      </w:pPr>
      <w:bookmarkStart w:id="910" w:name="DESCRIPTORALFABETICO78"/>
      <w:r w:rsidRPr="003104DF">
        <w:rPr>
          <w:rStyle w:val="TextoNormalNegritaCaracter"/>
        </w:rPr>
        <w:t>Opiniones políticas</w:t>
      </w:r>
      <w:bookmarkEnd w:id="910"/>
      <w:r w:rsidRPr="003104DF">
        <w:rPr>
          <w:rStyle w:val="TextoNormalCaracter"/>
        </w:rPr>
        <w:t xml:space="preserve">, Auto </w:t>
      </w:r>
      <w:hyperlink w:anchor="AUTO_1992_24" w:history="1">
        <w:r w:rsidRPr="003104DF">
          <w:rPr>
            <w:rStyle w:val="TextoNormalCaracter"/>
          </w:rPr>
          <w:t>24/1992</w:t>
        </w:r>
      </w:hyperlink>
      <w:r w:rsidRPr="003104DF">
        <w:rPr>
          <w:rStyle w:val="TextoNormalCaracter"/>
        </w:rPr>
        <w:t>.</w:t>
      </w:r>
    </w:p>
    <w:p w:rsidR="003104DF" w:rsidRPr="003104DF" w:rsidRDefault="003104DF" w:rsidP="003104DF">
      <w:pPr>
        <w:pStyle w:val="TextoNormalSangraFrancesa"/>
        <w:rPr>
          <w:rStyle w:val="TextoNormalCaracter"/>
        </w:rPr>
      </w:pPr>
      <w:bookmarkStart w:id="911" w:name="DESCRIPTORALFABETICO1"/>
      <w:r w:rsidRPr="003104DF">
        <w:rPr>
          <w:rStyle w:val="TextoNormalNegritaCaracter"/>
        </w:rPr>
        <w:t>Orden constitucional de competencias</w:t>
      </w:r>
      <w:bookmarkEnd w:id="911"/>
      <w:r w:rsidRPr="003104DF">
        <w:rPr>
          <w:rStyle w:val="TextoNormalCaracter"/>
        </w:rPr>
        <w:t xml:space="preserve">, Sentencias </w:t>
      </w:r>
      <w:hyperlink w:anchor="SENTENCIA_1992_13" w:history="1">
        <w:r w:rsidRPr="003104DF">
          <w:rPr>
            <w:rStyle w:val="TextoNormalCaracter"/>
          </w:rPr>
          <w:t>13/1992</w:t>
        </w:r>
      </w:hyperlink>
      <w:r w:rsidRPr="003104DF">
        <w:rPr>
          <w:rStyle w:val="TextoNormalCaracter"/>
        </w:rPr>
        <w:t xml:space="preserve">, f. 6; </w:t>
      </w:r>
      <w:hyperlink w:anchor="SENTENCIA_1992_35" w:history="1">
        <w:r w:rsidRPr="003104DF">
          <w:rPr>
            <w:rStyle w:val="TextoNormalCaracter"/>
          </w:rPr>
          <w:t>35/1992</w:t>
        </w:r>
      </w:hyperlink>
      <w:r w:rsidRPr="003104DF">
        <w:rPr>
          <w:rStyle w:val="TextoNormalCaracter"/>
        </w:rPr>
        <w:t xml:space="preserve">, f. 2; </w:t>
      </w:r>
      <w:hyperlink w:anchor="SENTENCIA_1992_36" w:history="1">
        <w:r w:rsidRPr="003104DF">
          <w:rPr>
            <w:rStyle w:val="TextoNormalCaracter"/>
          </w:rPr>
          <w:t>36/1992</w:t>
        </w:r>
      </w:hyperlink>
      <w:r w:rsidRPr="003104DF">
        <w:rPr>
          <w:rStyle w:val="TextoNormalCaracter"/>
        </w:rPr>
        <w:t xml:space="preserve">, ff. 1, 2, 3, 4; </w:t>
      </w:r>
      <w:hyperlink w:anchor="SENTENCIA_1992_38" w:history="1">
        <w:r w:rsidRPr="003104DF">
          <w:rPr>
            <w:rStyle w:val="TextoNormalCaracter"/>
          </w:rPr>
          <w:t>38/1992</w:t>
        </w:r>
      </w:hyperlink>
      <w:r w:rsidRPr="003104DF">
        <w:rPr>
          <w:rStyle w:val="TextoNormalCaracter"/>
        </w:rPr>
        <w:t xml:space="preserve">, ff. 1, 2, 3, 4, 5, 6, 7; </w:t>
      </w:r>
      <w:hyperlink w:anchor="SENTENCIA_1992_44" w:history="1">
        <w:r w:rsidRPr="003104DF">
          <w:rPr>
            <w:rStyle w:val="TextoNormalCaracter"/>
          </w:rPr>
          <w:t>44/1992</w:t>
        </w:r>
      </w:hyperlink>
      <w:r w:rsidRPr="003104DF">
        <w:rPr>
          <w:rStyle w:val="TextoNormalCaracter"/>
        </w:rPr>
        <w:t xml:space="preserve">, ff. 2, 3; </w:t>
      </w:r>
      <w:hyperlink w:anchor="SENTENCIA_1992_57" w:history="1">
        <w:r w:rsidRPr="003104DF">
          <w:rPr>
            <w:rStyle w:val="TextoNormalCaracter"/>
          </w:rPr>
          <w:t>57/1992</w:t>
        </w:r>
      </w:hyperlink>
      <w:r w:rsidRPr="003104DF">
        <w:rPr>
          <w:rStyle w:val="TextoNormalCaracter"/>
        </w:rPr>
        <w:t xml:space="preserve">, ff. 1, 2, 3; </w:t>
      </w:r>
      <w:hyperlink w:anchor="SENTENCIA_1992_67" w:history="1">
        <w:r w:rsidRPr="003104DF">
          <w:rPr>
            <w:rStyle w:val="TextoNormalCaracter"/>
          </w:rPr>
          <w:t>67/1992</w:t>
        </w:r>
      </w:hyperlink>
      <w:r w:rsidRPr="003104DF">
        <w:rPr>
          <w:rStyle w:val="TextoNormalCaracter"/>
        </w:rPr>
        <w:t xml:space="preserve">, ff. 3, 4; </w:t>
      </w:r>
      <w:hyperlink w:anchor="SENTENCIA_1992_68" w:history="1">
        <w:r w:rsidRPr="003104DF">
          <w:rPr>
            <w:rStyle w:val="TextoNormalCaracter"/>
          </w:rPr>
          <w:t>68/1992</w:t>
        </w:r>
      </w:hyperlink>
      <w:r w:rsidRPr="003104DF">
        <w:rPr>
          <w:rStyle w:val="TextoNormalCaracter"/>
        </w:rPr>
        <w:t>, f. 2, VP.</w:t>
      </w:r>
    </w:p>
    <w:p w:rsidR="003104DF" w:rsidRPr="003104DF" w:rsidRDefault="003104DF" w:rsidP="003104DF">
      <w:pPr>
        <w:pStyle w:val="TextoNormalSangraFrancesa"/>
        <w:rPr>
          <w:rStyle w:val="TextoNormalCaracter"/>
        </w:rPr>
      </w:pPr>
      <w:bookmarkStart w:id="912" w:name="DESCRIPTORALFABETICO20"/>
      <w:r w:rsidRPr="003104DF">
        <w:rPr>
          <w:rStyle w:val="TextoNormalNegritaCaracter"/>
        </w:rPr>
        <w:t>Ordenación del sector pesquero</w:t>
      </w:r>
      <w:bookmarkEnd w:id="912"/>
      <w:r w:rsidRPr="003104DF">
        <w:rPr>
          <w:rStyle w:val="TextoNormalCaracter"/>
        </w:rPr>
        <w:t xml:space="preserve">, Sentencia </w:t>
      </w:r>
      <w:hyperlink w:anchor="SENTENCIA_1992_57" w:history="1">
        <w:r w:rsidRPr="003104DF">
          <w:rPr>
            <w:rStyle w:val="TextoNormalCaracter"/>
          </w:rPr>
          <w:t>57/1992</w:t>
        </w:r>
      </w:hyperlink>
      <w:r w:rsidRPr="003104DF">
        <w:rPr>
          <w:rStyle w:val="TextoNormalCaracter"/>
        </w:rPr>
        <w:t>, f. 3.</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P</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913" w:name="DESCRIPTORALFABETICO218"/>
      <w:r w:rsidRPr="003104DF">
        <w:rPr>
          <w:rStyle w:val="TextoNormalNegritaCaracter"/>
        </w:rPr>
        <w:t>Pacto de liquidez</w:t>
      </w:r>
      <w:bookmarkEnd w:id="913"/>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 2, VP;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bookmarkStart w:id="914" w:name="DESCRIPTORALFABETICO430"/>
      <w:r w:rsidRPr="003104DF">
        <w:rPr>
          <w:rStyle w:val="TextoNormalNegritaCaracter"/>
        </w:rPr>
        <w:t>País Vasco</w:t>
      </w:r>
      <w:bookmarkEnd w:id="914"/>
      <w:r w:rsidRPr="003104DF">
        <w:rPr>
          <w:rStyle w:val="TextoNormalCaracter"/>
        </w:rPr>
        <w:t xml:space="preserve">, Sentencias </w:t>
      </w:r>
      <w:hyperlink w:anchor="SENTENCIA_1992_36" w:history="1">
        <w:r w:rsidRPr="003104DF">
          <w:rPr>
            <w:rStyle w:val="TextoNormalCaracter"/>
          </w:rPr>
          <w:t>36/1992</w:t>
        </w:r>
      </w:hyperlink>
      <w:r w:rsidRPr="003104DF">
        <w:rPr>
          <w:rStyle w:val="TextoNormalCaracter"/>
        </w:rPr>
        <w:t xml:space="preserve">, ff. 1, 2, 3, 4; </w:t>
      </w:r>
      <w:hyperlink w:anchor="SENTENCIA_1992_38" w:history="1">
        <w:r w:rsidRPr="003104DF">
          <w:rPr>
            <w:rStyle w:val="TextoNormalCaracter"/>
          </w:rPr>
          <w:t>38/1992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915" w:name="DESCRIPTORALFABETICO245"/>
      <w:r w:rsidRPr="003104DF">
        <w:rPr>
          <w:rStyle w:val="TextoNormalNegritaCaracter"/>
        </w:rPr>
        <w:t>Paralización del procedimiento</w:t>
      </w:r>
      <w:bookmarkEnd w:id="915"/>
      <w:r w:rsidRPr="003104DF">
        <w:rPr>
          <w:rStyle w:val="TextoNormalCaracter"/>
        </w:rPr>
        <w:t xml:space="preserve">, Auto </w:t>
      </w:r>
      <w:hyperlink w:anchor="AUTO_1992_15" w:history="1">
        <w:r w:rsidRPr="003104DF">
          <w:rPr>
            <w:rStyle w:val="TextoNormalCaracter"/>
          </w:rPr>
          <w:t>15/1992</w:t>
        </w:r>
      </w:hyperlink>
      <w:r w:rsidRPr="003104DF">
        <w:rPr>
          <w:rStyle w:val="TextoNormalCaracter"/>
        </w:rPr>
        <w:t>.</w:t>
      </w:r>
    </w:p>
    <w:p w:rsidR="003104DF" w:rsidRPr="003104DF" w:rsidRDefault="003104DF" w:rsidP="003104DF">
      <w:pPr>
        <w:pStyle w:val="TextoNormalSangraFrancesa"/>
        <w:rPr>
          <w:rStyle w:val="TextoNormalCaracter"/>
        </w:rPr>
      </w:pPr>
      <w:bookmarkStart w:id="916" w:name="DESCRIPTORALFABETICO233"/>
      <w:r w:rsidRPr="003104DF">
        <w:rPr>
          <w:rStyle w:val="TextoNormalNegritaCaracter"/>
        </w:rPr>
        <w:t>Parientes de tercer grado</w:t>
      </w:r>
      <w:bookmarkEnd w:id="916"/>
      <w:r w:rsidRPr="003104DF">
        <w:rPr>
          <w:rStyle w:val="TextoNormalCaracter"/>
        </w:rPr>
        <w:t xml:space="preserve">, Sentencia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NegritaCaracter"/>
        </w:rPr>
      </w:pPr>
      <w:r w:rsidRPr="003104DF">
        <w:rPr>
          <w:rStyle w:val="TextoNormalCursivaCaracter"/>
        </w:rPr>
        <w:t>Parlamentarios autonómicos</w:t>
      </w:r>
      <w:r>
        <w:t xml:space="preserve"> véase </w:t>
      </w:r>
      <w:hyperlink w:anchor="DESCRIPTORALFABETICO185" w:history="1">
        <w:r w:rsidRPr="003104DF">
          <w:rPr>
            <w:rStyle w:val="TextoNormalNegritaCaracter"/>
          </w:rPr>
          <w:t>Diputados autonómicos</w:t>
        </w:r>
      </w:hyperlink>
    </w:p>
    <w:p w:rsidR="003104DF" w:rsidRPr="003104DF" w:rsidRDefault="003104DF" w:rsidP="003104DF">
      <w:pPr>
        <w:pStyle w:val="TextoNormalSangraFrancesa"/>
        <w:rPr>
          <w:rStyle w:val="TextoNormalCaracter"/>
        </w:rPr>
      </w:pPr>
      <w:bookmarkStart w:id="917" w:name="DESCRIPTORALFABETICO189"/>
      <w:r w:rsidRPr="003104DF">
        <w:rPr>
          <w:rStyle w:val="TextoNormalNegritaCaracter"/>
        </w:rPr>
        <w:t>Parlamento de Cantabria</w:t>
      </w:r>
      <w:bookmarkEnd w:id="917"/>
      <w:r w:rsidRPr="003104DF">
        <w:rPr>
          <w:rStyle w:val="TextoNormalCaracter"/>
        </w:rPr>
        <w:t xml:space="preserve">, Sentencias </w:t>
      </w:r>
      <w:hyperlink w:anchor="SENTENCIA_1992_7" w:history="1">
        <w:r w:rsidRPr="003104DF">
          <w:rPr>
            <w:rStyle w:val="TextoNormalCaracter"/>
          </w:rPr>
          <w:t>7/1992</w:t>
        </w:r>
      </w:hyperlink>
      <w:r w:rsidRPr="003104DF">
        <w:rPr>
          <w:rStyle w:val="TextoNormalCaracter"/>
        </w:rPr>
        <w:t xml:space="preserve">, ff. 1, 2, 3, 4, 5; </w:t>
      </w:r>
      <w:hyperlink w:anchor="SENTENCIA_1992_15" w:history="1">
        <w:r w:rsidRPr="003104DF">
          <w:rPr>
            <w:rStyle w:val="TextoNormalCaracter"/>
          </w:rPr>
          <w:t>15/1992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918" w:name="DESCRIPTORALFABETICO161"/>
      <w:r w:rsidRPr="003104DF">
        <w:rPr>
          <w:rStyle w:val="TextoNormalNegritaCaracter"/>
        </w:rPr>
        <w:t>Participación institucional</w:t>
      </w:r>
      <w:bookmarkEnd w:id="918"/>
      <w:r w:rsidRPr="003104DF">
        <w:rPr>
          <w:rStyle w:val="TextoNormalCaracter"/>
        </w:rPr>
        <w:t xml:space="preserve">, Sentencia </w:t>
      </w:r>
      <w:hyperlink w:anchor="SENTENCIA_1992_52" w:history="1">
        <w:r w:rsidRPr="003104DF">
          <w:rPr>
            <w:rStyle w:val="TextoNormalCaracter"/>
          </w:rPr>
          <w:t>52/1992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919" w:name="DESCRIPTORALFABETICO276"/>
      <w:r w:rsidRPr="003104DF">
        <w:rPr>
          <w:rStyle w:val="TextoNormalNegritaCaracter"/>
        </w:rPr>
        <w:t>Patrimonio sindical</w:t>
      </w:r>
      <w:bookmarkEnd w:id="919"/>
      <w:r w:rsidRPr="003104DF">
        <w:rPr>
          <w:rStyle w:val="TextoNormalCaracter"/>
        </w:rPr>
        <w:t xml:space="preserve">, Sentencia </w:t>
      </w:r>
      <w:hyperlink w:anchor="SENTENCIA_1992_52" w:history="1">
        <w:r w:rsidRPr="003104DF">
          <w:rPr>
            <w:rStyle w:val="TextoNormalCaracter"/>
          </w:rPr>
          <w:t>52/1992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Pena accesoria de suspensión de cargo público</w:t>
      </w:r>
      <w:r>
        <w:t xml:space="preserve"> véase </w:t>
      </w:r>
      <w:hyperlink w:anchor="DESCRIPTORALFABETICO258" w:history="1">
        <w:r w:rsidRPr="003104DF">
          <w:rPr>
            <w:rStyle w:val="TextoNormalNegritaCaracter"/>
          </w:rPr>
          <w:t>Suspensión de cargo público</w:t>
        </w:r>
      </w:hyperlink>
    </w:p>
    <w:p w:rsidR="003104DF" w:rsidRPr="003104DF" w:rsidRDefault="003104DF" w:rsidP="003104DF">
      <w:pPr>
        <w:pStyle w:val="TextoNormalSangraFrancesa"/>
        <w:rPr>
          <w:rStyle w:val="TextoNormalNegritaCaracter"/>
        </w:rPr>
      </w:pPr>
      <w:r w:rsidRPr="003104DF">
        <w:rPr>
          <w:rStyle w:val="TextoNormalCursivaCaracter"/>
        </w:rPr>
        <w:t>Pena de suspensión de cargo público</w:t>
      </w:r>
      <w:r>
        <w:t xml:space="preserve"> véase </w:t>
      </w:r>
      <w:hyperlink w:anchor="DESCRIPTORALFABETICO258" w:history="1">
        <w:r w:rsidRPr="003104DF">
          <w:rPr>
            <w:rStyle w:val="TextoNormalNegritaCaracter"/>
          </w:rPr>
          <w:t>Suspensión de cargo público</w:t>
        </w:r>
      </w:hyperlink>
    </w:p>
    <w:p w:rsidR="003104DF" w:rsidRPr="003104DF" w:rsidRDefault="003104DF" w:rsidP="003104DF">
      <w:pPr>
        <w:pStyle w:val="TextoNormalSangraFrancesa"/>
        <w:rPr>
          <w:rStyle w:val="TextoNormalCaracter"/>
        </w:rPr>
      </w:pPr>
      <w:bookmarkStart w:id="920" w:name="DESCRIPTORALFABETICO273"/>
      <w:r w:rsidRPr="003104DF">
        <w:rPr>
          <w:rStyle w:val="TextoNormalNegritaCaracter"/>
        </w:rPr>
        <w:t>Pensión de viudedad</w:t>
      </w:r>
      <w:bookmarkEnd w:id="920"/>
      <w:r w:rsidRPr="003104DF">
        <w:rPr>
          <w:rStyle w:val="TextoNormalCaracter"/>
        </w:rPr>
        <w:t xml:space="preserve">, Sentencias </w:t>
      </w:r>
      <w:hyperlink w:anchor="SENTENCIA_1992_5" w:history="1">
        <w:r w:rsidRPr="003104DF">
          <w:rPr>
            <w:rStyle w:val="TextoNormalCaracter"/>
          </w:rPr>
          <w:t>5/1992</w:t>
        </w:r>
      </w:hyperlink>
      <w:r w:rsidRPr="003104DF">
        <w:rPr>
          <w:rStyle w:val="TextoNormalCaracter"/>
        </w:rPr>
        <w:t xml:space="preserve">, ff. 6, 7; </w:t>
      </w:r>
      <w:hyperlink w:anchor="SENTENCIA_1992_29" w:history="1">
        <w:r w:rsidRPr="003104DF">
          <w:rPr>
            <w:rStyle w:val="TextoNormalCaracter"/>
          </w:rPr>
          <w:t>29/1992</w:t>
        </w:r>
      </w:hyperlink>
      <w:r w:rsidRPr="003104DF">
        <w:rPr>
          <w:rStyle w:val="TextoNormalCaracter"/>
        </w:rPr>
        <w:t>, ff. 4, 5.</w:t>
      </w:r>
    </w:p>
    <w:p w:rsidR="003104DF" w:rsidRPr="003104DF" w:rsidRDefault="003104DF" w:rsidP="003104DF">
      <w:pPr>
        <w:pStyle w:val="TextoNormalSangraFrancesa"/>
        <w:rPr>
          <w:rStyle w:val="TextoNormalNegritaCaracter"/>
        </w:rPr>
      </w:pPr>
      <w:r w:rsidRPr="003104DF">
        <w:rPr>
          <w:rStyle w:val="TextoNormalCursivaCaracter"/>
        </w:rPr>
        <w:t>Pérdida de la condición de diputado</w:t>
      </w:r>
      <w:r>
        <w:t xml:space="preserve"> véase </w:t>
      </w:r>
      <w:hyperlink w:anchor="DESCRIPTORALFABETICO186" w:history="1">
        <w:r w:rsidRPr="003104DF">
          <w:rPr>
            <w:rStyle w:val="TextoNormalNegritaCaracter"/>
          </w:rPr>
          <w:t>Pérdida de la condición de parlamentario</w:t>
        </w:r>
      </w:hyperlink>
    </w:p>
    <w:p w:rsidR="003104DF" w:rsidRPr="003104DF" w:rsidRDefault="003104DF" w:rsidP="003104DF">
      <w:pPr>
        <w:pStyle w:val="TextoNormalSangraFrancesa"/>
        <w:rPr>
          <w:rStyle w:val="TextoNormalCaracter"/>
        </w:rPr>
      </w:pPr>
      <w:bookmarkStart w:id="921" w:name="DESCRIPTORALFABETICO186"/>
      <w:r w:rsidRPr="003104DF">
        <w:rPr>
          <w:rStyle w:val="TextoNormalNegritaCaracter"/>
        </w:rPr>
        <w:t>Pérdida de la condición de parlamentario</w:t>
      </w:r>
      <w:bookmarkEnd w:id="921"/>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 2.</w:t>
      </w:r>
    </w:p>
    <w:p w:rsidR="003104DF" w:rsidRPr="003104DF" w:rsidRDefault="003104DF" w:rsidP="003104DF">
      <w:pPr>
        <w:pStyle w:val="TextoNormalSangraFrancesa"/>
        <w:rPr>
          <w:rStyle w:val="TextoNormalCaracter"/>
        </w:rPr>
      </w:pPr>
      <w:bookmarkStart w:id="922" w:name="DESCRIPTORALFABETICO124"/>
      <w:r w:rsidRPr="003104DF">
        <w:rPr>
          <w:rStyle w:val="TextoNormalNegritaCaracter"/>
        </w:rPr>
        <w:t>Pérdida sobrevenida de objeto del conflicto positivo de competencia</w:t>
      </w:r>
      <w:bookmarkEnd w:id="922"/>
      <w:r w:rsidRPr="003104DF">
        <w:rPr>
          <w:rStyle w:val="TextoNormalCaracter"/>
        </w:rPr>
        <w:t xml:space="preserve">, Autos </w:t>
      </w:r>
      <w:hyperlink w:anchor="AUTO_1992_29" w:history="1">
        <w:r w:rsidRPr="003104DF">
          <w:rPr>
            <w:rStyle w:val="TextoNormalCaracter"/>
          </w:rPr>
          <w:t>29/1992</w:t>
        </w:r>
      </w:hyperlink>
      <w:r w:rsidRPr="003104DF">
        <w:rPr>
          <w:rStyle w:val="TextoNormalCaracter"/>
        </w:rPr>
        <w:t xml:space="preserve">; </w:t>
      </w:r>
      <w:hyperlink w:anchor="AUTO_1992_30" w:history="1">
        <w:r w:rsidRPr="003104DF">
          <w:rPr>
            <w:rStyle w:val="TextoNormalCaracter"/>
          </w:rPr>
          <w:t>30/1992</w:t>
        </w:r>
      </w:hyperlink>
      <w:r w:rsidRPr="003104DF">
        <w:rPr>
          <w:rStyle w:val="TextoNormalCaracter"/>
        </w:rPr>
        <w:t xml:space="preserve">; </w:t>
      </w:r>
      <w:hyperlink w:anchor="AUTO_1992_31" w:history="1">
        <w:r w:rsidRPr="003104DF">
          <w:rPr>
            <w:rStyle w:val="TextoNormalCaracter"/>
          </w:rPr>
          <w:t>31/1992</w:t>
        </w:r>
      </w:hyperlink>
      <w:r w:rsidRPr="003104DF">
        <w:rPr>
          <w:rStyle w:val="TextoNormalCaracter"/>
        </w:rPr>
        <w:t>.</w:t>
      </w:r>
    </w:p>
    <w:p w:rsidR="003104DF" w:rsidRPr="003104DF" w:rsidRDefault="003104DF" w:rsidP="003104DF">
      <w:pPr>
        <w:pStyle w:val="TextoNormalSangraFrancesa"/>
        <w:rPr>
          <w:rStyle w:val="TextoNormalCaracter"/>
        </w:rPr>
      </w:pPr>
      <w:bookmarkStart w:id="923" w:name="DESCRIPTORALFABETICO24"/>
      <w:r w:rsidRPr="003104DF">
        <w:rPr>
          <w:rStyle w:val="TextoNormalNegritaCaracter"/>
        </w:rPr>
        <w:t>Período de permanencia en filas</w:t>
      </w:r>
      <w:bookmarkEnd w:id="923"/>
      <w:r w:rsidRPr="003104DF">
        <w:rPr>
          <w:rStyle w:val="TextoNormalCaracter"/>
        </w:rPr>
        <w:t xml:space="preserve">, Auto </w:t>
      </w:r>
      <w:hyperlink w:anchor="AUTO_1992_38" w:history="1">
        <w:r w:rsidRPr="003104DF">
          <w:rPr>
            <w:rStyle w:val="TextoNormalCaracter"/>
          </w:rPr>
          <w:t>38/1992</w:t>
        </w:r>
      </w:hyperlink>
      <w:r w:rsidRPr="003104DF">
        <w:rPr>
          <w:rStyle w:val="TextoNormalCaracter"/>
        </w:rPr>
        <w:t>.</w:t>
      </w:r>
    </w:p>
    <w:p w:rsidR="003104DF" w:rsidRPr="003104DF" w:rsidRDefault="003104DF" w:rsidP="003104DF">
      <w:pPr>
        <w:pStyle w:val="TextoNormalSangraFrancesa"/>
        <w:rPr>
          <w:rStyle w:val="TextoNormalCaracter"/>
        </w:rPr>
      </w:pPr>
      <w:bookmarkStart w:id="924" w:name="DESCRIPTORALFABETICO337"/>
      <w:r w:rsidRPr="003104DF">
        <w:rPr>
          <w:rStyle w:val="TextoNormalNegritaCaracter"/>
        </w:rPr>
        <w:t>Personación</w:t>
      </w:r>
      <w:bookmarkEnd w:id="924"/>
      <w:r w:rsidRPr="003104DF">
        <w:rPr>
          <w:rStyle w:val="TextoNormalCaracter"/>
        </w:rPr>
        <w:t xml:space="preserve">, Sentencia </w:t>
      </w:r>
      <w:hyperlink w:anchor="SENTENCIA_1992_14" w:history="1">
        <w:r w:rsidRPr="003104DF">
          <w:rPr>
            <w:rStyle w:val="TextoNormalCaracter"/>
          </w:rPr>
          <w:t>14/1992</w:t>
        </w:r>
      </w:hyperlink>
      <w:r w:rsidRPr="003104DF">
        <w:rPr>
          <w:rStyle w:val="TextoNormalCaracter"/>
        </w:rPr>
        <w:t>, ff. 4, 10.</w:t>
      </w:r>
    </w:p>
    <w:p w:rsidR="003104DF" w:rsidRPr="003104DF" w:rsidRDefault="003104DF" w:rsidP="003104DF">
      <w:pPr>
        <w:pStyle w:val="TextoNormalSangraFrancesa"/>
        <w:rPr>
          <w:rStyle w:val="TextoNormalCaracter"/>
        </w:rPr>
      </w:pPr>
      <w:bookmarkStart w:id="925" w:name="DESCRIPTORALFABETICO379"/>
      <w:r w:rsidRPr="003104DF">
        <w:rPr>
          <w:rStyle w:val="TextoNormalNegritaCaracter"/>
        </w:rPr>
        <w:t>Personación del apelado</w:t>
      </w:r>
      <w:bookmarkEnd w:id="925"/>
      <w:r w:rsidRPr="003104DF">
        <w:rPr>
          <w:rStyle w:val="TextoNormalCaracter"/>
        </w:rPr>
        <w:t xml:space="preserve">, Sentencia </w:t>
      </w:r>
      <w:hyperlink w:anchor="SENTENCIA_1992_23" w:history="1">
        <w:r w:rsidRPr="003104DF">
          <w:rPr>
            <w:rStyle w:val="TextoNormalCaracter"/>
          </w:rPr>
          <w:t>23/1992</w:t>
        </w:r>
      </w:hyperlink>
      <w:r w:rsidRPr="003104DF">
        <w:rPr>
          <w:rStyle w:val="TextoNormalCaracter"/>
        </w:rPr>
        <w:t>, f. 4.</w:t>
      </w:r>
    </w:p>
    <w:p w:rsidR="003104DF" w:rsidRPr="003104DF" w:rsidRDefault="003104DF" w:rsidP="003104DF">
      <w:pPr>
        <w:pStyle w:val="TextoNormalSangraFrancesa"/>
        <w:rPr>
          <w:rStyle w:val="TextoNormalCaracter"/>
        </w:rPr>
      </w:pPr>
      <w:bookmarkStart w:id="926" w:name="DESCRIPTORALFABETICO380"/>
      <w:r w:rsidRPr="003104DF">
        <w:rPr>
          <w:rStyle w:val="TextoNormalNegritaCaracter"/>
        </w:rPr>
        <w:lastRenderedPageBreak/>
        <w:t>Personación del apelante</w:t>
      </w:r>
      <w:bookmarkEnd w:id="926"/>
      <w:r w:rsidRPr="003104DF">
        <w:rPr>
          <w:rStyle w:val="TextoNormalCaracter"/>
        </w:rPr>
        <w:t xml:space="preserve">, Sentencia </w:t>
      </w:r>
      <w:hyperlink w:anchor="SENTENCIA_1992_23" w:history="1">
        <w:r w:rsidRPr="003104DF">
          <w:rPr>
            <w:rStyle w:val="TextoNormalCaracter"/>
          </w:rPr>
          <w:t>23/1992</w:t>
        </w:r>
      </w:hyperlink>
      <w:r w:rsidRPr="003104DF">
        <w:rPr>
          <w:rStyle w:val="TextoNormalCaracter"/>
        </w:rPr>
        <w:t>, ff. 1, 4.</w:t>
      </w:r>
    </w:p>
    <w:p w:rsidR="003104DF" w:rsidRPr="003104DF" w:rsidRDefault="003104DF" w:rsidP="003104DF">
      <w:pPr>
        <w:pStyle w:val="TextoNormalSangraFrancesa"/>
        <w:rPr>
          <w:rStyle w:val="TextoNormalCaracter"/>
        </w:rPr>
      </w:pPr>
      <w:bookmarkStart w:id="927" w:name="DESCRIPTORALFABETICO262"/>
      <w:r w:rsidRPr="003104DF">
        <w:rPr>
          <w:rStyle w:val="TextoNormalNegritaCaracter"/>
        </w:rPr>
        <w:t>Pesca</w:t>
      </w:r>
      <w:bookmarkEnd w:id="927"/>
      <w:r w:rsidRPr="003104DF">
        <w:rPr>
          <w:rStyle w:val="TextoNormalCaracter"/>
        </w:rPr>
        <w:t xml:space="preserve">, Sentencias </w:t>
      </w:r>
      <w:hyperlink w:anchor="SENTENCIA_1992_44" w:history="1">
        <w:r w:rsidRPr="003104DF">
          <w:rPr>
            <w:rStyle w:val="TextoNormalCaracter"/>
          </w:rPr>
          <w:t>44/1992</w:t>
        </w:r>
      </w:hyperlink>
      <w:r w:rsidRPr="003104DF">
        <w:rPr>
          <w:rStyle w:val="TextoNormalCaracter"/>
        </w:rPr>
        <w:t xml:space="preserve">, ff. 2, 3; </w:t>
      </w:r>
      <w:hyperlink w:anchor="SENTENCIA_1992_57" w:history="1">
        <w:r w:rsidRPr="003104DF">
          <w:rPr>
            <w:rStyle w:val="TextoNormalCaracter"/>
          </w:rPr>
          <w:t>57/1992</w:t>
        </w:r>
      </w:hyperlink>
      <w:r w:rsidRPr="003104DF">
        <w:rPr>
          <w:rStyle w:val="TextoNormalCaracter"/>
        </w:rPr>
        <w:t xml:space="preserve">, ff. 1, 2, 3; </w:t>
      </w:r>
      <w:hyperlink w:anchor="SENTENCIA_1992_68" w:history="1">
        <w:r w:rsidRPr="003104DF">
          <w:rPr>
            <w:rStyle w:val="TextoNormalCaracter"/>
          </w:rPr>
          <w:t>68/1992</w:t>
        </w:r>
      </w:hyperlink>
      <w:r w:rsidRPr="003104DF">
        <w:rPr>
          <w:rStyle w:val="TextoNormalCaracter"/>
        </w:rPr>
        <w:t>, ff. 1, 2, VP.</w:t>
      </w:r>
    </w:p>
    <w:p w:rsidR="003104DF" w:rsidRPr="003104DF" w:rsidRDefault="003104DF" w:rsidP="003104DF">
      <w:pPr>
        <w:pStyle w:val="TextoNormalSangraFrancesa"/>
        <w:rPr>
          <w:rStyle w:val="TextoNormalCaracter"/>
        </w:rPr>
      </w:pPr>
      <w:bookmarkStart w:id="928" w:name="DESCRIPTORALFABETICO362"/>
      <w:r w:rsidRPr="003104DF">
        <w:rPr>
          <w:rStyle w:val="TextoNormalNegritaCaracter"/>
        </w:rPr>
        <w:t>Plazos procesales</w:t>
      </w:r>
      <w:bookmarkEnd w:id="928"/>
      <w:r w:rsidRPr="003104DF">
        <w:rPr>
          <w:rStyle w:val="TextoNormalCaracter"/>
        </w:rPr>
        <w:t xml:space="preserve">, Sentencias </w:t>
      </w:r>
      <w:hyperlink w:anchor="SENTENCIA_1992_9" w:history="1">
        <w:r w:rsidRPr="003104DF">
          <w:rPr>
            <w:rStyle w:val="TextoNormalCaracter"/>
          </w:rPr>
          <w:t>9/1992</w:t>
        </w:r>
      </w:hyperlink>
      <w:r w:rsidRPr="003104DF">
        <w:rPr>
          <w:rStyle w:val="TextoNormalCaracter"/>
        </w:rPr>
        <w:t xml:space="preserve">, f. 4; </w:t>
      </w:r>
      <w:hyperlink w:anchor="SENTENCIA_1992_18" w:history="1">
        <w:r w:rsidRPr="003104DF">
          <w:rPr>
            <w:rStyle w:val="TextoNormalCaracter"/>
          </w:rPr>
          <w:t>18/1992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7" w:history="1">
        <w:r w:rsidRPr="003104DF">
          <w:rPr>
            <w:rStyle w:val="TextoNormalCaracter"/>
          </w:rPr>
          <w:t>7/1992</w:t>
        </w:r>
      </w:hyperlink>
      <w:r w:rsidRPr="003104DF">
        <w:rPr>
          <w:rStyle w:val="TextoNormalCaracter"/>
        </w:rPr>
        <w:t>.</w:t>
      </w:r>
    </w:p>
    <w:p w:rsidR="003104DF" w:rsidRPr="003104DF" w:rsidRDefault="003104DF" w:rsidP="003104DF">
      <w:pPr>
        <w:pStyle w:val="TextoNormalSangraFrancesa"/>
        <w:rPr>
          <w:rStyle w:val="TextoNormalCaracter"/>
        </w:rPr>
      </w:pPr>
      <w:bookmarkStart w:id="929" w:name="DESCRIPTORALFABETICO210"/>
      <w:r w:rsidRPr="003104DF">
        <w:rPr>
          <w:rStyle w:val="TextoNormalNegritaCaracter"/>
        </w:rPr>
        <w:t>Pluriempleo</w:t>
      </w:r>
      <w:bookmarkEnd w:id="929"/>
      <w:r w:rsidRPr="003104DF">
        <w:rPr>
          <w:rStyle w:val="TextoNormalCaracter"/>
        </w:rPr>
        <w:t xml:space="preserve">, Sentencia </w:t>
      </w:r>
      <w:hyperlink w:anchor="SENTENCIA_1992_39" w:history="1">
        <w:r w:rsidRPr="003104DF">
          <w:rPr>
            <w:rStyle w:val="TextoNormalCaracter"/>
          </w:rPr>
          <w:t>39/1992</w:t>
        </w:r>
      </w:hyperlink>
      <w:r w:rsidRPr="003104DF">
        <w:rPr>
          <w:rStyle w:val="TextoNormalCaracter"/>
        </w:rPr>
        <w:t>, ff. 6, 8.</w:t>
      </w:r>
    </w:p>
    <w:p w:rsidR="003104DF" w:rsidRPr="003104DF" w:rsidRDefault="003104DF" w:rsidP="003104DF">
      <w:pPr>
        <w:pStyle w:val="TextoNormalSangraFrancesa"/>
        <w:rPr>
          <w:rStyle w:val="TextoNormalCaracter"/>
        </w:rPr>
      </w:pPr>
      <w:bookmarkStart w:id="930" w:name="DESCRIPTORALFABETICO287"/>
      <w:r w:rsidRPr="003104DF">
        <w:rPr>
          <w:rStyle w:val="TextoNormalNegritaCaracter"/>
        </w:rPr>
        <w:t>Plus de nocturnidad</w:t>
      </w:r>
      <w:bookmarkEnd w:id="930"/>
      <w:r w:rsidRPr="003104DF">
        <w:rPr>
          <w:rStyle w:val="TextoNormalCaracter"/>
        </w:rPr>
        <w:t xml:space="preserve">, Sentencia </w:t>
      </w:r>
      <w:hyperlink w:anchor="SENTENCIA_1992_28" w:history="1">
        <w:r w:rsidRPr="003104DF">
          <w:rPr>
            <w:rStyle w:val="TextoNormalCaracter"/>
          </w:rPr>
          <w:t>28/1992</w:t>
        </w:r>
      </w:hyperlink>
      <w:r w:rsidRPr="003104DF">
        <w:rPr>
          <w:rStyle w:val="TextoNormalCaracter"/>
        </w:rPr>
        <w:t>, ff. 1, 2, 3, 4.</w:t>
      </w:r>
    </w:p>
    <w:p w:rsidR="003104DF" w:rsidRPr="003104DF" w:rsidRDefault="003104DF" w:rsidP="003104DF">
      <w:pPr>
        <w:pStyle w:val="TextoNormalSangraFrancesa"/>
        <w:rPr>
          <w:rStyle w:val="TextoNormalNegritaCaracter"/>
        </w:rPr>
      </w:pPr>
      <w:r w:rsidRPr="003104DF">
        <w:rPr>
          <w:rStyle w:val="TextoNormalCursivaCaracter"/>
        </w:rPr>
        <w:t>Plus de turno de trabajo nocturno</w:t>
      </w:r>
      <w:r>
        <w:t xml:space="preserve"> véase </w:t>
      </w:r>
      <w:hyperlink w:anchor="DESCRIPTORALFABETICO287" w:history="1">
        <w:r w:rsidRPr="003104DF">
          <w:rPr>
            <w:rStyle w:val="TextoNormalNegritaCaracter"/>
          </w:rPr>
          <w:t>Plus de nocturnidad</w:t>
        </w:r>
      </w:hyperlink>
    </w:p>
    <w:p w:rsidR="003104DF" w:rsidRPr="003104DF" w:rsidRDefault="003104DF" w:rsidP="003104DF">
      <w:pPr>
        <w:pStyle w:val="TextoNormalSangraFrancesa"/>
        <w:rPr>
          <w:rStyle w:val="TextoNormalCaracter"/>
        </w:rPr>
      </w:pPr>
      <w:bookmarkStart w:id="931" w:name="DESCRIPTORALFABETICO112"/>
      <w:r w:rsidRPr="003104DF">
        <w:rPr>
          <w:rStyle w:val="TextoNormalNegritaCaracter"/>
        </w:rPr>
        <w:t>Ponderación judicial en caso de conflicto con otros derechos</w:t>
      </w:r>
      <w:bookmarkEnd w:id="931"/>
      <w:r w:rsidRPr="003104DF">
        <w:rPr>
          <w:rStyle w:val="TextoNormalCaracter"/>
        </w:rPr>
        <w:t xml:space="preserve">, Sentencias </w:t>
      </w:r>
      <w:hyperlink w:anchor="SENTENCIA_1992_20" w:history="1">
        <w:r w:rsidRPr="003104DF">
          <w:rPr>
            <w:rStyle w:val="TextoNormalCaracter"/>
          </w:rPr>
          <w:t>20/1992</w:t>
        </w:r>
      </w:hyperlink>
      <w:r w:rsidRPr="003104DF">
        <w:rPr>
          <w:rStyle w:val="TextoNormalCaracter"/>
        </w:rPr>
        <w:t xml:space="preserve">, f. 3; </w:t>
      </w:r>
      <w:hyperlink w:anchor="SENTENCIA_1992_40" w:history="1">
        <w:r w:rsidRPr="003104DF">
          <w:rPr>
            <w:rStyle w:val="TextoNormalCaracter"/>
          </w:rPr>
          <w:t>40/1992</w:t>
        </w:r>
      </w:hyperlink>
      <w:r w:rsidRPr="003104DF">
        <w:rPr>
          <w:rStyle w:val="TextoNormalCaracter"/>
        </w:rPr>
        <w:t>, f. 1.</w:t>
      </w:r>
    </w:p>
    <w:p w:rsidR="003104DF" w:rsidRPr="003104DF" w:rsidRDefault="003104DF" w:rsidP="003104DF">
      <w:pPr>
        <w:pStyle w:val="TextoNormalSangraFrancesa"/>
        <w:rPr>
          <w:rStyle w:val="TextoNormalCaracter"/>
        </w:rPr>
      </w:pPr>
      <w:bookmarkStart w:id="932" w:name="DESCRIPTORALFABETICO16"/>
      <w:r w:rsidRPr="003104DF">
        <w:rPr>
          <w:rStyle w:val="TextoNormalNegritaCaracter"/>
        </w:rPr>
        <w:t>Potestad de gasto no es título competencial</w:t>
      </w:r>
      <w:bookmarkEnd w:id="932"/>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6.</w:t>
      </w:r>
    </w:p>
    <w:p w:rsidR="003104DF" w:rsidRPr="003104DF" w:rsidRDefault="003104DF" w:rsidP="003104DF">
      <w:pPr>
        <w:pStyle w:val="TextoNormalSangraFrancesa"/>
        <w:rPr>
          <w:rStyle w:val="TextoNormalCaracter"/>
        </w:rPr>
      </w:pPr>
      <w:bookmarkStart w:id="933" w:name="DESCRIPTORALFABETICO163"/>
      <w:r w:rsidRPr="003104DF">
        <w:rPr>
          <w:rStyle w:val="TextoNormalNegritaCaracter"/>
        </w:rPr>
        <w:t>Potestad financiera</w:t>
      </w:r>
      <w:bookmarkEnd w:id="933"/>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Alcance,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4.</w:t>
      </w:r>
    </w:p>
    <w:p w:rsidR="003104DF" w:rsidRPr="003104DF" w:rsidRDefault="003104DF" w:rsidP="003104DF">
      <w:pPr>
        <w:pStyle w:val="TextoNormalSangraFrancesa"/>
        <w:rPr>
          <w:rStyle w:val="TextoNormalCaracter"/>
        </w:rPr>
      </w:pPr>
      <w:bookmarkStart w:id="934" w:name="DESCRIPTORALFABETICO174"/>
      <w:r w:rsidRPr="003104DF">
        <w:rPr>
          <w:rStyle w:val="TextoNormalNegritaCaracter"/>
        </w:rPr>
        <w:t>Potestad jurisdiccional</w:t>
      </w:r>
      <w:bookmarkEnd w:id="934"/>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3.</w:t>
      </w:r>
    </w:p>
    <w:p w:rsidR="003104DF" w:rsidRPr="003104DF" w:rsidRDefault="003104DF" w:rsidP="003104DF">
      <w:pPr>
        <w:pStyle w:val="TextoNormalSangraFrancesa"/>
        <w:rPr>
          <w:rStyle w:val="TextoNormalCaracter"/>
        </w:rPr>
      </w:pPr>
      <w:bookmarkStart w:id="935" w:name="DESCRIPTORALFABETICO165"/>
      <w:r w:rsidRPr="003104DF">
        <w:rPr>
          <w:rStyle w:val="TextoNormalNegritaCaracter"/>
        </w:rPr>
        <w:t>Potestad reglamentaria</w:t>
      </w:r>
      <w:bookmarkEnd w:id="935"/>
      <w:r w:rsidRPr="003104DF">
        <w:rPr>
          <w:rStyle w:val="TextoNormalCaracter"/>
        </w:rPr>
        <w:t xml:space="preserve">, Sentencia </w:t>
      </w:r>
      <w:hyperlink w:anchor="SENTENCIA_1992_35" w:history="1">
        <w:r w:rsidRPr="003104DF">
          <w:rPr>
            <w:rStyle w:val="TextoNormalCaracter"/>
          </w:rPr>
          <w:t>35/1992</w:t>
        </w:r>
      </w:hyperlink>
      <w:r w:rsidRPr="003104DF">
        <w:rPr>
          <w:rStyle w:val="TextoNormalCaracter"/>
        </w:rPr>
        <w:t>, ff. 3, 13, VP.</w:t>
      </w:r>
    </w:p>
    <w:p w:rsidR="003104DF" w:rsidRPr="003104DF" w:rsidRDefault="003104DF" w:rsidP="003104DF">
      <w:pPr>
        <w:pStyle w:val="TextoNormalSangraFrancesa"/>
        <w:rPr>
          <w:rStyle w:val="TextoNormalCaracter"/>
        </w:rPr>
      </w:pPr>
      <w:bookmarkStart w:id="936" w:name="DESCRIPTORALFABETICO178"/>
      <w:r w:rsidRPr="003104DF">
        <w:rPr>
          <w:rStyle w:val="TextoNormalNegritaCaracter"/>
        </w:rPr>
        <w:t>Precedentes parlamentarios</w:t>
      </w:r>
      <w:bookmarkEnd w:id="936"/>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 4.</w:t>
      </w:r>
    </w:p>
    <w:p w:rsidR="003104DF" w:rsidRPr="003104DF" w:rsidRDefault="003104DF" w:rsidP="003104DF">
      <w:pPr>
        <w:pStyle w:val="TextoNormalSangraFrancesa"/>
        <w:rPr>
          <w:rStyle w:val="TextoNormalCaracter"/>
        </w:rPr>
      </w:pPr>
      <w:bookmarkStart w:id="937" w:name="DESCRIPTORALFABETICO130"/>
      <w:r w:rsidRPr="003104DF">
        <w:rPr>
          <w:rStyle w:val="TextoNormalNegritaCaracter"/>
        </w:rPr>
        <w:t>Prerrogativa exclusiva de los órganos judiciales para plantear cuestión de inconstitucionalidad</w:t>
      </w:r>
      <w:bookmarkEnd w:id="937"/>
      <w:r w:rsidRPr="003104DF">
        <w:rPr>
          <w:rStyle w:val="TextoNormalCaracter"/>
        </w:rPr>
        <w:t xml:space="preserve">, Sentencia </w:t>
      </w:r>
      <w:hyperlink w:anchor="SENTENCIA_1992_62" w:history="1">
        <w:r w:rsidRPr="003104DF">
          <w:rPr>
            <w:rStyle w:val="TextoNormalCaracter"/>
          </w:rPr>
          <w:t>62/1992</w:t>
        </w:r>
      </w:hyperlink>
      <w:r w:rsidRPr="003104DF">
        <w:rPr>
          <w:rStyle w:val="TextoNormalCaracter"/>
        </w:rPr>
        <w:t>, f. 3.</w:t>
      </w:r>
    </w:p>
    <w:p w:rsidR="003104DF" w:rsidRPr="003104DF" w:rsidRDefault="003104DF" w:rsidP="003104DF">
      <w:pPr>
        <w:pStyle w:val="TextoNormalSangraFrancesa"/>
        <w:rPr>
          <w:rStyle w:val="TextoNormalCaracter"/>
        </w:rPr>
      </w:pPr>
      <w:bookmarkStart w:id="938" w:name="DESCRIPTORALFABETICO246"/>
      <w:r w:rsidRPr="003104DF">
        <w:rPr>
          <w:rStyle w:val="TextoNormalNegritaCaracter"/>
        </w:rPr>
        <w:t>Prescripción de faltas</w:t>
      </w:r>
      <w:bookmarkEnd w:id="938"/>
      <w:r w:rsidRPr="003104DF">
        <w:rPr>
          <w:rStyle w:val="TextoNormalCaracter"/>
        </w:rPr>
        <w:t xml:space="preserve">, Auto </w:t>
      </w:r>
      <w:hyperlink w:anchor="AUTO_1992_15" w:history="1">
        <w:r w:rsidRPr="003104DF">
          <w:rPr>
            <w:rStyle w:val="TextoNormalCaracter"/>
          </w:rPr>
          <w:t>15/1992</w:t>
        </w:r>
      </w:hyperlink>
      <w:r w:rsidRPr="003104DF">
        <w:rPr>
          <w:rStyle w:val="TextoNormalCaracter"/>
        </w:rPr>
        <w:t>.</w:t>
      </w:r>
    </w:p>
    <w:p w:rsidR="003104DF" w:rsidRPr="003104DF" w:rsidRDefault="003104DF" w:rsidP="003104DF">
      <w:pPr>
        <w:pStyle w:val="TextoNormalSangraFrancesa"/>
        <w:rPr>
          <w:rStyle w:val="TextoNormalCaracter"/>
        </w:rPr>
      </w:pPr>
      <w:bookmarkStart w:id="939" w:name="DESCRIPTORALFABETICO365"/>
      <w:r w:rsidRPr="003104DF">
        <w:rPr>
          <w:rStyle w:val="TextoNormalNegritaCaracter"/>
        </w:rPr>
        <w:t>Presentación de escritos fuera de plazo</w:t>
      </w:r>
      <w:bookmarkEnd w:id="939"/>
      <w:r w:rsidRPr="003104DF">
        <w:rPr>
          <w:rStyle w:val="TextoNormalCaracter"/>
        </w:rPr>
        <w:t xml:space="preserve">, Auto </w:t>
      </w:r>
      <w:hyperlink w:anchor="AUTO_1992_73" w:history="1">
        <w:r w:rsidRPr="003104DF">
          <w:rPr>
            <w:rStyle w:val="TextoNormalCaracter"/>
          </w:rPr>
          <w:t>73/1992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Presunción de inocencia</w:t>
      </w:r>
      <w:r>
        <w:t xml:space="preserve"> véase </w:t>
      </w:r>
      <w:hyperlink w:anchor="DESCRIPTORALFABETICO53" w:history="1">
        <w:r w:rsidRPr="003104DF">
          <w:rPr>
            <w:rStyle w:val="TextoNormalNegritaCaracter"/>
          </w:rPr>
          <w:t>Derecho a la presunción de inocencia</w:t>
        </w:r>
      </w:hyperlink>
    </w:p>
    <w:p w:rsidR="003104DF" w:rsidRPr="003104DF" w:rsidRDefault="003104DF" w:rsidP="003104DF">
      <w:pPr>
        <w:pStyle w:val="TextoNormalSangraFrancesa"/>
        <w:rPr>
          <w:rStyle w:val="TextoNormalNegritaCaracter"/>
        </w:rPr>
      </w:pPr>
      <w:r w:rsidRPr="003104DF">
        <w:rPr>
          <w:rStyle w:val="TextoNormalCursivaCaracter"/>
        </w:rPr>
        <w:t>Presupuestos procesales</w:t>
      </w:r>
      <w:r>
        <w:t xml:space="preserve"> véase </w:t>
      </w:r>
      <w:hyperlink w:anchor="DESCRIPTORALFABETICO386" w:history="1">
        <w:r w:rsidRPr="003104DF">
          <w:rPr>
            <w:rStyle w:val="TextoNormalNegritaCaracter"/>
          </w:rPr>
          <w:t>Requisitos procesales</w:t>
        </w:r>
      </w:hyperlink>
    </w:p>
    <w:p w:rsidR="003104DF" w:rsidRPr="003104DF" w:rsidRDefault="003104DF" w:rsidP="003104DF">
      <w:pPr>
        <w:pStyle w:val="TextoNormalSangraFrancesa"/>
        <w:rPr>
          <w:rStyle w:val="TextoNormalCaracter"/>
        </w:rPr>
      </w:pPr>
      <w:bookmarkStart w:id="940" w:name="DESCRIPTORALFABETICO138"/>
      <w:r w:rsidRPr="003104DF">
        <w:rPr>
          <w:rStyle w:val="TextoNormalNegritaCaracter"/>
        </w:rPr>
        <w:t>Pretensión de amparo determinante del contenido del fallo</w:t>
      </w:r>
      <w:bookmarkEnd w:id="940"/>
      <w:r w:rsidRPr="003104DF">
        <w:rPr>
          <w:rStyle w:val="TextoNormalCaracter"/>
        </w:rPr>
        <w:t xml:space="preserve">, Sentencia </w:t>
      </w:r>
      <w:hyperlink w:anchor="SENTENCIA_1992_1" w:history="1">
        <w:r w:rsidRPr="003104DF">
          <w:rPr>
            <w:rStyle w:val="TextoNormalCaracter"/>
          </w:rPr>
          <w:t>1/1992</w:t>
        </w:r>
      </w:hyperlink>
      <w:r w:rsidRPr="003104DF">
        <w:rPr>
          <w:rStyle w:val="TextoNormalCaracter"/>
        </w:rPr>
        <w:t>, f. 2.</w:t>
      </w:r>
    </w:p>
    <w:p w:rsidR="003104DF" w:rsidRPr="003104DF" w:rsidRDefault="003104DF" w:rsidP="003104DF">
      <w:pPr>
        <w:pStyle w:val="TextoNormalSangraFrancesa"/>
        <w:rPr>
          <w:rStyle w:val="TextoNormalCaracter"/>
        </w:rPr>
      </w:pPr>
      <w:bookmarkStart w:id="941" w:name="DESCRIPTORALFABETICO369"/>
      <w:r w:rsidRPr="003104DF">
        <w:rPr>
          <w:rStyle w:val="TextoNormalNegritaCaracter"/>
        </w:rPr>
        <w:t>Principio de congruencia</w:t>
      </w:r>
      <w:bookmarkEnd w:id="941"/>
      <w:r w:rsidRPr="003104DF">
        <w:rPr>
          <w:rStyle w:val="TextoNormalCaracter"/>
        </w:rPr>
        <w:t xml:space="preserve">, Sentencia </w:t>
      </w:r>
      <w:hyperlink w:anchor="SENTENCIA_1992_19" w:history="1">
        <w:r w:rsidRPr="003104DF">
          <w:rPr>
            <w:rStyle w:val="TextoNormalCaracter"/>
          </w:rPr>
          <w:t>19/1992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Respetado, </w:t>
      </w:r>
      <w:r w:rsidRPr="003104DF">
        <w:rPr>
          <w:rStyle w:val="TextoNormalCaracter"/>
        </w:rPr>
        <w:t xml:space="preserve">Sentencia </w:t>
      </w:r>
      <w:hyperlink w:anchor="SENTENCIA_1992_59" w:history="1">
        <w:r w:rsidRPr="003104DF">
          <w:rPr>
            <w:rStyle w:val="TextoNormalCaracter"/>
          </w:rPr>
          <w:t>59/1992</w:t>
        </w:r>
      </w:hyperlink>
      <w:r w:rsidRPr="003104DF">
        <w:rPr>
          <w:rStyle w:val="TextoNormalCaracter"/>
        </w:rPr>
        <w:t>, f. 2.</w:t>
      </w:r>
    </w:p>
    <w:p w:rsidR="003104DF" w:rsidRPr="003104DF" w:rsidRDefault="003104DF" w:rsidP="003104DF">
      <w:pPr>
        <w:pStyle w:val="TextoNormalSangraFrancesa"/>
        <w:rPr>
          <w:rStyle w:val="TextoNormalCaracter"/>
        </w:rPr>
      </w:pPr>
      <w:bookmarkStart w:id="942" w:name="DESCRIPTORALFABETICO370"/>
      <w:r w:rsidRPr="003104DF">
        <w:rPr>
          <w:rStyle w:val="TextoNormalNegritaCaracter"/>
        </w:rPr>
        <w:t>Principio de contradicción</w:t>
      </w:r>
      <w:bookmarkEnd w:id="942"/>
      <w:r w:rsidRPr="003104DF">
        <w:rPr>
          <w:rStyle w:val="TextoNormalCaracter"/>
        </w:rPr>
        <w:t xml:space="preserve">, Sentencias </w:t>
      </w:r>
      <w:hyperlink w:anchor="SENTENCIA_1992_6" w:history="1">
        <w:r w:rsidRPr="003104DF">
          <w:rPr>
            <w:rStyle w:val="TextoNormalCaracter"/>
          </w:rPr>
          <w:t>6/1992</w:t>
        </w:r>
      </w:hyperlink>
      <w:r w:rsidRPr="003104DF">
        <w:rPr>
          <w:rStyle w:val="TextoNormalCaracter"/>
        </w:rPr>
        <w:t xml:space="preserve">, ff. 6, 7; </w:t>
      </w:r>
      <w:hyperlink w:anchor="SENTENCIA_1992_53" w:history="1">
        <w:r w:rsidRPr="003104DF">
          <w:rPr>
            <w:rStyle w:val="TextoNormalCaracter"/>
          </w:rPr>
          <w:t>53/1992</w:t>
        </w:r>
      </w:hyperlink>
      <w:r w:rsidRPr="003104DF">
        <w:rPr>
          <w:rStyle w:val="TextoNormalCaracter"/>
        </w:rPr>
        <w:t xml:space="preserve">, f. 3; </w:t>
      </w:r>
      <w:hyperlink w:anchor="SENTENCIA_1992_56" w:history="1">
        <w:r w:rsidRPr="003104DF">
          <w:rPr>
            <w:rStyle w:val="TextoNormalCaracter"/>
          </w:rPr>
          <w:t>56/1992</w:t>
        </w:r>
      </w:hyperlink>
      <w:r w:rsidRPr="003104DF">
        <w:rPr>
          <w:rStyle w:val="TextoNormalCaracter"/>
        </w:rPr>
        <w:t>, f. 3.</w:t>
      </w:r>
    </w:p>
    <w:p w:rsidR="003104DF" w:rsidRPr="003104DF" w:rsidRDefault="003104DF" w:rsidP="003104DF">
      <w:pPr>
        <w:pStyle w:val="TextoNormalSangraFrancesa"/>
        <w:rPr>
          <w:rStyle w:val="TextoNormalCaracter"/>
        </w:rPr>
      </w:pPr>
      <w:bookmarkStart w:id="943" w:name="DESCRIPTORALFABETICO194"/>
      <w:r w:rsidRPr="003104DF">
        <w:rPr>
          <w:rStyle w:val="TextoNormalNegritaCaracter"/>
        </w:rPr>
        <w:t>Principio de igualdad</w:t>
      </w:r>
      <w:bookmarkEnd w:id="943"/>
      <w:r w:rsidRPr="003104DF">
        <w:rPr>
          <w:rStyle w:val="TextoNormalCaracter"/>
        </w:rPr>
        <w:t xml:space="preserve">, Sentencias </w:t>
      </w:r>
      <w:hyperlink w:anchor="SENTENCIA_1992_2" w:history="1">
        <w:r w:rsidRPr="003104DF">
          <w:rPr>
            <w:rStyle w:val="TextoNormalCaracter"/>
          </w:rPr>
          <w:t>2/1992</w:t>
        </w:r>
      </w:hyperlink>
      <w:r w:rsidRPr="003104DF">
        <w:rPr>
          <w:rStyle w:val="TextoNormalCaracter"/>
        </w:rPr>
        <w:t xml:space="preserve">, f. 3; </w:t>
      </w:r>
      <w:hyperlink w:anchor="SENTENCIA_1992_5" w:history="1">
        <w:r w:rsidRPr="003104DF">
          <w:rPr>
            <w:rStyle w:val="TextoNormalCaracter"/>
          </w:rPr>
          <w:t>5/1992</w:t>
        </w:r>
      </w:hyperlink>
      <w:r w:rsidRPr="003104DF">
        <w:rPr>
          <w:rStyle w:val="TextoNormalCaracter"/>
        </w:rPr>
        <w:t xml:space="preserve">, ff. 6, 7; </w:t>
      </w:r>
      <w:hyperlink w:anchor="SENTENCIA_1992_14" w:history="1">
        <w:r w:rsidRPr="003104DF">
          <w:rPr>
            <w:rStyle w:val="TextoNormalCaracter"/>
          </w:rPr>
          <w:t>14/1992</w:t>
        </w:r>
      </w:hyperlink>
      <w:r w:rsidRPr="003104DF">
        <w:rPr>
          <w:rStyle w:val="TextoNormalCaracter"/>
        </w:rPr>
        <w:t xml:space="preserve">, f. 5, VP; </w:t>
      </w:r>
      <w:hyperlink w:anchor="SENTENCIA_1992_28" w:history="1">
        <w:r w:rsidRPr="003104DF">
          <w:rPr>
            <w:rStyle w:val="TextoNormalCaracter"/>
          </w:rPr>
          <w:t>28/1992</w:t>
        </w:r>
      </w:hyperlink>
      <w:r w:rsidRPr="003104DF">
        <w:rPr>
          <w:rStyle w:val="TextoNormalCaracter"/>
        </w:rPr>
        <w:t xml:space="preserve">, f. 3; </w:t>
      </w:r>
      <w:hyperlink w:anchor="SENTENCIA_1992_29" w:history="1">
        <w:r w:rsidRPr="003104DF">
          <w:rPr>
            <w:rStyle w:val="TextoNormalCaracter"/>
          </w:rPr>
          <w:t>29/1992</w:t>
        </w:r>
      </w:hyperlink>
      <w:r w:rsidRPr="003104DF">
        <w:rPr>
          <w:rStyle w:val="TextoNormalCaracter"/>
        </w:rPr>
        <w:t xml:space="preserve">, f. 5; </w:t>
      </w:r>
      <w:hyperlink w:anchor="SENTENCIA_1992_39" w:history="1">
        <w:r w:rsidRPr="003104DF">
          <w:rPr>
            <w:rStyle w:val="TextoNormalCaracter"/>
          </w:rPr>
          <w:t>39/1992</w:t>
        </w:r>
      </w:hyperlink>
      <w:r w:rsidRPr="003104DF">
        <w:rPr>
          <w:rStyle w:val="TextoNormalCaracter"/>
        </w:rPr>
        <w:t xml:space="preserve">, f. 6; </w:t>
      </w:r>
      <w:hyperlink w:anchor="SENTENCIA_1992_58" w:history="1">
        <w:r w:rsidRPr="003104DF">
          <w:rPr>
            <w:rStyle w:val="TextoNormalCaracter"/>
          </w:rPr>
          <w:t>58/1992</w:t>
        </w:r>
      </w:hyperlink>
      <w:r w:rsidRPr="003104DF">
        <w:rPr>
          <w:rStyle w:val="TextoNormalCaracter"/>
        </w:rPr>
        <w:t>, f. 2.</w:t>
      </w:r>
    </w:p>
    <w:p w:rsidR="003104DF" w:rsidRPr="003104DF" w:rsidRDefault="003104DF" w:rsidP="003104DF">
      <w:pPr>
        <w:pStyle w:val="TextoNormalSangraFrancesa"/>
        <w:rPr>
          <w:rStyle w:val="TextoNormalCaracter"/>
        </w:rPr>
      </w:pPr>
      <w:bookmarkStart w:id="944" w:name="DESCRIPTORALFABETICO195"/>
      <w:r w:rsidRPr="003104DF">
        <w:rPr>
          <w:rStyle w:val="TextoNormalNegritaCaracter"/>
        </w:rPr>
        <w:t>Principio de irretroactividad</w:t>
      </w:r>
      <w:bookmarkEnd w:id="944"/>
      <w:r w:rsidRPr="003104DF">
        <w:rPr>
          <w:rStyle w:val="TextoNormalCaracter"/>
        </w:rPr>
        <w:t xml:space="preserve">, Auto </w:t>
      </w:r>
      <w:hyperlink w:anchor="AUTO_1992_22" w:history="1">
        <w:r w:rsidRPr="003104DF">
          <w:rPr>
            <w:rStyle w:val="TextoNormalCaracter"/>
          </w:rPr>
          <w:t>22/1992</w:t>
        </w:r>
      </w:hyperlink>
      <w:r w:rsidRPr="003104DF">
        <w:rPr>
          <w:rStyle w:val="TextoNormalCaracter"/>
        </w:rPr>
        <w:t>.</w:t>
      </w:r>
    </w:p>
    <w:p w:rsidR="003104DF" w:rsidRPr="003104DF" w:rsidRDefault="003104DF" w:rsidP="003104DF">
      <w:pPr>
        <w:pStyle w:val="TextoNormalSangraFrancesa"/>
        <w:rPr>
          <w:rStyle w:val="TextoNormalCaracter"/>
        </w:rPr>
      </w:pPr>
      <w:bookmarkStart w:id="945" w:name="DESCRIPTORALFABETICO196"/>
      <w:r w:rsidRPr="003104DF">
        <w:rPr>
          <w:rStyle w:val="TextoNormalNegritaCaracter"/>
        </w:rPr>
        <w:t>Principio de legalidad penal</w:t>
      </w:r>
      <w:bookmarkEnd w:id="945"/>
      <w:r w:rsidRPr="003104DF">
        <w:rPr>
          <w:rStyle w:val="TextoNormalCaracter"/>
        </w:rPr>
        <w:t xml:space="preserve">, 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Caracter"/>
        </w:rPr>
      </w:pPr>
      <w:bookmarkStart w:id="946" w:name="DESCRIPTORALFABETICO197"/>
      <w:r w:rsidRPr="003104DF">
        <w:rPr>
          <w:rStyle w:val="TextoNormalNegritaCaracter"/>
        </w:rPr>
        <w:t>Principio de proporcionalidad</w:t>
      </w:r>
      <w:bookmarkEnd w:id="946"/>
      <w:r w:rsidRPr="003104DF">
        <w:rPr>
          <w:rStyle w:val="TextoNormalCaracter"/>
        </w:rPr>
        <w:t xml:space="preserve">, Sentencia </w:t>
      </w:r>
      <w:hyperlink w:anchor="SENTENCIA_1992_45" w:history="1">
        <w:r w:rsidRPr="003104DF">
          <w:rPr>
            <w:rStyle w:val="TextoNormalCaracter"/>
          </w:rPr>
          <w:t>45/1992</w:t>
        </w:r>
      </w:hyperlink>
      <w:r w:rsidRPr="003104DF">
        <w:rPr>
          <w:rStyle w:val="TextoNormalCaracter"/>
        </w:rPr>
        <w:t>, f. 4.</w:t>
      </w:r>
    </w:p>
    <w:p w:rsidR="003104DF" w:rsidRPr="003104DF" w:rsidRDefault="003104DF" w:rsidP="003104DF">
      <w:pPr>
        <w:pStyle w:val="TextoNormalSangraFrancesa"/>
        <w:rPr>
          <w:rStyle w:val="TextoNormalCaracter"/>
        </w:rPr>
      </w:pPr>
      <w:bookmarkStart w:id="947" w:name="DESCRIPTORALFABETICO371"/>
      <w:r w:rsidRPr="003104DF">
        <w:rPr>
          <w:rStyle w:val="TextoNormalNegritaCaracter"/>
        </w:rPr>
        <w:t xml:space="preserve">Principio </w:t>
      </w:r>
      <w:r w:rsidRPr="003104DF">
        <w:rPr>
          <w:rStyle w:val="TextoNormalNegritaCaracter"/>
          <w:i/>
        </w:rPr>
        <w:t>iura novit curia</w:t>
      </w:r>
      <w:bookmarkEnd w:id="947"/>
      <w:r w:rsidRPr="003104DF">
        <w:rPr>
          <w:rStyle w:val="TextoNormalCaracter"/>
        </w:rPr>
        <w:t xml:space="preserve">, 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Prisión preventiva</w:t>
      </w:r>
      <w:r>
        <w:t xml:space="preserve"> véase </w:t>
      </w:r>
      <w:hyperlink w:anchor="DESCRIPTORALFABETICO419" w:history="1">
        <w:r w:rsidRPr="003104DF">
          <w:rPr>
            <w:rStyle w:val="TextoNormalNegritaCaracter"/>
          </w:rPr>
          <w:t>Prisión provisional</w:t>
        </w:r>
      </w:hyperlink>
    </w:p>
    <w:p w:rsidR="003104DF" w:rsidRPr="003104DF" w:rsidRDefault="003104DF" w:rsidP="003104DF">
      <w:pPr>
        <w:pStyle w:val="TextoNormalSangraFrancesa"/>
        <w:rPr>
          <w:rStyle w:val="TextoNormalCaracter"/>
        </w:rPr>
      </w:pPr>
      <w:bookmarkStart w:id="948" w:name="DESCRIPTORALFABETICO419"/>
      <w:r w:rsidRPr="003104DF">
        <w:rPr>
          <w:rStyle w:val="TextoNormalNegritaCaracter"/>
        </w:rPr>
        <w:t>Prisión provisional</w:t>
      </w:r>
      <w:bookmarkEnd w:id="948"/>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84" w:history="1">
        <w:r w:rsidRPr="003104DF">
          <w:rPr>
            <w:rStyle w:val="TextoNormalCaracter"/>
          </w:rPr>
          <w:t>84/1992</w:t>
        </w:r>
      </w:hyperlink>
      <w:r w:rsidRPr="003104DF">
        <w:rPr>
          <w:rStyle w:val="TextoNormalCaracter"/>
        </w:rPr>
        <w:t>.</w:t>
      </w:r>
    </w:p>
    <w:p w:rsidR="003104DF" w:rsidRPr="003104DF" w:rsidRDefault="003104DF" w:rsidP="003104DF">
      <w:pPr>
        <w:pStyle w:val="TextoNormalSangraFrancesa"/>
        <w:rPr>
          <w:rStyle w:val="TextoNormalCaracter"/>
        </w:rPr>
      </w:pPr>
      <w:bookmarkStart w:id="949" w:name="DESCRIPTORALFABETICO117"/>
      <w:r w:rsidRPr="003104DF">
        <w:rPr>
          <w:rStyle w:val="TextoNormalNegritaCaracter"/>
        </w:rPr>
        <w:t>Procedimiento constitucional</w:t>
      </w:r>
      <w:bookmarkEnd w:id="949"/>
      <w:r w:rsidRPr="003104DF">
        <w:rPr>
          <w:rStyle w:val="TextoNormalCaracter"/>
        </w:rPr>
        <w:t xml:space="preserve">, Sentencia </w:t>
      </w:r>
      <w:hyperlink w:anchor="SENTENCIA_1992_22" w:history="1">
        <w:r w:rsidRPr="003104DF">
          <w:rPr>
            <w:rStyle w:val="TextoNormalCaracter"/>
          </w:rPr>
          <w:t>22/1992</w:t>
        </w:r>
      </w:hyperlink>
      <w:r w:rsidRPr="003104DF">
        <w:rPr>
          <w:rStyle w:val="TextoNormalCaracter"/>
        </w:rPr>
        <w:t>, f. 4.</w:t>
      </w:r>
    </w:p>
    <w:p w:rsidR="003104DF" w:rsidRPr="003104DF" w:rsidRDefault="003104DF" w:rsidP="003104DF">
      <w:pPr>
        <w:pStyle w:val="TextoNormalSangraFrancesa"/>
        <w:rPr>
          <w:rStyle w:val="TextoNormalCaracter"/>
        </w:rPr>
      </w:pPr>
      <w:bookmarkStart w:id="950" w:name="DESCRIPTORALFABETICO421"/>
      <w:r w:rsidRPr="003104DF">
        <w:rPr>
          <w:rStyle w:val="TextoNormalNegritaCaracter"/>
        </w:rPr>
        <w:t>Procedimiento de urgencia para determinados delitos</w:t>
      </w:r>
      <w:bookmarkEnd w:id="950"/>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ursivaCaracter"/>
        </w:rPr>
        <w:t xml:space="preserve">    Régimen jurídico, </w:t>
      </w:r>
      <w:r w:rsidRPr="003104DF">
        <w:rPr>
          <w:rStyle w:val="TextoNormalCaracter"/>
        </w:rPr>
        <w:t xml:space="preserve">Sentencia </w:t>
      </w:r>
      <w:hyperlink w:anchor="SENTENCIA_1992_33" w:history="1">
        <w:r w:rsidRPr="003104DF">
          <w:rPr>
            <w:rStyle w:val="TextoNormalCaracter"/>
          </w:rPr>
          <w:t>33/1992</w:t>
        </w:r>
      </w:hyperlink>
      <w:r w:rsidRPr="003104DF">
        <w:rPr>
          <w:rStyle w:val="TextoNormalCaracter"/>
        </w:rPr>
        <w:t>, f. 5.</w:t>
      </w:r>
    </w:p>
    <w:p w:rsidR="003104DF" w:rsidRPr="003104DF" w:rsidRDefault="003104DF" w:rsidP="003104DF">
      <w:pPr>
        <w:pStyle w:val="TextoNormalSangraFrancesa"/>
        <w:rPr>
          <w:rStyle w:val="TextoNormalCaracter"/>
        </w:rPr>
      </w:pPr>
      <w:bookmarkStart w:id="951" w:name="DESCRIPTORALFABETICO294"/>
      <w:r w:rsidRPr="003104DF">
        <w:rPr>
          <w:rStyle w:val="TextoNormalNegritaCaracter"/>
        </w:rPr>
        <w:t>Procedimiento especial de la ley de protección jurisdiccional de los derechos fundamentales</w:t>
      </w:r>
      <w:bookmarkEnd w:id="951"/>
      <w:r w:rsidRPr="003104DF">
        <w:rPr>
          <w:rStyle w:val="TextoNormalCaracter"/>
        </w:rPr>
        <w:t xml:space="preserve">, Sentencia </w:t>
      </w:r>
      <w:hyperlink w:anchor="SENTENCIA_1992_64" w:history="1">
        <w:r w:rsidRPr="003104DF">
          <w:rPr>
            <w:rStyle w:val="TextoNormalCaracter"/>
          </w:rPr>
          <w:t>64/1992</w:t>
        </w:r>
      </w:hyperlink>
      <w:r w:rsidRPr="003104DF">
        <w:rPr>
          <w:rStyle w:val="TextoNormalCaracter"/>
        </w:rPr>
        <w:t>, ff. 2, 4.</w:t>
      </w:r>
    </w:p>
    <w:p w:rsidR="003104DF" w:rsidRPr="003104DF" w:rsidRDefault="003104DF" w:rsidP="003104DF">
      <w:pPr>
        <w:pStyle w:val="TextoNormalSangraFrancesa"/>
        <w:rPr>
          <w:rStyle w:val="TextoNormalNegritaCaracter"/>
        </w:rPr>
      </w:pPr>
      <w:r w:rsidRPr="003104DF">
        <w:rPr>
          <w:rStyle w:val="TextoNormalCursivaCaracter"/>
        </w:rPr>
        <w:t>Procedimiento hipotecario</w:t>
      </w:r>
      <w:r>
        <w:t xml:space="preserve"> véase </w:t>
      </w:r>
      <w:hyperlink w:anchor="DESCRIPTORALFABETICO393" w:history="1">
        <w:r w:rsidRPr="003104DF">
          <w:rPr>
            <w:rStyle w:val="TextoNormalNegritaCaracter"/>
          </w:rPr>
          <w:t>Proceso de ejecución hipotecaria</w:t>
        </w:r>
      </w:hyperlink>
    </w:p>
    <w:p w:rsidR="003104DF" w:rsidRPr="003104DF" w:rsidRDefault="003104DF" w:rsidP="003104DF">
      <w:pPr>
        <w:pStyle w:val="TextoNormalSangraFrancesa"/>
        <w:rPr>
          <w:rStyle w:val="TextoNormalCaracter"/>
        </w:rPr>
      </w:pPr>
      <w:bookmarkStart w:id="952" w:name="DESCRIPTORALFABETICO422"/>
      <w:r w:rsidRPr="003104DF">
        <w:rPr>
          <w:rStyle w:val="TextoNormalNegritaCaracter"/>
        </w:rPr>
        <w:t>Procedimiento penal abreviado</w:t>
      </w:r>
      <w:bookmarkEnd w:id="952"/>
      <w:r w:rsidRPr="003104DF">
        <w:rPr>
          <w:rStyle w:val="TextoNormalCaracter"/>
        </w:rPr>
        <w:t xml:space="preserve">, Sentencia </w:t>
      </w:r>
      <w:hyperlink w:anchor="SENTENCIA_1992_3" w:history="1">
        <w:r w:rsidRPr="003104DF">
          <w:rPr>
            <w:rStyle w:val="TextoNormalCaracter"/>
          </w:rPr>
          <w:t>3/1992</w:t>
        </w:r>
      </w:hyperlink>
      <w:r w:rsidRPr="003104DF">
        <w:rPr>
          <w:rStyle w:val="TextoNormalCaracter"/>
        </w:rPr>
        <w:t>, f. 4.</w:t>
      </w:r>
    </w:p>
    <w:p w:rsidR="003104DF" w:rsidRPr="003104DF" w:rsidRDefault="003104DF" w:rsidP="003104DF">
      <w:pPr>
        <w:pStyle w:val="TextoNormalSangraFrancesa"/>
        <w:rPr>
          <w:rStyle w:val="TextoNormalCaracter"/>
        </w:rPr>
      </w:pPr>
      <w:bookmarkStart w:id="953" w:name="DESCRIPTORALFABETICO398"/>
      <w:r w:rsidRPr="003104DF">
        <w:rPr>
          <w:rStyle w:val="TextoNormalNegritaCaracter"/>
        </w:rPr>
        <w:t>Proceso contencioso-administrativo</w:t>
      </w:r>
      <w:bookmarkEnd w:id="953"/>
      <w:r w:rsidRPr="003104DF">
        <w:rPr>
          <w:rStyle w:val="TextoNormalCaracter"/>
        </w:rPr>
        <w:t xml:space="preserve">, Sentencia </w:t>
      </w:r>
      <w:hyperlink w:anchor="SENTENCIA_1992_53" w:history="1">
        <w:r w:rsidRPr="003104DF">
          <w:rPr>
            <w:rStyle w:val="TextoNormalCaracter"/>
          </w:rPr>
          <w:t>53/1992</w:t>
        </w:r>
      </w:hyperlink>
      <w:r w:rsidRPr="003104DF">
        <w:rPr>
          <w:rStyle w:val="TextoNormalCaracter"/>
        </w:rPr>
        <w:t>, f. 3.</w:t>
      </w:r>
    </w:p>
    <w:p w:rsidR="003104DF" w:rsidRPr="003104DF" w:rsidRDefault="003104DF" w:rsidP="003104DF">
      <w:pPr>
        <w:pStyle w:val="TextoNormalSangraFrancesa"/>
        <w:rPr>
          <w:rStyle w:val="TextoNormalCaracter"/>
        </w:rPr>
      </w:pPr>
      <w:bookmarkStart w:id="954" w:name="DESCRIPTORALFABETICO393"/>
      <w:r w:rsidRPr="003104DF">
        <w:rPr>
          <w:rStyle w:val="TextoNormalNegritaCaracter"/>
        </w:rPr>
        <w:t>Proceso de ejecución hipotecaria</w:t>
      </w:r>
      <w:bookmarkEnd w:id="954"/>
      <w:r w:rsidRPr="003104DF">
        <w:rPr>
          <w:rStyle w:val="TextoNormalCaracter"/>
        </w:rPr>
        <w:t xml:space="preserve">, Sentencia </w:t>
      </w:r>
      <w:hyperlink w:anchor="SENTENCIA_1992_6" w:history="1">
        <w:r w:rsidRPr="003104DF">
          <w:rPr>
            <w:rStyle w:val="TextoNormalCaracter"/>
          </w:rPr>
          <w:t>6/1992</w:t>
        </w:r>
      </w:hyperlink>
      <w:r w:rsidRPr="003104DF">
        <w:rPr>
          <w:rStyle w:val="TextoNormalCaracter"/>
        </w:rPr>
        <w:t>, ff. 3, 6, 7.</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6" w:history="1">
        <w:r w:rsidRPr="003104DF">
          <w:rPr>
            <w:rStyle w:val="TextoNormalCaracter"/>
          </w:rPr>
          <w:t>6/1992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Características, </w:t>
      </w:r>
      <w:r w:rsidRPr="003104DF">
        <w:rPr>
          <w:rStyle w:val="TextoNormalCaracter"/>
        </w:rPr>
        <w:t xml:space="preserve">Sentencia </w:t>
      </w:r>
      <w:hyperlink w:anchor="SENTENCIA_1992_6" w:history="1">
        <w:r w:rsidRPr="003104DF">
          <w:rPr>
            <w:rStyle w:val="TextoNormalCaracter"/>
          </w:rPr>
          <w:t>6/1992</w:t>
        </w:r>
      </w:hyperlink>
      <w:r w:rsidRPr="003104DF">
        <w:rPr>
          <w:rStyle w:val="TextoNormalCaracter"/>
        </w:rPr>
        <w:t>, f. 3.</w:t>
      </w:r>
    </w:p>
    <w:p w:rsidR="003104DF" w:rsidRPr="003104DF" w:rsidRDefault="003104DF" w:rsidP="003104DF">
      <w:pPr>
        <w:pStyle w:val="TextoNormalSangraFrancesa"/>
        <w:rPr>
          <w:rStyle w:val="TextoNormalCaracter"/>
        </w:rPr>
      </w:pPr>
      <w:bookmarkStart w:id="955" w:name="DESCRIPTORALFABETICO401"/>
      <w:r w:rsidRPr="003104DF">
        <w:rPr>
          <w:rStyle w:val="TextoNormalNegritaCaracter"/>
        </w:rPr>
        <w:t>Proceso laboral</w:t>
      </w:r>
      <w:bookmarkEnd w:id="955"/>
      <w:r w:rsidRPr="003104DF">
        <w:rPr>
          <w:rStyle w:val="TextoNormalCaracter"/>
        </w:rPr>
        <w:t xml:space="preserve">, Auto </w:t>
      </w:r>
      <w:hyperlink w:anchor="AUTO_1992_108" w:history="1">
        <w:r w:rsidRPr="003104DF">
          <w:rPr>
            <w:rStyle w:val="TextoNormalCaracter"/>
          </w:rPr>
          <w:t>108/1992</w:t>
        </w:r>
      </w:hyperlink>
      <w:r w:rsidRPr="003104DF">
        <w:rPr>
          <w:rStyle w:val="TextoNormalCaracter"/>
        </w:rPr>
        <w:t>.</w:t>
      </w:r>
    </w:p>
    <w:p w:rsidR="003104DF" w:rsidRPr="003104DF" w:rsidRDefault="003104DF" w:rsidP="003104DF">
      <w:pPr>
        <w:pStyle w:val="TextoNormalSangraFrancesa"/>
        <w:rPr>
          <w:rStyle w:val="TextoNormalCaracter"/>
        </w:rPr>
      </w:pPr>
      <w:bookmarkStart w:id="956" w:name="DESCRIPTORALFABETICO407"/>
      <w:r w:rsidRPr="003104DF">
        <w:rPr>
          <w:rStyle w:val="TextoNormalNegritaCaracter"/>
        </w:rPr>
        <w:lastRenderedPageBreak/>
        <w:t>Proceso penal</w:t>
      </w:r>
      <w:bookmarkEnd w:id="956"/>
      <w:r w:rsidRPr="003104DF">
        <w:rPr>
          <w:rStyle w:val="TextoNormalCaracter"/>
        </w:rPr>
        <w:t xml:space="preserve">, Sentencia </w:t>
      </w:r>
      <w:hyperlink w:anchor="SENTENCIA_1992_66" w:history="1">
        <w:r w:rsidRPr="003104DF">
          <w:rPr>
            <w:rStyle w:val="TextoNormalCaracter"/>
          </w:rPr>
          <w:t>66/1992</w:t>
        </w:r>
      </w:hyperlink>
      <w:r w:rsidRPr="003104DF">
        <w:rPr>
          <w:rStyle w:val="TextoNormalCaracter"/>
        </w:rPr>
        <w:t>, f. 2.</w:t>
      </w:r>
    </w:p>
    <w:p w:rsidR="003104DF" w:rsidRPr="003104DF" w:rsidRDefault="003104DF" w:rsidP="003104DF">
      <w:pPr>
        <w:pStyle w:val="TextoNormalSangraFrancesa"/>
        <w:rPr>
          <w:rStyle w:val="TextoNormalCaracter"/>
        </w:rPr>
      </w:pPr>
      <w:bookmarkStart w:id="957" w:name="DESCRIPTORALFABETICO368"/>
      <w:r w:rsidRPr="003104DF">
        <w:rPr>
          <w:rStyle w:val="TextoNormalNegritaCaracter"/>
        </w:rPr>
        <w:t>Procuradores de los tribunales</w:t>
      </w:r>
      <w:bookmarkEnd w:id="957"/>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 4.</w:t>
      </w:r>
    </w:p>
    <w:p w:rsidR="003104DF" w:rsidRPr="003104DF" w:rsidRDefault="003104DF" w:rsidP="003104DF">
      <w:pPr>
        <w:pStyle w:val="TextoNormalSangraFrancesa"/>
        <w:rPr>
          <w:rStyle w:val="TextoNormalCaracter"/>
        </w:rPr>
      </w:pPr>
      <w:bookmarkStart w:id="958" w:name="DESCRIPTORALFABETICO225"/>
      <w:r w:rsidRPr="003104DF">
        <w:rPr>
          <w:rStyle w:val="TextoNormalNegritaCaracter"/>
        </w:rPr>
        <w:t>Profesores de universidad</w:t>
      </w:r>
      <w:bookmarkEnd w:id="958"/>
      <w:r w:rsidRPr="003104DF">
        <w:rPr>
          <w:rStyle w:val="TextoNormalCaracter"/>
        </w:rPr>
        <w:t xml:space="preserve">, Sentencia </w:t>
      </w:r>
      <w:hyperlink w:anchor="SENTENCIA_1992_48" w:history="1">
        <w:r w:rsidRPr="003104DF">
          <w:rPr>
            <w:rStyle w:val="TextoNormalCaracter"/>
          </w:rPr>
          <w:t>48/1992</w:t>
        </w:r>
      </w:hyperlink>
      <w:r w:rsidRPr="003104DF">
        <w:rPr>
          <w:rStyle w:val="TextoNormalCaracter"/>
        </w:rPr>
        <w:t>, ff. 1, 2, 3, 4.</w:t>
      </w:r>
    </w:p>
    <w:p w:rsidR="003104DF" w:rsidRPr="003104DF" w:rsidRDefault="003104DF" w:rsidP="003104DF">
      <w:pPr>
        <w:pStyle w:val="TextoNormalSangraFrancesa"/>
        <w:rPr>
          <w:rStyle w:val="TextoNormalNegritaCaracter"/>
        </w:rPr>
      </w:pPr>
      <w:r w:rsidRPr="003104DF">
        <w:rPr>
          <w:rStyle w:val="TextoNormalCursivaCaracter"/>
        </w:rPr>
        <w:t>Prolongación de prisión provisional</w:t>
      </w:r>
      <w:r>
        <w:t xml:space="preserve"> véase </w:t>
      </w:r>
      <w:hyperlink w:anchor="DESCRIPTORALFABETICO420" w:history="1">
        <w:r w:rsidRPr="003104DF">
          <w:rPr>
            <w:rStyle w:val="TextoNormalNegritaCaracter"/>
          </w:rPr>
          <w:t>Prórroga de prisión provisional</w:t>
        </w:r>
      </w:hyperlink>
    </w:p>
    <w:p w:rsidR="003104DF" w:rsidRPr="003104DF" w:rsidRDefault="003104DF" w:rsidP="003104DF">
      <w:pPr>
        <w:pStyle w:val="TextoNormalSangraFrancesa"/>
        <w:rPr>
          <w:rStyle w:val="TextoNormalCaracter"/>
        </w:rPr>
      </w:pPr>
      <w:bookmarkStart w:id="959" w:name="DESCRIPTORALFABETICO324"/>
      <w:r w:rsidRPr="003104DF">
        <w:rPr>
          <w:rStyle w:val="TextoNormalNegritaCaracter"/>
        </w:rPr>
        <w:t>Proporcionalidad entre el defecto procesal y la decisión adoptada</w:t>
      </w:r>
      <w:bookmarkEnd w:id="959"/>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 6.</w:t>
      </w:r>
    </w:p>
    <w:p w:rsidR="003104DF" w:rsidRPr="003104DF" w:rsidRDefault="003104DF" w:rsidP="003104DF">
      <w:pPr>
        <w:pStyle w:val="TextoNormalSangraFrancesa"/>
        <w:rPr>
          <w:rStyle w:val="TextoNormalCaracter"/>
        </w:rPr>
      </w:pPr>
      <w:bookmarkStart w:id="960" w:name="DESCRIPTORALFABETICO343"/>
      <w:r w:rsidRPr="003104DF">
        <w:rPr>
          <w:rStyle w:val="TextoNormalNegritaCaracter"/>
        </w:rPr>
        <w:t>Proposición extemporánea de prueba</w:t>
      </w:r>
      <w:bookmarkEnd w:id="960"/>
      <w:r w:rsidRPr="003104DF">
        <w:rPr>
          <w:rStyle w:val="TextoNormalCaracter"/>
        </w:rPr>
        <w:t xml:space="preserve">, Auto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bookmarkStart w:id="961" w:name="DESCRIPTORALFABETICO420"/>
      <w:r w:rsidRPr="003104DF">
        <w:rPr>
          <w:rStyle w:val="TextoNormalNegritaCaracter"/>
        </w:rPr>
        <w:t>Prórroga de prisión provisional</w:t>
      </w:r>
      <w:bookmarkEnd w:id="961"/>
      <w:r w:rsidRPr="003104DF">
        <w:rPr>
          <w:rStyle w:val="TextoNormalCaracter"/>
        </w:rPr>
        <w:t xml:space="preserve">, Autos </w:t>
      </w:r>
      <w:hyperlink w:anchor="AUTO_1992_50" w:history="1">
        <w:r w:rsidRPr="003104DF">
          <w:rPr>
            <w:rStyle w:val="TextoNormalCaracter"/>
          </w:rPr>
          <w:t>50/1992</w:t>
        </w:r>
      </w:hyperlink>
      <w:r w:rsidRPr="003104DF">
        <w:rPr>
          <w:rStyle w:val="TextoNormalCaracter"/>
        </w:rPr>
        <w:t xml:space="preserve">; </w:t>
      </w:r>
      <w:hyperlink w:anchor="AUTO_1992_84" w:history="1">
        <w:r w:rsidRPr="003104DF">
          <w:rPr>
            <w:rStyle w:val="TextoNormalCaracter"/>
          </w:rPr>
          <w:t>84/1992</w:t>
        </w:r>
      </w:hyperlink>
      <w:r w:rsidRPr="003104DF">
        <w:rPr>
          <w:rStyle w:val="TextoNormalCaracter"/>
        </w:rPr>
        <w:t>.</w:t>
      </w:r>
    </w:p>
    <w:p w:rsidR="003104DF" w:rsidRPr="003104DF" w:rsidRDefault="003104DF" w:rsidP="003104DF">
      <w:pPr>
        <w:pStyle w:val="TextoNormalSangraFrancesa"/>
        <w:rPr>
          <w:rStyle w:val="TextoNormalCaracter"/>
        </w:rPr>
      </w:pPr>
      <w:bookmarkStart w:id="962" w:name="DESCRIPTORALFABETICO259"/>
      <w:r w:rsidRPr="003104DF">
        <w:rPr>
          <w:rStyle w:val="TextoNormalNegritaCaracter"/>
        </w:rPr>
        <w:t>Protección no discriminatoria</w:t>
      </w:r>
      <w:bookmarkEnd w:id="962"/>
      <w:r w:rsidRPr="003104DF">
        <w:rPr>
          <w:rStyle w:val="TextoNormalCaracter"/>
        </w:rPr>
        <w:t xml:space="preserve">, Sentencia </w:t>
      </w:r>
      <w:hyperlink w:anchor="SENTENCIA_1992_28" w:history="1">
        <w:r w:rsidRPr="003104DF">
          <w:rPr>
            <w:rStyle w:val="TextoNormalCaracter"/>
          </w:rPr>
          <w:t>28/1992</w:t>
        </w:r>
      </w:hyperlink>
      <w:r w:rsidRPr="003104DF">
        <w:rPr>
          <w:rStyle w:val="TextoNormalCaracter"/>
        </w:rPr>
        <w:t>, f. 3.</w:t>
      </w:r>
    </w:p>
    <w:p w:rsidR="003104DF" w:rsidRPr="003104DF" w:rsidRDefault="003104DF" w:rsidP="003104DF">
      <w:pPr>
        <w:pStyle w:val="TextoNormalSangraFrancesa"/>
        <w:rPr>
          <w:rStyle w:val="TextoNormalCaracter"/>
        </w:rPr>
      </w:pPr>
      <w:bookmarkStart w:id="963" w:name="DESCRIPTORALFABETICO347"/>
      <w:r w:rsidRPr="003104DF">
        <w:rPr>
          <w:rStyle w:val="TextoNormalNegritaCaracter"/>
        </w:rPr>
        <w:t>Prueba biológica</w:t>
      </w:r>
      <w:bookmarkEnd w:id="963"/>
      <w:r w:rsidRPr="003104DF">
        <w:rPr>
          <w:rStyle w:val="TextoNormalCaracter"/>
        </w:rPr>
        <w:t xml:space="preserve">, Auto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bookmarkStart w:id="964" w:name="DESCRIPTORALFABETICO348"/>
      <w:r w:rsidRPr="003104DF">
        <w:rPr>
          <w:rStyle w:val="TextoNormalNegritaCaracter"/>
        </w:rPr>
        <w:t>Prueba biológica de paternidad</w:t>
      </w:r>
      <w:bookmarkEnd w:id="964"/>
      <w:r w:rsidRPr="003104DF">
        <w:rPr>
          <w:rStyle w:val="TextoNormalCaracter"/>
        </w:rPr>
        <w:t xml:space="preserve">, Auto </w:t>
      </w:r>
      <w:hyperlink w:anchor="AUTO_1992_27" w:history="1">
        <w:r w:rsidRPr="003104DF">
          <w:rPr>
            <w:rStyle w:val="TextoNormalCaracter"/>
          </w:rPr>
          <w:t>27/1992</w:t>
        </w:r>
      </w:hyperlink>
      <w:r w:rsidRPr="003104DF">
        <w:rPr>
          <w:rStyle w:val="TextoNormalCaracter"/>
        </w:rPr>
        <w:t>.</w:t>
      </w:r>
    </w:p>
    <w:p w:rsidR="003104DF" w:rsidRPr="003104DF" w:rsidRDefault="003104DF" w:rsidP="003104DF">
      <w:pPr>
        <w:pStyle w:val="TextoNormalSangraFrancesa"/>
        <w:rPr>
          <w:rStyle w:val="TextoNormalCaracter"/>
        </w:rPr>
      </w:pPr>
      <w:bookmarkStart w:id="965" w:name="DESCRIPTORALFABETICO349"/>
      <w:r w:rsidRPr="003104DF">
        <w:rPr>
          <w:rStyle w:val="TextoNormalNegritaCaracter"/>
        </w:rPr>
        <w:t>Prueba de alcoholemia</w:t>
      </w:r>
      <w:bookmarkEnd w:id="965"/>
      <w:r w:rsidRPr="003104DF">
        <w:rPr>
          <w:rStyle w:val="TextoNormalCaracter"/>
        </w:rPr>
        <w:t xml:space="preserve">, Sentencia </w:t>
      </w:r>
      <w:hyperlink w:anchor="SENTENCIA_1992_24" w:history="1">
        <w:r w:rsidRPr="003104DF">
          <w:rPr>
            <w:rStyle w:val="TextoNormalCaracter"/>
          </w:rPr>
          <w:t>24/1992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966" w:name="DESCRIPTORALFABETICO424"/>
      <w:r w:rsidRPr="003104DF">
        <w:rPr>
          <w:rStyle w:val="TextoNormalNegritaCaracter"/>
        </w:rPr>
        <w:t>Prueba de cargo</w:t>
      </w:r>
      <w:bookmarkEnd w:id="966"/>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 4.</w:t>
      </w:r>
    </w:p>
    <w:p w:rsidR="003104DF" w:rsidRPr="003104DF" w:rsidRDefault="003104DF" w:rsidP="003104DF">
      <w:pPr>
        <w:pStyle w:val="TextoNormalSangraFrancesa"/>
        <w:rPr>
          <w:rStyle w:val="TextoNormalNegritaCaracter"/>
        </w:rPr>
      </w:pPr>
      <w:r w:rsidRPr="003104DF">
        <w:rPr>
          <w:rStyle w:val="TextoNormalCursivaCaracter"/>
        </w:rPr>
        <w:t>Prueba de filiación</w:t>
      </w:r>
      <w:r>
        <w:t xml:space="preserve"> véase </w:t>
      </w:r>
      <w:hyperlink w:anchor="DESCRIPTORALFABETICO348" w:history="1">
        <w:r w:rsidRPr="003104DF">
          <w:rPr>
            <w:rStyle w:val="TextoNormalNegritaCaracter"/>
          </w:rPr>
          <w:t>Prueba biológica de paternidad</w:t>
        </w:r>
      </w:hyperlink>
    </w:p>
    <w:p w:rsidR="003104DF" w:rsidRPr="003104DF" w:rsidRDefault="003104DF" w:rsidP="003104DF">
      <w:pPr>
        <w:pStyle w:val="TextoNormalSangraFrancesa"/>
        <w:rPr>
          <w:rStyle w:val="TextoNormalCaracter"/>
        </w:rPr>
      </w:pPr>
      <w:bookmarkStart w:id="967" w:name="DESCRIPTORALFABETICO392"/>
      <w:r w:rsidRPr="003104DF">
        <w:rPr>
          <w:rStyle w:val="TextoNormalNegritaCaracter"/>
        </w:rPr>
        <w:t>Prueba de la deuda</w:t>
      </w:r>
      <w:bookmarkEnd w:id="967"/>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 2, VP; </w:t>
      </w:r>
      <w:hyperlink w:anchor="SENTENCIA_1992_47" w:history="1">
        <w:r w:rsidRPr="003104DF">
          <w:rPr>
            <w:rStyle w:val="TextoNormalCaracter"/>
          </w:rPr>
          <w:t>47/1992</w:t>
        </w:r>
      </w:hyperlink>
      <w:r w:rsidRPr="003104DF">
        <w:rPr>
          <w:rStyle w:val="TextoNormalCaracter"/>
        </w:rPr>
        <w:t>, f. 3.</w:t>
      </w:r>
    </w:p>
    <w:p w:rsidR="003104DF" w:rsidRPr="003104DF" w:rsidRDefault="003104DF" w:rsidP="003104DF">
      <w:pPr>
        <w:pStyle w:val="TextoNormalSangraFrancesa"/>
        <w:rPr>
          <w:rStyle w:val="TextoNormalCaracter"/>
        </w:rPr>
      </w:pPr>
      <w:bookmarkStart w:id="968" w:name="DESCRIPTORALFABETICO340"/>
      <w:r w:rsidRPr="003104DF">
        <w:rPr>
          <w:rStyle w:val="TextoNormalNegritaCaracter"/>
        </w:rPr>
        <w:t>Prueba irrelevante</w:t>
      </w:r>
      <w:bookmarkEnd w:id="968"/>
      <w:r w:rsidRPr="003104DF">
        <w:rPr>
          <w:rStyle w:val="TextoNormalCaracter"/>
        </w:rPr>
        <w:t xml:space="preserve">, Autos </w:t>
      </w:r>
      <w:hyperlink w:anchor="AUTO_1992_16" w:history="1">
        <w:r w:rsidRPr="003104DF">
          <w:rPr>
            <w:rStyle w:val="TextoNormalCaracter"/>
          </w:rPr>
          <w:t>16/1992</w:t>
        </w:r>
      </w:hyperlink>
      <w:r w:rsidRPr="003104DF">
        <w:rPr>
          <w:rStyle w:val="TextoNormalCaracter"/>
        </w:rPr>
        <w:t xml:space="preserve">; </w:t>
      </w:r>
      <w:hyperlink w:anchor="AUTO_1992_17" w:history="1">
        <w:r w:rsidRPr="003104DF">
          <w:rPr>
            <w:rStyle w:val="TextoNormalCaracter"/>
          </w:rPr>
          <w:t>17/1992</w:t>
        </w:r>
      </w:hyperlink>
      <w:r w:rsidRPr="003104DF">
        <w:rPr>
          <w:rStyle w:val="TextoNormalCaracter"/>
        </w:rPr>
        <w:t>.</w:t>
      </w:r>
    </w:p>
    <w:p w:rsidR="003104DF" w:rsidRPr="003104DF" w:rsidRDefault="003104DF" w:rsidP="003104DF">
      <w:pPr>
        <w:pStyle w:val="TextoNormalSangraFrancesa"/>
        <w:rPr>
          <w:rStyle w:val="TextoNormalCaracter"/>
        </w:rPr>
      </w:pPr>
      <w:bookmarkStart w:id="969" w:name="DESCRIPTORALFABETICO423"/>
      <w:r w:rsidRPr="003104DF">
        <w:rPr>
          <w:rStyle w:val="TextoNormalNegritaCaracter"/>
        </w:rPr>
        <w:t>Prueba penal</w:t>
      </w:r>
      <w:bookmarkEnd w:id="969"/>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4.</w:t>
      </w:r>
    </w:p>
    <w:p w:rsidR="003104DF" w:rsidRPr="003104DF" w:rsidRDefault="003104DF" w:rsidP="003104DF">
      <w:pPr>
        <w:pStyle w:val="TextoNormalSangraFrancesa"/>
        <w:rPr>
          <w:rStyle w:val="TextoNormalCaracter"/>
        </w:rPr>
      </w:pPr>
      <w:bookmarkStart w:id="970" w:name="DESCRIPTORALFABETICO351"/>
      <w:r w:rsidRPr="003104DF">
        <w:rPr>
          <w:rStyle w:val="TextoNormalNegritaCaracter"/>
        </w:rPr>
        <w:t>Prueba preconstituida</w:t>
      </w:r>
      <w:bookmarkEnd w:id="970"/>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ff. 2, 3.</w:t>
      </w:r>
    </w:p>
    <w:p w:rsidR="003104DF" w:rsidRPr="003104DF" w:rsidRDefault="003104DF" w:rsidP="003104DF">
      <w:pPr>
        <w:pStyle w:val="TextoNormalSangraFrancesa"/>
        <w:rPr>
          <w:rStyle w:val="TextoNormalCaracter"/>
        </w:rPr>
      </w:pPr>
      <w:bookmarkStart w:id="971" w:name="DESCRIPTORALFABETICO352"/>
      <w:r w:rsidRPr="003104DF">
        <w:rPr>
          <w:rStyle w:val="TextoNormalNegritaCaracter"/>
        </w:rPr>
        <w:t>Prueba testifical</w:t>
      </w:r>
      <w:bookmarkEnd w:id="971"/>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 4.</w:t>
      </w:r>
    </w:p>
    <w:p w:rsidR="003104DF" w:rsidRPr="003104DF" w:rsidRDefault="003104DF" w:rsidP="003104DF">
      <w:pPr>
        <w:pStyle w:val="TextoNormalSangraFrancesa"/>
        <w:rPr>
          <w:rStyle w:val="TextoNormalCaracter"/>
        </w:rPr>
      </w:pPr>
      <w:bookmarkStart w:id="972" w:name="DESCRIPTORALFABETICO7"/>
      <w:r w:rsidRPr="003104DF">
        <w:rPr>
          <w:rStyle w:val="TextoNormalNegritaCaracter"/>
        </w:rPr>
        <w:t>Puntos de conexión para el ejercicio de competencias autonómicas</w:t>
      </w:r>
      <w:bookmarkEnd w:id="972"/>
      <w:r w:rsidRPr="003104DF">
        <w:rPr>
          <w:rStyle w:val="TextoNormalCaracter"/>
        </w:rPr>
        <w:t xml:space="preserve">, Sentencia </w:t>
      </w:r>
      <w:hyperlink w:anchor="SENTENCIA_1992_36" w:history="1">
        <w:r w:rsidRPr="003104DF">
          <w:rPr>
            <w:rStyle w:val="TextoNormalCaracter"/>
          </w:rPr>
          <w:t>36/1992</w:t>
        </w:r>
      </w:hyperlink>
      <w:r w:rsidRPr="003104DF">
        <w:rPr>
          <w:rStyle w:val="TextoNormalCaracter"/>
        </w:rPr>
        <w:t>, ff. 1, 3.</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R</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973" w:name="DESCRIPTORALFABETICO213"/>
      <w:r w:rsidRPr="003104DF">
        <w:rPr>
          <w:rStyle w:val="TextoNormalNegritaCaracter"/>
        </w:rPr>
        <w:t>Realización de créditos mediante juicio ejecutivo</w:t>
      </w:r>
      <w:bookmarkEnd w:id="973"/>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ff. 1, 2, 3, 4, 5, 6, 7, 8, 9, 10, 11, 12; </w:t>
      </w:r>
      <w:hyperlink w:anchor="SENTENCIA_1992_47" w:history="1">
        <w:r w:rsidRPr="003104DF">
          <w:rPr>
            <w:rStyle w:val="TextoNormalCaracter"/>
          </w:rPr>
          <w:t>47/1992</w:t>
        </w:r>
      </w:hyperlink>
      <w:r w:rsidRPr="003104DF">
        <w:rPr>
          <w:rStyle w:val="TextoNormalCaracter"/>
        </w:rPr>
        <w:t>, ff. 1, 2, 3, 4.</w:t>
      </w:r>
    </w:p>
    <w:p w:rsidR="003104DF" w:rsidRPr="003104DF" w:rsidRDefault="003104DF" w:rsidP="003104DF">
      <w:pPr>
        <w:pStyle w:val="TextoNormalSangraFrancesa"/>
        <w:rPr>
          <w:rStyle w:val="TextoNormalCaracter"/>
        </w:rPr>
      </w:pPr>
      <w:bookmarkStart w:id="974" w:name="DESCRIPTORALFABETICO275"/>
      <w:r w:rsidRPr="003104DF">
        <w:rPr>
          <w:rStyle w:val="TextoNormalNegritaCaracter"/>
        </w:rPr>
        <w:t>Reaseguro</w:t>
      </w:r>
      <w:bookmarkEnd w:id="974"/>
      <w:r w:rsidRPr="003104DF">
        <w:rPr>
          <w:rStyle w:val="TextoNormalCaracter"/>
        </w:rPr>
        <w:t xml:space="preserve">, Sentencia </w:t>
      </w:r>
      <w:hyperlink w:anchor="SENTENCIA_1992_35" w:history="1">
        <w:r w:rsidRPr="003104DF">
          <w:rPr>
            <w:rStyle w:val="TextoNormalCaracter"/>
          </w:rPr>
          <w:t>35/1992</w:t>
        </w:r>
      </w:hyperlink>
      <w:r w:rsidRPr="003104DF">
        <w:rPr>
          <w:rStyle w:val="TextoNormalCaracter"/>
        </w:rPr>
        <w:t>, f. 12.</w:t>
      </w:r>
    </w:p>
    <w:p w:rsidR="003104DF" w:rsidRPr="003104DF" w:rsidRDefault="003104DF" w:rsidP="003104DF">
      <w:pPr>
        <w:pStyle w:val="TextoNormalSangraFrancesa"/>
        <w:rPr>
          <w:rStyle w:val="TextoNormalCaracter"/>
        </w:rPr>
      </w:pPr>
      <w:bookmarkStart w:id="975" w:name="DESCRIPTORALFABETICO338"/>
      <w:r w:rsidRPr="003104DF">
        <w:rPr>
          <w:rStyle w:val="TextoNormalNegritaCaracter"/>
        </w:rPr>
        <w:t>Rebeldía procesal</w:t>
      </w:r>
      <w:bookmarkEnd w:id="975"/>
      <w:r w:rsidRPr="003104DF">
        <w:rPr>
          <w:rStyle w:val="TextoNormalCaracter"/>
        </w:rPr>
        <w:t xml:space="preserve">, Sentencia </w:t>
      </w:r>
      <w:hyperlink w:anchor="SENTENCIA_1992_1" w:history="1">
        <w:r w:rsidRPr="003104DF">
          <w:rPr>
            <w:rStyle w:val="TextoNormalCaracter"/>
          </w:rPr>
          <w:t>1/1992</w:t>
        </w:r>
      </w:hyperlink>
      <w:r w:rsidRPr="003104DF">
        <w:rPr>
          <w:rStyle w:val="TextoNormalCaracter"/>
        </w:rPr>
        <w:t>, f. 6.</w:t>
      </w:r>
    </w:p>
    <w:p w:rsidR="003104DF" w:rsidRPr="003104DF" w:rsidRDefault="003104DF" w:rsidP="003104DF">
      <w:pPr>
        <w:pStyle w:val="TextoNormalSangraFrancesa"/>
        <w:rPr>
          <w:rStyle w:val="TextoNormalCaracter"/>
        </w:rPr>
      </w:pPr>
      <w:bookmarkStart w:id="976" w:name="DESCRIPTORALFABETICO415"/>
      <w:r w:rsidRPr="003104DF">
        <w:rPr>
          <w:rStyle w:val="TextoNormalNegritaCaracter"/>
        </w:rPr>
        <w:t>Reconocimiento de la condición de imputado</w:t>
      </w:r>
      <w:bookmarkEnd w:id="976"/>
      <w:r w:rsidRPr="003104DF">
        <w:rPr>
          <w:rStyle w:val="TextoNormalCaracter"/>
        </w:rPr>
        <w:t xml:space="preserve">, Auto </w:t>
      </w:r>
      <w:hyperlink w:anchor="AUTO_1992_83" w:history="1">
        <w:r w:rsidRPr="003104DF">
          <w:rPr>
            <w:rStyle w:val="TextoNormalCaracter"/>
          </w:rPr>
          <w:t>83/1992</w:t>
        </w:r>
      </w:hyperlink>
      <w:r w:rsidRPr="003104DF">
        <w:rPr>
          <w:rStyle w:val="TextoNormalCaracter"/>
        </w:rPr>
        <w:t>.</w:t>
      </w:r>
    </w:p>
    <w:p w:rsidR="003104DF" w:rsidRPr="003104DF" w:rsidRDefault="003104DF" w:rsidP="003104DF">
      <w:pPr>
        <w:pStyle w:val="TextoNormalSangraFrancesa"/>
        <w:rPr>
          <w:rStyle w:val="TextoNormalCaracter"/>
        </w:rPr>
      </w:pPr>
      <w:bookmarkStart w:id="977" w:name="DESCRIPTORALFABETICO425"/>
      <w:r w:rsidRPr="003104DF">
        <w:rPr>
          <w:rStyle w:val="TextoNormalNegritaCaracter"/>
        </w:rPr>
        <w:t>Reconocimiento en rueda</w:t>
      </w:r>
      <w:bookmarkEnd w:id="977"/>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978" w:name="DESCRIPTORALFABETICO177"/>
      <w:r w:rsidRPr="003104DF">
        <w:rPr>
          <w:rStyle w:val="TextoNormalNegritaCaracter"/>
        </w:rPr>
        <w:t>Recurribilidad de actos parlamentarios internos</w:t>
      </w:r>
      <w:bookmarkEnd w:id="978"/>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2.</w:t>
      </w:r>
    </w:p>
    <w:p w:rsidR="003104DF" w:rsidRPr="003104DF" w:rsidRDefault="003104DF" w:rsidP="003104DF">
      <w:pPr>
        <w:pStyle w:val="TextoNormalSangraFrancesa"/>
        <w:rPr>
          <w:rStyle w:val="TextoNormalCaracter"/>
        </w:rPr>
      </w:pPr>
      <w:bookmarkStart w:id="979" w:name="DESCRIPTORALFABETICO374"/>
      <w:r w:rsidRPr="003104DF">
        <w:rPr>
          <w:rStyle w:val="TextoNormalNegritaCaracter"/>
        </w:rPr>
        <w:t>Recurso de aclaración</w:t>
      </w:r>
      <w:bookmarkEnd w:id="979"/>
      <w:r w:rsidRPr="003104DF">
        <w:rPr>
          <w:rStyle w:val="TextoNormalCaracter"/>
        </w:rPr>
        <w:t xml:space="preserve">, Sentencia </w:t>
      </w:r>
      <w:hyperlink w:anchor="SENTENCIA_1992_50" w:history="1">
        <w:r w:rsidRPr="003104DF">
          <w:rPr>
            <w:rStyle w:val="TextoNormalCaracter"/>
          </w:rPr>
          <w:t>50/1992</w:t>
        </w:r>
      </w:hyperlink>
      <w:r w:rsidRPr="003104DF">
        <w:rPr>
          <w:rStyle w:val="TextoNormalCaracter"/>
        </w:rPr>
        <w:t>, f. 1.</w:t>
      </w:r>
    </w:p>
    <w:p w:rsidR="003104DF" w:rsidRPr="003104DF" w:rsidRDefault="003104DF" w:rsidP="003104DF">
      <w:pPr>
        <w:pStyle w:val="TextoNormalSangraFrancesa"/>
        <w:rPr>
          <w:rStyle w:val="TextoNormalCaracter"/>
        </w:rPr>
      </w:pPr>
      <w:bookmarkStart w:id="980" w:name="DESCRIPTORALFABETICO375"/>
      <w:r w:rsidRPr="003104DF">
        <w:rPr>
          <w:rStyle w:val="TextoNormalNegritaCaracter"/>
        </w:rPr>
        <w:t>Recurso de aclaración procedente</w:t>
      </w:r>
      <w:bookmarkEnd w:id="980"/>
      <w:r w:rsidRPr="003104DF">
        <w:rPr>
          <w:rStyle w:val="TextoNormalCaracter"/>
        </w:rPr>
        <w:t xml:space="preserve">, Sentencias </w:t>
      </w:r>
      <w:hyperlink w:anchor="SENTENCIA_1992_31" w:history="1">
        <w:r w:rsidRPr="003104DF">
          <w:rPr>
            <w:rStyle w:val="TextoNormalCaracter"/>
          </w:rPr>
          <w:t>31/1992</w:t>
        </w:r>
      </w:hyperlink>
      <w:r w:rsidRPr="003104DF">
        <w:rPr>
          <w:rStyle w:val="TextoNormalCaracter"/>
        </w:rPr>
        <w:t xml:space="preserve">, f. 1; </w:t>
      </w:r>
      <w:hyperlink w:anchor="SENTENCIA_1992_50" w:history="1">
        <w:r w:rsidRPr="003104DF">
          <w:rPr>
            <w:rStyle w:val="TextoNormalCaracter"/>
          </w:rPr>
          <w:t>50/1992</w:t>
        </w:r>
      </w:hyperlink>
      <w:r w:rsidRPr="003104DF">
        <w:rPr>
          <w:rStyle w:val="TextoNormalCaracter"/>
        </w:rPr>
        <w:t>, f. 1.</w:t>
      </w:r>
    </w:p>
    <w:p w:rsidR="003104DF" w:rsidRPr="003104DF" w:rsidRDefault="003104DF" w:rsidP="003104DF">
      <w:pPr>
        <w:pStyle w:val="TextoNormalSangraFrancesa"/>
        <w:rPr>
          <w:rStyle w:val="TextoNormalNegritaCaracter"/>
        </w:rPr>
      </w:pPr>
      <w:r w:rsidRPr="003104DF">
        <w:rPr>
          <w:rStyle w:val="TextoNormalCursivaCaracter"/>
        </w:rPr>
        <w:t>Recurso de amparo contra actos del Congreso de los Diputados</w:t>
      </w:r>
      <w:r>
        <w:t xml:space="preserve"> véase </w:t>
      </w:r>
      <w:hyperlink w:anchor="DESCRIPTORALFABETICO147" w:history="1">
        <w:r w:rsidRPr="003104DF">
          <w:rPr>
            <w:rStyle w:val="TextoNormalNegritaCaracter"/>
          </w:rPr>
          <w:t>Recurso de amparo contra actos parlamentarios</w:t>
        </w:r>
      </w:hyperlink>
    </w:p>
    <w:p w:rsidR="003104DF" w:rsidRPr="003104DF" w:rsidRDefault="003104DF" w:rsidP="003104DF">
      <w:pPr>
        <w:pStyle w:val="TextoNormalSangraFrancesa"/>
        <w:rPr>
          <w:rStyle w:val="TextoNormalNegritaCaracter"/>
        </w:rPr>
      </w:pPr>
      <w:r w:rsidRPr="003104DF">
        <w:rPr>
          <w:rStyle w:val="TextoNormalCursivaCaracter"/>
        </w:rPr>
        <w:t>Recurso de amparo contra actos del Senado</w:t>
      </w:r>
      <w:r>
        <w:t xml:space="preserve"> véase </w:t>
      </w:r>
      <w:hyperlink w:anchor="DESCRIPTORALFABETICO147" w:history="1">
        <w:r w:rsidRPr="003104DF">
          <w:rPr>
            <w:rStyle w:val="TextoNormalNegritaCaracter"/>
          </w:rPr>
          <w:t>Recurso de amparo contra actos parlamentarios</w:t>
        </w:r>
      </w:hyperlink>
    </w:p>
    <w:p w:rsidR="003104DF" w:rsidRPr="003104DF" w:rsidRDefault="003104DF" w:rsidP="003104DF">
      <w:pPr>
        <w:pStyle w:val="TextoNormalSangraFrancesa"/>
        <w:rPr>
          <w:rStyle w:val="TextoNormalCaracter"/>
        </w:rPr>
      </w:pPr>
      <w:bookmarkStart w:id="981" w:name="DESCRIPTORALFABETICO147"/>
      <w:r w:rsidRPr="003104DF">
        <w:rPr>
          <w:rStyle w:val="TextoNormalNegritaCaracter"/>
        </w:rPr>
        <w:t>Recurso de amparo contra actos parlamentarios</w:t>
      </w:r>
      <w:bookmarkEnd w:id="981"/>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1.</w:t>
      </w:r>
    </w:p>
    <w:p w:rsidR="003104DF" w:rsidRPr="003104DF" w:rsidRDefault="003104DF" w:rsidP="003104DF">
      <w:pPr>
        <w:pStyle w:val="TextoNormalSangraFrancesa"/>
        <w:rPr>
          <w:rStyle w:val="TextoNormalNegritaCaracter"/>
        </w:rPr>
      </w:pPr>
      <w:r w:rsidRPr="003104DF">
        <w:rPr>
          <w:rStyle w:val="TextoNormalCursivaCaracter"/>
        </w:rPr>
        <w:t>Recurso de amparo contra actos sin fuerza de ley de los órganos legislativos</w:t>
      </w:r>
      <w:r>
        <w:t xml:space="preserve"> véase </w:t>
      </w:r>
      <w:hyperlink w:anchor="DESCRIPTORALFABETICO147" w:history="1">
        <w:r w:rsidRPr="003104DF">
          <w:rPr>
            <w:rStyle w:val="TextoNormalNegritaCaracter"/>
          </w:rPr>
          <w:t>Recurso de amparo contra actos parlamentarios</w:t>
        </w:r>
      </w:hyperlink>
    </w:p>
    <w:p w:rsidR="003104DF" w:rsidRPr="003104DF" w:rsidRDefault="003104DF" w:rsidP="003104DF">
      <w:pPr>
        <w:pStyle w:val="TextoNormalSangraFrancesa"/>
        <w:rPr>
          <w:rStyle w:val="TextoNormalCaracter"/>
        </w:rPr>
      </w:pPr>
      <w:bookmarkStart w:id="982" w:name="DESCRIPTORALFABETICO142"/>
      <w:r w:rsidRPr="003104DF">
        <w:rPr>
          <w:rStyle w:val="TextoNormalNegritaCaracter"/>
        </w:rPr>
        <w:t>Recurso de amparo mixto</w:t>
      </w:r>
      <w:bookmarkEnd w:id="982"/>
      <w:r w:rsidRPr="003104DF">
        <w:rPr>
          <w:rStyle w:val="TextoNormalCaracter"/>
        </w:rPr>
        <w:t xml:space="preserve">, Sentencia </w:t>
      </w:r>
      <w:hyperlink w:anchor="SENTENCIA_1992_62" w:history="1">
        <w:r w:rsidRPr="003104DF">
          <w:rPr>
            <w:rStyle w:val="TextoNormalCaracter"/>
          </w:rPr>
          <w:t>62/1992</w:t>
        </w:r>
      </w:hyperlink>
      <w:r w:rsidRPr="003104DF">
        <w:rPr>
          <w:rStyle w:val="TextoNormalCaracter"/>
        </w:rPr>
        <w:t>, f. 1.</w:t>
      </w:r>
    </w:p>
    <w:p w:rsidR="003104DF" w:rsidRPr="003104DF" w:rsidRDefault="003104DF" w:rsidP="003104DF">
      <w:pPr>
        <w:pStyle w:val="TextoNormalSangraFrancesa"/>
        <w:rPr>
          <w:rStyle w:val="TextoNormalCaracter"/>
        </w:rPr>
      </w:pPr>
      <w:bookmarkStart w:id="983" w:name="DESCRIPTORALFABETICO139"/>
      <w:r w:rsidRPr="003104DF">
        <w:rPr>
          <w:rStyle w:val="TextoNormalNegritaCaracter"/>
        </w:rPr>
        <w:t>Recurso de amparo no es cauce para el control abstracto de las normas</w:t>
      </w:r>
      <w:bookmarkEnd w:id="983"/>
      <w:r w:rsidRPr="003104DF">
        <w:rPr>
          <w:rStyle w:val="TextoNormalCaracter"/>
        </w:rPr>
        <w:t xml:space="preserve">, Sentencias </w:t>
      </w:r>
      <w:hyperlink w:anchor="SENTENCIA_1992_28" w:history="1">
        <w:r w:rsidRPr="003104DF">
          <w:rPr>
            <w:rStyle w:val="TextoNormalCaracter"/>
          </w:rPr>
          <w:t>28/1992</w:t>
        </w:r>
      </w:hyperlink>
      <w:r w:rsidRPr="003104DF">
        <w:rPr>
          <w:rStyle w:val="TextoNormalCaracter"/>
        </w:rPr>
        <w:t xml:space="preserve">, f. 1; </w:t>
      </w:r>
      <w:hyperlink w:anchor="SENTENCIA_1992_52" w:history="1">
        <w:r w:rsidRPr="003104DF">
          <w:rPr>
            <w:rStyle w:val="TextoNormalCaracter"/>
          </w:rPr>
          <w:t>52/1992</w:t>
        </w:r>
      </w:hyperlink>
      <w:r w:rsidRPr="003104DF">
        <w:rPr>
          <w:rStyle w:val="TextoNormalCaracter"/>
        </w:rPr>
        <w:t>, f. 1.</w:t>
      </w:r>
    </w:p>
    <w:p w:rsidR="003104DF" w:rsidRPr="003104DF" w:rsidRDefault="003104DF" w:rsidP="003104DF">
      <w:pPr>
        <w:pStyle w:val="TextoNormalSangraFrancesa"/>
        <w:rPr>
          <w:rStyle w:val="TextoNormalCaracter"/>
        </w:rPr>
      </w:pPr>
      <w:bookmarkStart w:id="984" w:name="DESCRIPTORALFABETICO140"/>
      <w:r w:rsidRPr="003104DF">
        <w:rPr>
          <w:rStyle w:val="TextoNormalNegritaCaracter"/>
        </w:rPr>
        <w:t>Recurso de amparo no es recurso de casación</w:t>
      </w:r>
      <w:bookmarkEnd w:id="984"/>
      <w:r w:rsidRPr="003104DF">
        <w:rPr>
          <w:rStyle w:val="TextoNormalCaracter"/>
        </w:rPr>
        <w:t xml:space="preserve">, Sentencia </w:t>
      </w:r>
      <w:hyperlink w:anchor="SENTENCIA_1992_11" w:history="1">
        <w:r w:rsidRPr="003104DF">
          <w:rPr>
            <w:rStyle w:val="TextoNormalCaracter"/>
          </w:rPr>
          <w:t>11/1992</w:t>
        </w:r>
      </w:hyperlink>
      <w:r w:rsidRPr="003104DF">
        <w:rPr>
          <w:rStyle w:val="TextoNormalCaracter"/>
        </w:rPr>
        <w:t>, f. 2.</w:t>
      </w:r>
    </w:p>
    <w:p w:rsidR="003104DF" w:rsidRPr="003104DF" w:rsidRDefault="003104DF" w:rsidP="003104DF">
      <w:pPr>
        <w:pStyle w:val="TextoNormalSangraFrancesa"/>
        <w:rPr>
          <w:rStyle w:val="TextoNormalCaracter"/>
        </w:rPr>
      </w:pPr>
      <w:bookmarkStart w:id="985" w:name="DESCRIPTORALFABETICO376"/>
      <w:r w:rsidRPr="003104DF">
        <w:rPr>
          <w:rStyle w:val="TextoNormalNegritaCaracter"/>
        </w:rPr>
        <w:lastRenderedPageBreak/>
        <w:t>Recurso de apelación</w:t>
      </w:r>
      <w:bookmarkEnd w:id="985"/>
      <w:r w:rsidRPr="003104DF">
        <w:rPr>
          <w:rStyle w:val="TextoNormalCaracter"/>
        </w:rPr>
        <w:t xml:space="preserve">, Sentencias </w:t>
      </w:r>
      <w:hyperlink w:anchor="SENTENCIA_1992_42" w:history="1">
        <w:r w:rsidRPr="003104DF">
          <w:rPr>
            <w:rStyle w:val="TextoNormalCaracter"/>
          </w:rPr>
          <w:t>42/1992</w:t>
        </w:r>
      </w:hyperlink>
      <w:r w:rsidRPr="003104DF">
        <w:rPr>
          <w:rStyle w:val="TextoNormalCaracter"/>
        </w:rPr>
        <w:t xml:space="preserve">, f. 5; </w:t>
      </w:r>
      <w:hyperlink w:anchor="SENTENCIA_1992_51" w:history="1">
        <w:r w:rsidRPr="003104DF">
          <w:rPr>
            <w:rStyle w:val="TextoNormalCaracter"/>
          </w:rPr>
          <w:t>51/1992</w:t>
        </w:r>
      </w:hyperlink>
      <w:r w:rsidRPr="003104DF">
        <w:rPr>
          <w:rStyle w:val="TextoNormalCaracter"/>
        </w:rPr>
        <w:t xml:space="preserve">, ff. 2, 3; </w:t>
      </w:r>
      <w:hyperlink w:anchor="SENTENCIA_1992_56" w:history="1">
        <w:r w:rsidRPr="003104DF">
          <w:rPr>
            <w:rStyle w:val="TextoNormalCaracter"/>
          </w:rPr>
          <w:t>56/1992</w:t>
        </w:r>
      </w:hyperlink>
      <w:r w:rsidRPr="003104DF">
        <w:rPr>
          <w:rStyle w:val="TextoNormalCaracter"/>
        </w:rPr>
        <w:t xml:space="preserve">, ff. 2, 4; </w:t>
      </w:r>
      <w:hyperlink w:anchor="SENTENCIA_1992_64" w:history="1">
        <w:r w:rsidRPr="003104DF">
          <w:rPr>
            <w:rStyle w:val="TextoNormalCaracter"/>
          </w:rPr>
          <w:t>64/1992</w:t>
        </w:r>
      </w:hyperlink>
      <w:r w:rsidRPr="003104DF">
        <w:rPr>
          <w:rStyle w:val="TextoNormalCaracter"/>
        </w:rPr>
        <w:t xml:space="preserve">, f. 2; </w:t>
      </w:r>
      <w:hyperlink w:anchor="SENTENCIA_1992_66" w:history="1">
        <w:r w:rsidRPr="003104DF">
          <w:rPr>
            <w:rStyle w:val="TextoNormalCaracter"/>
          </w:rPr>
          <w:t>66/1992</w:t>
        </w:r>
      </w:hyperlink>
      <w:r w:rsidRPr="003104DF">
        <w:rPr>
          <w:rStyle w:val="TextoNormalCaracter"/>
        </w:rPr>
        <w:t>, f. 2.</w:t>
      </w:r>
    </w:p>
    <w:p w:rsidR="003104DF" w:rsidRPr="003104DF" w:rsidRDefault="003104DF" w:rsidP="003104DF">
      <w:pPr>
        <w:pStyle w:val="TextoNormalSangraFrancesa"/>
        <w:rPr>
          <w:rStyle w:val="TextoNormalCaracter"/>
        </w:rPr>
      </w:pPr>
      <w:bookmarkStart w:id="986" w:name="DESCRIPTORALFABETICO394"/>
      <w:r w:rsidRPr="003104DF">
        <w:rPr>
          <w:rStyle w:val="TextoNormalNegritaCaracter"/>
        </w:rPr>
        <w:t>Recurso de apelación civil</w:t>
      </w:r>
      <w:bookmarkEnd w:id="986"/>
      <w:r w:rsidRPr="003104DF">
        <w:rPr>
          <w:rStyle w:val="TextoNormalCaracter"/>
        </w:rPr>
        <w:t xml:space="preserve">, Sentencia </w:t>
      </w:r>
      <w:hyperlink w:anchor="SENTENCIA_1992_31" w:history="1">
        <w:r w:rsidRPr="003104DF">
          <w:rPr>
            <w:rStyle w:val="TextoNormalCaracter"/>
          </w:rPr>
          <w:t>31/1992</w:t>
        </w:r>
      </w:hyperlink>
      <w:r w:rsidRPr="003104DF">
        <w:rPr>
          <w:rStyle w:val="TextoNormalCaracter"/>
        </w:rPr>
        <w:t>, f. 2.</w:t>
      </w:r>
    </w:p>
    <w:p w:rsidR="003104DF" w:rsidRPr="003104DF" w:rsidRDefault="003104DF" w:rsidP="003104DF">
      <w:pPr>
        <w:pStyle w:val="TextoNormalSangraFrancesa"/>
        <w:rPr>
          <w:rStyle w:val="TextoNormalCaracter"/>
        </w:rPr>
      </w:pPr>
      <w:bookmarkStart w:id="987" w:name="DESCRIPTORALFABETICO400"/>
      <w:r w:rsidRPr="003104DF">
        <w:rPr>
          <w:rStyle w:val="TextoNormalNegritaCaracter"/>
        </w:rPr>
        <w:t>Recurso de apelación en materia de personal</w:t>
      </w:r>
      <w:bookmarkEnd w:id="987"/>
      <w:r w:rsidRPr="003104DF">
        <w:rPr>
          <w:rStyle w:val="TextoNormalCaracter"/>
        </w:rPr>
        <w:t xml:space="preserve">, Sentencia </w:t>
      </w:r>
      <w:hyperlink w:anchor="SENTENCIA_1992_42" w:history="1">
        <w:r w:rsidRPr="003104DF">
          <w:rPr>
            <w:rStyle w:val="TextoNormalCaracter"/>
          </w:rPr>
          <w:t>42/1992</w:t>
        </w:r>
      </w:hyperlink>
      <w:r w:rsidRPr="003104DF">
        <w:rPr>
          <w:rStyle w:val="TextoNormalCaracter"/>
        </w:rPr>
        <w:t>, f. 5.</w:t>
      </w:r>
    </w:p>
    <w:p w:rsidR="003104DF" w:rsidRPr="003104DF" w:rsidRDefault="003104DF" w:rsidP="003104DF">
      <w:pPr>
        <w:pStyle w:val="TextoNormalSangraFrancesa"/>
        <w:rPr>
          <w:rStyle w:val="TextoNormalCaracter"/>
        </w:rPr>
      </w:pPr>
      <w:bookmarkStart w:id="988" w:name="DESCRIPTORALFABETICO396"/>
      <w:r w:rsidRPr="003104DF">
        <w:rPr>
          <w:rStyle w:val="TextoNormalNegritaCaracter"/>
        </w:rPr>
        <w:t>Recurso de casación civil</w:t>
      </w:r>
      <w:bookmarkEnd w:id="988"/>
      <w:r w:rsidRPr="003104DF">
        <w:rPr>
          <w:rStyle w:val="TextoNormalCaracter"/>
        </w:rPr>
        <w:t xml:space="preserve">, Sentencias </w:t>
      </w:r>
      <w:hyperlink w:anchor="SENTENCIA_1992_16" w:history="1">
        <w:r w:rsidRPr="003104DF">
          <w:rPr>
            <w:rStyle w:val="TextoNormalCaracter"/>
          </w:rPr>
          <w:t>16/1992</w:t>
        </w:r>
      </w:hyperlink>
      <w:r w:rsidRPr="003104DF">
        <w:rPr>
          <w:rStyle w:val="TextoNormalCaracter"/>
        </w:rPr>
        <w:t xml:space="preserve">, ff. 3, 4; </w:t>
      </w:r>
      <w:hyperlink w:anchor="SENTENCIA_1992_55" w:history="1">
        <w:r w:rsidRPr="003104DF">
          <w:rPr>
            <w:rStyle w:val="TextoNormalCaracter"/>
          </w:rPr>
          <w:t>55/1992</w:t>
        </w:r>
      </w:hyperlink>
      <w:r w:rsidRPr="003104DF">
        <w:rPr>
          <w:rStyle w:val="TextoNormalCaracter"/>
        </w:rPr>
        <w:t xml:space="preserve">, ff. 2, 3; </w:t>
      </w:r>
      <w:hyperlink w:anchor="SENTENCIA_1992_63" w:history="1">
        <w:r w:rsidRPr="003104DF">
          <w:rPr>
            <w:rStyle w:val="TextoNormalCaracter"/>
          </w:rPr>
          <w:t>63/1992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62" w:history="1">
        <w:r w:rsidRPr="003104DF">
          <w:rPr>
            <w:rStyle w:val="TextoNormalCaracter"/>
          </w:rPr>
          <w:t>62/1992</w:t>
        </w:r>
      </w:hyperlink>
      <w:r w:rsidRPr="003104DF">
        <w:rPr>
          <w:rStyle w:val="TextoNormalCaracter"/>
        </w:rPr>
        <w:t>.</w:t>
      </w:r>
    </w:p>
    <w:p w:rsidR="003104DF" w:rsidRPr="003104DF" w:rsidRDefault="003104DF" w:rsidP="003104DF">
      <w:pPr>
        <w:pStyle w:val="TextoNormalSangraFrancesa"/>
        <w:rPr>
          <w:rStyle w:val="TextoNormalCaracter"/>
        </w:rPr>
      </w:pPr>
      <w:bookmarkStart w:id="989" w:name="DESCRIPTORALFABETICO402"/>
      <w:r w:rsidRPr="003104DF">
        <w:rPr>
          <w:rStyle w:val="TextoNormalNegritaCaracter"/>
        </w:rPr>
        <w:t>Recurso de casación laboral</w:t>
      </w:r>
      <w:bookmarkEnd w:id="989"/>
      <w:r w:rsidRPr="003104DF">
        <w:rPr>
          <w:rStyle w:val="TextoNormalCaracter"/>
        </w:rPr>
        <w:t xml:space="preserve">, Sentencia </w:t>
      </w:r>
      <w:hyperlink w:anchor="SENTENCIA_1992_9" w:history="1">
        <w:r w:rsidRPr="003104DF">
          <w:rPr>
            <w:rStyle w:val="TextoNormalCaracter"/>
          </w:rPr>
          <w:t>9/1992</w:t>
        </w:r>
      </w:hyperlink>
      <w:r w:rsidRPr="003104DF">
        <w:rPr>
          <w:rStyle w:val="TextoNormalCaracter"/>
        </w:rPr>
        <w:t>, ff. 2, 3, 4.</w:t>
      </w:r>
    </w:p>
    <w:p w:rsidR="003104DF" w:rsidRPr="003104DF" w:rsidRDefault="003104DF" w:rsidP="003104DF">
      <w:pPr>
        <w:pStyle w:val="TextoNormalSangraFrancesa"/>
        <w:rPr>
          <w:rStyle w:val="TextoNormalCaracter"/>
        </w:rPr>
      </w:pPr>
      <w:bookmarkStart w:id="990" w:name="DESCRIPTORALFABETICO382"/>
      <w:r w:rsidRPr="003104DF">
        <w:rPr>
          <w:rStyle w:val="TextoNormalNegritaCaracter"/>
        </w:rPr>
        <w:t>Recurso de reposición</w:t>
      </w:r>
      <w:bookmarkEnd w:id="990"/>
      <w:r w:rsidRPr="003104DF">
        <w:rPr>
          <w:rStyle w:val="TextoNormalCaracter"/>
        </w:rPr>
        <w:t xml:space="preserve">, Auto </w:t>
      </w:r>
      <w:hyperlink w:anchor="AUTO_1992_89" w:history="1">
        <w:r w:rsidRPr="003104DF">
          <w:rPr>
            <w:rStyle w:val="TextoNormalCaracter"/>
          </w:rPr>
          <w:t>89/1992</w:t>
        </w:r>
      </w:hyperlink>
      <w:r w:rsidRPr="003104DF">
        <w:rPr>
          <w:rStyle w:val="TextoNormalCaracter"/>
        </w:rPr>
        <w:t>.</w:t>
      </w:r>
    </w:p>
    <w:p w:rsidR="003104DF" w:rsidRPr="003104DF" w:rsidRDefault="003104DF" w:rsidP="003104DF">
      <w:pPr>
        <w:pStyle w:val="TextoNormalSangraFrancesa"/>
        <w:rPr>
          <w:rStyle w:val="TextoNormalCaracter"/>
        </w:rPr>
      </w:pPr>
      <w:bookmarkStart w:id="991" w:name="DESCRIPTORALFABETICO403"/>
      <w:r w:rsidRPr="003104DF">
        <w:rPr>
          <w:rStyle w:val="TextoNormalNegritaCaracter"/>
        </w:rPr>
        <w:t>Recurso de suplicación</w:t>
      </w:r>
      <w:bookmarkEnd w:id="991"/>
      <w:r w:rsidRPr="003104DF">
        <w:rPr>
          <w:rStyle w:val="TextoNormalCaracter"/>
        </w:rPr>
        <w:t xml:space="preserve">, Sentencias </w:t>
      </w:r>
      <w:hyperlink w:anchor="SENTENCIA_1992_32" w:history="1">
        <w:r w:rsidRPr="003104DF">
          <w:rPr>
            <w:rStyle w:val="TextoNormalCaracter"/>
          </w:rPr>
          <w:t>32/1992</w:t>
        </w:r>
      </w:hyperlink>
      <w:r w:rsidRPr="003104DF">
        <w:rPr>
          <w:rStyle w:val="TextoNormalCaracter"/>
        </w:rPr>
        <w:t xml:space="preserve">, ff. 1, 2, 3, 4, 5; </w:t>
      </w:r>
      <w:hyperlink w:anchor="SENTENCIA_1992_60" w:history="1">
        <w:r w:rsidRPr="003104DF">
          <w:rPr>
            <w:rStyle w:val="TextoNormalCaracter"/>
          </w:rPr>
          <w:t>60/1992</w:t>
        </w:r>
      </w:hyperlink>
      <w:r w:rsidRPr="003104DF">
        <w:rPr>
          <w:rStyle w:val="TextoNormalCaracter"/>
        </w:rPr>
        <w:t>, f. 2.</w:t>
      </w:r>
    </w:p>
    <w:p w:rsidR="003104DF" w:rsidRPr="003104DF" w:rsidRDefault="003104DF" w:rsidP="003104DF">
      <w:pPr>
        <w:pStyle w:val="TextoNormalSangraFrancesa"/>
        <w:rPr>
          <w:rStyle w:val="TextoNormalCaracter"/>
        </w:rPr>
      </w:pPr>
      <w:bookmarkStart w:id="992" w:name="DESCRIPTORALFABETICO149"/>
      <w:r w:rsidRPr="003104DF">
        <w:rPr>
          <w:rStyle w:val="TextoNormalNegritaCaracter"/>
        </w:rPr>
        <w:t>Recurso extemporáneo</w:t>
      </w:r>
      <w:bookmarkEnd w:id="992"/>
      <w:r w:rsidRPr="003104DF">
        <w:rPr>
          <w:rStyle w:val="TextoNormalCaracter"/>
        </w:rPr>
        <w:t xml:space="preserve">, Sentencia </w:t>
      </w:r>
      <w:hyperlink w:anchor="SENTENCIA_1992_9" w:history="1">
        <w:r w:rsidRPr="003104DF">
          <w:rPr>
            <w:rStyle w:val="TextoNormalCaracter"/>
          </w:rPr>
          <w:t>9/1992</w:t>
        </w:r>
      </w:hyperlink>
      <w:r w:rsidRPr="003104DF">
        <w:rPr>
          <w:rStyle w:val="TextoNormalCaracter"/>
        </w:rPr>
        <w:t>, f. 5.</w:t>
      </w:r>
    </w:p>
    <w:p w:rsidR="003104DF" w:rsidRPr="003104DF" w:rsidRDefault="003104DF" w:rsidP="003104DF">
      <w:pPr>
        <w:pStyle w:val="TextoNormalSangraFrancesa"/>
        <w:rPr>
          <w:rStyle w:val="TextoNormalCaracter"/>
        </w:rPr>
      </w:pPr>
      <w:bookmarkStart w:id="993" w:name="DESCRIPTORALFABETICO68"/>
      <w:r w:rsidRPr="003104DF">
        <w:rPr>
          <w:rStyle w:val="TextoNormalNegritaCaracter"/>
          <w:i/>
        </w:rPr>
        <w:t>Reformatio in peius</w:t>
      </w:r>
      <w:bookmarkEnd w:id="993"/>
      <w:r w:rsidRPr="003104DF">
        <w:rPr>
          <w:rStyle w:val="TextoNormalCaracter"/>
        </w:rPr>
        <w:t xml:space="preserve">, Sentencias </w:t>
      </w:r>
      <w:hyperlink w:anchor="SENTENCIA_1992_19" w:history="1">
        <w:r w:rsidRPr="003104DF">
          <w:rPr>
            <w:rStyle w:val="TextoNormalCaracter"/>
          </w:rPr>
          <w:t>19/1992</w:t>
        </w:r>
      </w:hyperlink>
      <w:r w:rsidRPr="003104DF">
        <w:rPr>
          <w:rStyle w:val="TextoNormalCaracter"/>
        </w:rPr>
        <w:t xml:space="preserve">, f. 4; </w:t>
      </w:r>
      <w:hyperlink w:anchor="SENTENCIA_1992_53" w:history="1">
        <w:r w:rsidRPr="003104DF">
          <w:rPr>
            <w:rStyle w:val="TextoNormalCaracter"/>
          </w:rPr>
          <w:t>53/1992</w:t>
        </w:r>
      </w:hyperlink>
      <w:r w:rsidRPr="003104DF">
        <w:rPr>
          <w:rStyle w:val="TextoNormalCaracter"/>
        </w:rPr>
        <w:t xml:space="preserve">, f. 4; </w:t>
      </w:r>
      <w:hyperlink w:anchor="SENTENCIA_1992_56" w:history="1">
        <w:r w:rsidRPr="003104DF">
          <w:rPr>
            <w:rStyle w:val="TextoNormalCaracter"/>
          </w:rPr>
          <w:t>56/1992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19" w:history="1">
        <w:r w:rsidRPr="003104DF">
          <w:rPr>
            <w:rStyle w:val="TextoNormalCaracter"/>
          </w:rPr>
          <w:t>19/1992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ursivaCaracter"/>
        </w:rPr>
        <w:t xml:space="preserve">    Vulnerado, </w:t>
      </w:r>
      <w:r w:rsidRPr="003104DF">
        <w:rPr>
          <w:rStyle w:val="TextoNormalCaracter"/>
        </w:rPr>
        <w:t xml:space="preserve">Sentencia </w:t>
      </w:r>
      <w:hyperlink w:anchor="SENTENCIA_1992_19" w:history="1">
        <w:r w:rsidRPr="003104DF">
          <w:rPr>
            <w:rStyle w:val="TextoNormalCaracter"/>
          </w:rPr>
          <w:t>19/1992</w:t>
        </w:r>
      </w:hyperlink>
      <w:r w:rsidRPr="003104DF">
        <w:rPr>
          <w:rStyle w:val="TextoNormalCaracter"/>
        </w:rPr>
        <w:t>, f. 4.</w:t>
      </w:r>
    </w:p>
    <w:p w:rsidR="003104DF" w:rsidRPr="003104DF" w:rsidRDefault="003104DF" w:rsidP="003104DF">
      <w:pPr>
        <w:pStyle w:val="TextoNormalSangraFrancesa"/>
        <w:rPr>
          <w:rStyle w:val="TextoNormalCaracter"/>
        </w:rPr>
      </w:pPr>
      <w:bookmarkStart w:id="994" w:name="DESCRIPTORALFABETICO28"/>
      <w:r w:rsidRPr="003104DF">
        <w:rPr>
          <w:rStyle w:val="TextoNormalNegritaCaracter"/>
        </w:rPr>
        <w:t>Régimen electoral</w:t>
      </w:r>
      <w:bookmarkEnd w:id="994"/>
      <w:r w:rsidRPr="003104DF">
        <w:rPr>
          <w:rStyle w:val="TextoNormalCaracter"/>
        </w:rPr>
        <w:t xml:space="preserve">, Sentencia </w:t>
      </w:r>
      <w:hyperlink w:anchor="SENTENCIA_1992_45" w:history="1">
        <w:r w:rsidRPr="003104DF">
          <w:rPr>
            <w:rStyle w:val="TextoNormalCaracter"/>
          </w:rPr>
          <w:t>45/1992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995" w:name="DESCRIPTORALFABETICO30"/>
      <w:r w:rsidRPr="003104DF">
        <w:rPr>
          <w:rStyle w:val="TextoNormalNegritaCaracter"/>
        </w:rPr>
        <w:t>Regla D'Hondt</w:t>
      </w:r>
      <w:bookmarkEnd w:id="995"/>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Reglas procesales</w:t>
      </w:r>
      <w:r>
        <w:t xml:space="preserve"> véase </w:t>
      </w:r>
      <w:hyperlink w:anchor="DESCRIPTORALFABETICO386" w:history="1">
        <w:r w:rsidRPr="003104DF">
          <w:rPr>
            <w:rStyle w:val="TextoNormalNegritaCaracter"/>
          </w:rPr>
          <w:t>Requisitos procesales</w:t>
        </w:r>
      </w:hyperlink>
    </w:p>
    <w:p w:rsidR="003104DF" w:rsidRPr="003104DF" w:rsidRDefault="003104DF" w:rsidP="003104DF">
      <w:pPr>
        <w:pStyle w:val="TextoNormalSangraFrancesa"/>
        <w:rPr>
          <w:rStyle w:val="TextoNormalCaracter"/>
        </w:rPr>
      </w:pPr>
      <w:bookmarkStart w:id="996" w:name="DESCRIPTORALFABETICO282"/>
      <w:r w:rsidRPr="003104DF">
        <w:rPr>
          <w:rStyle w:val="TextoNormalNegritaCaracter"/>
        </w:rPr>
        <w:t>Relaciones laborales</w:t>
      </w:r>
      <w:bookmarkEnd w:id="996"/>
      <w:r w:rsidRPr="003104DF">
        <w:rPr>
          <w:rStyle w:val="TextoNormalCaracter"/>
        </w:rPr>
        <w:t xml:space="preserve">, Sentencias </w:t>
      </w:r>
      <w:hyperlink w:anchor="SENTENCIA_1992_2" w:history="1">
        <w:r w:rsidRPr="003104DF">
          <w:rPr>
            <w:rStyle w:val="TextoNormalCaracter"/>
          </w:rPr>
          <w:t>2/1992</w:t>
        </w:r>
      </w:hyperlink>
      <w:r w:rsidRPr="003104DF">
        <w:rPr>
          <w:rStyle w:val="TextoNormalCaracter"/>
        </w:rPr>
        <w:t xml:space="preserve">, ff. 1, 2, 3, 4, 5; </w:t>
      </w:r>
      <w:hyperlink w:anchor="SENTENCIA_1992_28" w:history="1">
        <w:r w:rsidRPr="003104DF">
          <w:rPr>
            <w:rStyle w:val="TextoNormalCaracter"/>
          </w:rPr>
          <w:t>28/1992</w:t>
        </w:r>
      </w:hyperlink>
      <w:r w:rsidRPr="003104DF">
        <w:rPr>
          <w:rStyle w:val="TextoNormalCaracter"/>
        </w:rPr>
        <w:t>, f. 2.</w:t>
      </w:r>
    </w:p>
    <w:p w:rsidR="003104DF" w:rsidRPr="003104DF" w:rsidRDefault="003104DF" w:rsidP="003104DF">
      <w:pPr>
        <w:pStyle w:val="TextoNormalSangraFrancesa"/>
        <w:rPr>
          <w:rStyle w:val="TextoNormalCaracter"/>
        </w:rPr>
      </w:pPr>
      <w:bookmarkStart w:id="997" w:name="DESCRIPTORALFABETICO104"/>
      <w:r w:rsidRPr="003104DF">
        <w:rPr>
          <w:rStyle w:val="TextoNormalNegritaCaracter"/>
        </w:rPr>
        <w:t>Relevancia pública de la información</w:t>
      </w:r>
      <w:bookmarkEnd w:id="997"/>
      <w:r w:rsidRPr="003104DF">
        <w:rPr>
          <w:rStyle w:val="TextoNormalCaracter"/>
        </w:rPr>
        <w:t xml:space="preserve">, Sentencias </w:t>
      </w:r>
      <w:hyperlink w:anchor="SENTENCIA_1992_20" w:history="1">
        <w:r w:rsidRPr="003104DF">
          <w:rPr>
            <w:rStyle w:val="TextoNormalCaracter"/>
          </w:rPr>
          <w:t>20/1992</w:t>
        </w:r>
      </w:hyperlink>
      <w:r w:rsidRPr="003104DF">
        <w:rPr>
          <w:rStyle w:val="TextoNormalCaracter"/>
        </w:rPr>
        <w:t xml:space="preserve">, f. 3; </w:t>
      </w:r>
      <w:hyperlink w:anchor="SENTENCIA_1992_40" w:history="1">
        <w:r w:rsidRPr="003104DF">
          <w:rPr>
            <w:rStyle w:val="TextoNormalCaracter"/>
          </w:rPr>
          <w:t>40/1992</w:t>
        </w:r>
      </w:hyperlink>
      <w:r w:rsidRPr="003104DF">
        <w:rPr>
          <w:rStyle w:val="TextoNormalCaracter"/>
        </w:rPr>
        <w:t>, f. 3.</w:t>
      </w:r>
    </w:p>
    <w:p w:rsidR="003104DF" w:rsidRPr="003104DF" w:rsidRDefault="003104DF" w:rsidP="003104DF">
      <w:pPr>
        <w:pStyle w:val="TextoNormalSangraFrancesa"/>
        <w:rPr>
          <w:rStyle w:val="TextoNormalCaracter"/>
        </w:rPr>
      </w:pPr>
      <w:bookmarkStart w:id="998" w:name="DESCRIPTORALFABETICO84"/>
      <w:r w:rsidRPr="003104DF">
        <w:rPr>
          <w:rStyle w:val="TextoNormalNegritaCaracter"/>
        </w:rPr>
        <w:t>Renuncia al derecho a la asistencia letrada</w:t>
      </w:r>
      <w:bookmarkEnd w:id="998"/>
      <w:r w:rsidRPr="003104DF">
        <w:rPr>
          <w:rStyle w:val="TextoNormalCaracter"/>
        </w:rPr>
        <w:t xml:space="preserve">, Auto </w:t>
      </w:r>
      <w:hyperlink w:anchor="AUTO_1992_16" w:history="1">
        <w:r w:rsidRPr="003104DF">
          <w:rPr>
            <w:rStyle w:val="TextoNormalCaracter"/>
          </w:rPr>
          <w:t>16/1992</w:t>
        </w:r>
      </w:hyperlink>
      <w:r w:rsidRPr="003104DF">
        <w:rPr>
          <w:rStyle w:val="TextoNormalCaracter"/>
        </w:rPr>
        <w:t>.</w:t>
      </w:r>
    </w:p>
    <w:p w:rsidR="003104DF" w:rsidRPr="003104DF" w:rsidRDefault="003104DF" w:rsidP="003104DF">
      <w:pPr>
        <w:pStyle w:val="TextoNormalSangraFrancesa"/>
        <w:rPr>
          <w:rStyle w:val="TextoNormalCaracter"/>
        </w:rPr>
      </w:pPr>
      <w:bookmarkStart w:id="999" w:name="DESCRIPTORALFABETICO265"/>
      <w:r w:rsidRPr="003104DF">
        <w:rPr>
          <w:rStyle w:val="TextoNormalNegritaCaracter"/>
        </w:rPr>
        <w:t>Renuncia del ofendido</w:t>
      </w:r>
      <w:bookmarkEnd w:id="999"/>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00" w:name="DESCRIPTORALFABETICO169"/>
      <w:r w:rsidRPr="003104DF">
        <w:rPr>
          <w:rStyle w:val="TextoNormalNegritaCaracter"/>
        </w:rPr>
        <w:t>Reparto de asuntos</w:t>
      </w:r>
      <w:bookmarkEnd w:id="1000"/>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01" w:name="DESCRIPTORALFABETICO190"/>
      <w:r w:rsidRPr="003104DF">
        <w:rPr>
          <w:rStyle w:val="TextoNormalNegritaCaracter"/>
        </w:rPr>
        <w:t>Representación política</w:t>
      </w:r>
      <w:bookmarkEnd w:id="1001"/>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02" w:name="DESCRIPTORALFABETICO191"/>
      <w:r w:rsidRPr="003104DF">
        <w:rPr>
          <w:rStyle w:val="TextoNormalNegritaCaracter"/>
        </w:rPr>
        <w:t>Representación proporcional</w:t>
      </w:r>
      <w:bookmarkEnd w:id="1002"/>
      <w:r w:rsidRPr="003104DF">
        <w:rPr>
          <w:rStyle w:val="TextoNormalCaracter"/>
        </w:rPr>
        <w:t xml:space="preserve">, Sentencias </w:t>
      </w:r>
      <w:hyperlink w:anchor="SENTENCIA_1992_4" w:history="1">
        <w:r w:rsidRPr="003104DF">
          <w:rPr>
            <w:rStyle w:val="TextoNormalCaracter"/>
          </w:rPr>
          <w:t>4/1992</w:t>
        </w:r>
      </w:hyperlink>
      <w:r w:rsidRPr="003104DF">
        <w:rPr>
          <w:rStyle w:val="TextoNormalCaracter"/>
        </w:rPr>
        <w:t xml:space="preserve">, ff. 2, 3; </w:t>
      </w:r>
      <w:hyperlink w:anchor="SENTENCIA_1992_45" w:history="1">
        <w:r w:rsidRPr="003104DF">
          <w:rPr>
            <w:rStyle w:val="TextoNormalCaracter"/>
          </w:rPr>
          <w:t>45/1992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4" w:history="1">
        <w:r w:rsidRPr="003104DF">
          <w:rPr>
            <w:rStyle w:val="TextoNormalCaracter"/>
          </w:rPr>
          <w:t>4/1992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03" w:name="DESCRIPTORALFABETICO388"/>
      <w:r w:rsidRPr="003104DF">
        <w:rPr>
          <w:rStyle w:val="TextoNormalNegritaCaracter"/>
        </w:rPr>
        <w:t>Requisitos formales</w:t>
      </w:r>
      <w:bookmarkEnd w:id="1003"/>
      <w:r w:rsidRPr="003104DF">
        <w:rPr>
          <w:rStyle w:val="TextoNormalCaracter"/>
        </w:rPr>
        <w:t xml:space="preserve">, Auto </w:t>
      </w:r>
      <w:hyperlink w:anchor="AUTO_1992_62" w:history="1">
        <w:r w:rsidRPr="003104DF">
          <w:rPr>
            <w:rStyle w:val="TextoNormalCaracter"/>
          </w:rPr>
          <w:t>62/1992</w:t>
        </w:r>
      </w:hyperlink>
      <w:r w:rsidRPr="003104DF">
        <w:rPr>
          <w:rStyle w:val="TextoNormalCaracter"/>
        </w:rPr>
        <w:t>.</w:t>
      </w:r>
    </w:p>
    <w:p w:rsidR="003104DF" w:rsidRPr="003104DF" w:rsidRDefault="003104DF" w:rsidP="003104DF">
      <w:pPr>
        <w:pStyle w:val="TextoNormalSangraFrancesa"/>
        <w:rPr>
          <w:rStyle w:val="TextoNormalCaracter"/>
        </w:rPr>
      </w:pPr>
      <w:bookmarkStart w:id="1004" w:name="DESCRIPTORALFABETICO386"/>
      <w:r w:rsidRPr="003104DF">
        <w:rPr>
          <w:rStyle w:val="TextoNormalNegritaCaracter"/>
        </w:rPr>
        <w:t>Requisitos procesales</w:t>
      </w:r>
      <w:bookmarkEnd w:id="1004"/>
      <w:r w:rsidRPr="003104DF">
        <w:rPr>
          <w:rStyle w:val="TextoNormalCaracter"/>
        </w:rPr>
        <w:t xml:space="preserve">, Sentencias </w:t>
      </w:r>
      <w:hyperlink w:anchor="SENTENCIA_1992_1" w:history="1">
        <w:r w:rsidRPr="003104DF">
          <w:rPr>
            <w:rStyle w:val="TextoNormalCaracter"/>
          </w:rPr>
          <w:t>1/1992</w:t>
        </w:r>
      </w:hyperlink>
      <w:r w:rsidRPr="003104DF">
        <w:rPr>
          <w:rStyle w:val="TextoNormalCaracter"/>
        </w:rPr>
        <w:t xml:space="preserve">, f. 4; </w:t>
      </w:r>
      <w:hyperlink w:anchor="SENTENCIA_1992_9" w:history="1">
        <w:r w:rsidRPr="003104DF">
          <w:rPr>
            <w:rStyle w:val="TextoNormalCaracter"/>
          </w:rPr>
          <w:t>9/1992</w:t>
        </w:r>
      </w:hyperlink>
      <w:r w:rsidRPr="003104DF">
        <w:rPr>
          <w:rStyle w:val="TextoNormalCaracter"/>
        </w:rPr>
        <w:t xml:space="preserve">, ff. 2, 3; </w:t>
      </w:r>
      <w:hyperlink w:anchor="SENTENCIA_1992_16" w:history="1">
        <w:r w:rsidRPr="003104DF">
          <w:rPr>
            <w:rStyle w:val="TextoNormalCaracter"/>
          </w:rPr>
          <w:t>16/1992</w:t>
        </w:r>
      </w:hyperlink>
      <w:r w:rsidRPr="003104DF">
        <w:rPr>
          <w:rStyle w:val="TextoNormalCaracter"/>
        </w:rPr>
        <w:t xml:space="preserve">, f. 4; </w:t>
      </w:r>
      <w:hyperlink w:anchor="SENTENCIA_1992_23" w:history="1">
        <w:r w:rsidRPr="003104DF">
          <w:rPr>
            <w:rStyle w:val="TextoNormalCaracter"/>
          </w:rPr>
          <w:t>23/1992</w:t>
        </w:r>
      </w:hyperlink>
      <w:r w:rsidRPr="003104DF">
        <w:rPr>
          <w:rStyle w:val="TextoNormalCaracter"/>
        </w:rPr>
        <w:t xml:space="preserve">, f. 3; </w:t>
      </w:r>
      <w:hyperlink w:anchor="SENTENCIA_1992_31" w:history="1">
        <w:r w:rsidRPr="003104DF">
          <w:rPr>
            <w:rStyle w:val="TextoNormalCaracter"/>
          </w:rPr>
          <w:t>31/1992</w:t>
        </w:r>
      </w:hyperlink>
      <w:r w:rsidRPr="003104DF">
        <w:rPr>
          <w:rStyle w:val="TextoNormalCaracter"/>
        </w:rPr>
        <w:t xml:space="preserve">, f. 4; </w:t>
      </w:r>
      <w:hyperlink w:anchor="SENTENCIA_1992_64" w:history="1">
        <w:r w:rsidRPr="003104DF">
          <w:rPr>
            <w:rStyle w:val="TextoNormalCaracter"/>
          </w:rPr>
          <w:t>64/1992</w:t>
        </w:r>
      </w:hyperlink>
      <w:r w:rsidRPr="003104DF">
        <w:rPr>
          <w:rStyle w:val="TextoNormalCaracter"/>
        </w:rPr>
        <w:t xml:space="preserve">, f. 4; </w:t>
      </w:r>
      <w:hyperlink w:anchor="SENTENCIA_1992_66" w:history="1">
        <w:r w:rsidRPr="003104DF">
          <w:rPr>
            <w:rStyle w:val="TextoNormalCaracter"/>
          </w:rPr>
          <w:t>66/1992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ursivaCaracter"/>
        </w:rPr>
        <w:t xml:space="preserve">    Concepto, </w:t>
      </w:r>
      <w:r w:rsidRPr="003104DF">
        <w:rPr>
          <w:rStyle w:val="TextoNormalCaracter"/>
        </w:rPr>
        <w:t xml:space="preserve">Sentencias </w:t>
      </w:r>
      <w:hyperlink w:anchor="SENTENCIA_1992_12" w:history="1">
        <w:r w:rsidRPr="003104DF">
          <w:rPr>
            <w:rStyle w:val="TextoNormalCaracter"/>
          </w:rPr>
          <w:t>12/1992</w:t>
        </w:r>
      </w:hyperlink>
      <w:r w:rsidRPr="003104DF">
        <w:rPr>
          <w:rStyle w:val="TextoNormalCaracter"/>
        </w:rPr>
        <w:t xml:space="preserve">, f. 6; </w:t>
      </w:r>
      <w:hyperlink w:anchor="SENTENCIA_1992_51" w:history="1">
        <w:r w:rsidRPr="003104DF">
          <w:rPr>
            <w:rStyle w:val="TextoNormalCaracter"/>
          </w:rPr>
          <w:t>51/1992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64" w:history="1">
        <w:r w:rsidRPr="003104DF">
          <w:rPr>
            <w:rStyle w:val="TextoNormalCaracter"/>
          </w:rPr>
          <w:t>64/1992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05" w:name="DESCRIPTORALFABETICO179"/>
      <w:r w:rsidRPr="003104DF">
        <w:rPr>
          <w:rStyle w:val="TextoNormalNegritaCaracter"/>
        </w:rPr>
        <w:t>Resolución de la Presidencia de la Asamblea</w:t>
      </w:r>
      <w:bookmarkEnd w:id="1005"/>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06" w:name="DESCRIPTORALFABETICO69"/>
      <w:r w:rsidRPr="003104DF">
        <w:rPr>
          <w:rStyle w:val="TextoNormalNegritaCaracter"/>
        </w:rPr>
        <w:t>Resolución fundada en Derecho</w:t>
      </w:r>
      <w:bookmarkEnd w:id="1006"/>
      <w:r w:rsidRPr="003104DF">
        <w:rPr>
          <w:rStyle w:val="TextoNormalCaracter"/>
        </w:rPr>
        <w:t xml:space="preserve">, Autos </w:t>
      </w:r>
      <w:hyperlink w:anchor="AUTO_1992_61" w:history="1">
        <w:r w:rsidRPr="003104DF">
          <w:rPr>
            <w:rStyle w:val="TextoNormalCaracter"/>
          </w:rPr>
          <w:t>61/1992</w:t>
        </w:r>
      </w:hyperlink>
      <w:r w:rsidRPr="003104DF">
        <w:rPr>
          <w:rStyle w:val="TextoNormalCaracter"/>
        </w:rPr>
        <w:t xml:space="preserve">; </w:t>
      </w:r>
      <w:hyperlink w:anchor="AUTO_1992_105" w:history="1">
        <w:r w:rsidRPr="003104DF">
          <w:rPr>
            <w:rStyle w:val="TextoNormalCaracter"/>
          </w:rPr>
          <w:t>105/1992</w:t>
        </w:r>
      </w:hyperlink>
      <w:r w:rsidRPr="003104DF">
        <w:rPr>
          <w:rStyle w:val="TextoNormalCaracter"/>
        </w:rPr>
        <w:t>.</w:t>
      </w:r>
    </w:p>
    <w:p w:rsidR="003104DF" w:rsidRPr="003104DF" w:rsidRDefault="003104DF" w:rsidP="003104DF">
      <w:pPr>
        <w:pStyle w:val="TextoNormalSangraFrancesa"/>
        <w:rPr>
          <w:rStyle w:val="TextoNormalCaracter"/>
        </w:rPr>
      </w:pPr>
      <w:bookmarkStart w:id="1007" w:name="DESCRIPTORALFABETICO150"/>
      <w:r w:rsidRPr="003104DF">
        <w:rPr>
          <w:rStyle w:val="TextoNormalNegritaCaracter"/>
        </w:rPr>
        <w:t>Resoluciones judiciales contradictorias</w:t>
      </w:r>
      <w:bookmarkEnd w:id="1007"/>
      <w:r w:rsidRPr="003104DF">
        <w:rPr>
          <w:rStyle w:val="TextoNormalCaracter"/>
        </w:rPr>
        <w:t xml:space="preserve">, Autos </w:t>
      </w:r>
      <w:hyperlink w:anchor="AUTO_1992_61" w:history="1">
        <w:r w:rsidRPr="003104DF">
          <w:rPr>
            <w:rStyle w:val="TextoNormalCaracter"/>
          </w:rPr>
          <w:t>61/1992</w:t>
        </w:r>
      </w:hyperlink>
      <w:r w:rsidRPr="003104DF">
        <w:rPr>
          <w:rStyle w:val="TextoNormalCaracter"/>
        </w:rPr>
        <w:t xml:space="preserve">; </w:t>
      </w:r>
      <w:hyperlink w:anchor="AUTO_1992_105" w:history="1">
        <w:r w:rsidRPr="003104DF">
          <w:rPr>
            <w:rStyle w:val="TextoNormalCaracter"/>
          </w:rPr>
          <w:t>105/1992</w:t>
        </w:r>
      </w:hyperlink>
      <w:r w:rsidRPr="003104DF">
        <w:rPr>
          <w:rStyle w:val="TextoNormalCaracter"/>
        </w:rPr>
        <w:t>.</w:t>
      </w:r>
    </w:p>
    <w:p w:rsidR="003104DF" w:rsidRPr="003104DF" w:rsidRDefault="003104DF" w:rsidP="003104DF">
      <w:pPr>
        <w:pStyle w:val="TextoNormalSangraFrancesa"/>
        <w:rPr>
          <w:rStyle w:val="TextoNormalCaracter"/>
        </w:rPr>
      </w:pPr>
      <w:bookmarkStart w:id="1008" w:name="DESCRIPTORALFABETICO266"/>
      <w:r w:rsidRPr="003104DF">
        <w:rPr>
          <w:rStyle w:val="TextoNormalNegritaCaracter"/>
        </w:rPr>
        <w:t>Responsabilidad civil independiente de la penal</w:t>
      </w:r>
      <w:bookmarkEnd w:id="1008"/>
      <w:r w:rsidRPr="003104DF">
        <w:rPr>
          <w:rStyle w:val="TextoNormalCaracter"/>
        </w:rPr>
        <w:t xml:space="preserve">, Sentencia </w:t>
      </w:r>
      <w:hyperlink w:anchor="SENTENCIA_1992_33" w:history="1">
        <w:r w:rsidRPr="003104DF">
          <w:rPr>
            <w:rStyle w:val="TextoNormalCaracter"/>
          </w:rPr>
          <w:t>33/1992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09" w:name="DESCRIPTORALFABETICO222"/>
      <w:r w:rsidRPr="003104DF">
        <w:rPr>
          <w:rStyle w:val="TextoNormalNegritaCaracter"/>
        </w:rPr>
        <w:t>Retracto de comuneros</w:t>
      </w:r>
      <w:bookmarkEnd w:id="1009"/>
      <w:r w:rsidRPr="003104DF">
        <w:rPr>
          <w:rStyle w:val="TextoNormalCaracter"/>
        </w:rPr>
        <w:t xml:space="preserve">, Sentencia </w:t>
      </w:r>
      <w:hyperlink w:anchor="SENTENCIA_1992_12" w:history="1">
        <w:r w:rsidRPr="003104DF">
          <w:rPr>
            <w:rStyle w:val="TextoNormalCaracter"/>
          </w:rPr>
          <w:t>12/1992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10" w:name="DESCRIPTORALFABETICO241"/>
      <w:r w:rsidRPr="003104DF">
        <w:rPr>
          <w:rStyle w:val="TextoNormalNegritaCaracter"/>
        </w:rPr>
        <w:t>Retribuciones de empleados públicos</w:t>
      </w:r>
      <w:bookmarkEnd w:id="1010"/>
      <w:r w:rsidRPr="003104DF">
        <w:rPr>
          <w:rStyle w:val="TextoNormalCaracter"/>
        </w:rPr>
        <w:t xml:space="preserve">, Sentencia </w:t>
      </w:r>
      <w:hyperlink w:anchor="SENTENCIA_1992_48" w:history="1">
        <w:r w:rsidRPr="003104DF">
          <w:rPr>
            <w:rStyle w:val="TextoNormalCaracter"/>
          </w:rPr>
          <w:t>48/1992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4" w:history="1">
        <w:r w:rsidRPr="003104DF">
          <w:rPr>
            <w:rStyle w:val="TextoNormalCaracter"/>
          </w:rPr>
          <w:t>54/1992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t>Retribuciones de personal</w:t>
      </w:r>
      <w:r>
        <w:t xml:space="preserve"> véase </w:t>
      </w:r>
      <w:hyperlink w:anchor="DESCRIPTORALFABETICO241" w:history="1">
        <w:r w:rsidRPr="003104DF">
          <w:rPr>
            <w:rStyle w:val="TextoNormalNegritaCaracter"/>
          </w:rPr>
          <w:t>Retribuciones de empleados públicos</w:t>
        </w:r>
      </w:hyperlink>
    </w:p>
    <w:p w:rsidR="003104DF" w:rsidRPr="003104DF" w:rsidRDefault="003104DF" w:rsidP="003104DF">
      <w:pPr>
        <w:pStyle w:val="TextoNormalSangraFrancesa"/>
        <w:rPr>
          <w:rStyle w:val="TextoNormalNegritaCaracter"/>
        </w:rPr>
      </w:pPr>
      <w:r w:rsidRPr="003104DF">
        <w:rPr>
          <w:rStyle w:val="TextoNormalCursivaCaracter"/>
        </w:rPr>
        <w:t>Retribuciones en el sector público</w:t>
      </w:r>
      <w:r>
        <w:t xml:space="preserve"> véase </w:t>
      </w:r>
      <w:hyperlink w:anchor="DESCRIPTORALFABETICO241" w:history="1">
        <w:r w:rsidRPr="003104DF">
          <w:rPr>
            <w:rStyle w:val="TextoNormalNegritaCaracter"/>
          </w:rPr>
          <w:t>Retribuciones de empleados públicos</w:t>
        </w:r>
      </w:hyperlink>
    </w:p>
    <w:p w:rsidR="003104DF" w:rsidRPr="003104DF" w:rsidRDefault="003104DF" w:rsidP="003104DF">
      <w:pPr>
        <w:pStyle w:val="TextoNormalSangraFrancesa"/>
        <w:rPr>
          <w:rStyle w:val="TextoNormalCaracter"/>
        </w:rPr>
      </w:pPr>
      <w:bookmarkStart w:id="1011" w:name="DESCRIPTORALFABETICO254"/>
      <w:r w:rsidRPr="003104DF">
        <w:rPr>
          <w:rStyle w:val="TextoNormalNegritaCaracter"/>
        </w:rPr>
        <w:t>Retroactividad de las normas jurídicas</w:t>
      </w:r>
      <w:bookmarkEnd w:id="1011"/>
      <w:r w:rsidRPr="003104DF">
        <w:rPr>
          <w:rStyle w:val="TextoNormalCaracter"/>
        </w:rPr>
        <w:t xml:space="preserve">, </w:t>
      </w:r>
    </w:p>
    <w:p w:rsidR="003104DF" w:rsidRPr="003104DF" w:rsidRDefault="003104DF" w:rsidP="003104DF">
      <w:pPr>
        <w:pStyle w:val="TextoNormalSangraFrancesa"/>
        <w:rPr>
          <w:rStyle w:val="TextoNormalCaracter"/>
        </w:rPr>
      </w:pPr>
      <w:r w:rsidRPr="003104DF">
        <w:rPr>
          <w:rStyle w:val="TextoNormalCursivaCaracter"/>
        </w:rPr>
        <w:t xml:space="preserve">    Límites, </w:t>
      </w:r>
      <w:r w:rsidRPr="003104DF">
        <w:rPr>
          <w:rStyle w:val="TextoNormalCaracter"/>
        </w:rPr>
        <w:t xml:space="preserve">Sentencia </w:t>
      </w:r>
      <w:hyperlink w:anchor="SENTENCIA_1992_5" w:history="1">
        <w:r w:rsidRPr="003104DF">
          <w:rPr>
            <w:rStyle w:val="TextoNormalCaracter"/>
          </w:rPr>
          <w:t>5/1992</w:t>
        </w:r>
      </w:hyperlink>
      <w:r w:rsidRPr="003104DF">
        <w:rPr>
          <w:rStyle w:val="TextoNormalCaracter"/>
        </w:rPr>
        <w:t>, f. 7.</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S</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1012" w:name="DESCRIPTORALFABETICO268"/>
      <w:r w:rsidRPr="003104DF">
        <w:rPr>
          <w:rStyle w:val="TextoNormalNegritaCaracter"/>
        </w:rPr>
        <w:t>Seguridad Social</w:t>
      </w:r>
      <w:bookmarkEnd w:id="1012"/>
      <w:r w:rsidRPr="003104DF">
        <w:rPr>
          <w:rStyle w:val="TextoNormalCaracter"/>
        </w:rPr>
        <w:t xml:space="preserve">, Sentencias </w:t>
      </w:r>
      <w:hyperlink w:anchor="SENTENCIA_1992_2" w:history="1">
        <w:r w:rsidRPr="003104DF">
          <w:rPr>
            <w:rStyle w:val="TextoNormalCaracter"/>
          </w:rPr>
          <w:t>2/1992</w:t>
        </w:r>
      </w:hyperlink>
      <w:r w:rsidRPr="003104DF">
        <w:rPr>
          <w:rStyle w:val="TextoNormalCaracter"/>
        </w:rPr>
        <w:t xml:space="preserve">, f. 3; </w:t>
      </w:r>
      <w:hyperlink w:anchor="SENTENCIA_1992_39" w:history="1">
        <w:r w:rsidRPr="003104DF">
          <w:rPr>
            <w:rStyle w:val="TextoNormalCaracter"/>
          </w:rPr>
          <w:t>39/1992</w:t>
        </w:r>
      </w:hyperlink>
      <w:r w:rsidRPr="003104DF">
        <w:rPr>
          <w:rStyle w:val="TextoNormalCaracter"/>
        </w:rPr>
        <w:t xml:space="preserve">, ff. 6, 7, 8;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Régimen jurídico, </w:t>
      </w:r>
      <w:r w:rsidRPr="003104DF">
        <w:rPr>
          <w:rStyle w:val="TextoNormalCaracter"/>
        </w:rPr>
        <w:t xml:space="preserve">Sentencia </w:t>
      </w:r>
      <w:hyperlink w:anchor="SENTENCIA_1992_39" w:history="1">
        <w:r w:rsidRPr="003104DF">
          <w:rPr>
            <w:rStyle w:val="TextoNormalCaracter"/>
          </w:rPr>
          <w:t>39/1992</w:t>
        </w:r>
      </w:hyperlink>
      <w:r w:rsidRPr="003104DF">
        <w:rPr>
          <w:rStyle w:val="TextoNormalCaracter"/>
        </w:rPr>
        <w:t>, f. 9.</w:t>
      </w:r>
    </w:p>
    <w:p w:rsidR="003104DF" w:rsidRPr="003104DF" w:rsidRDefault="003104DF" w:rsidP="003104DF">
      <w:pPr>
        <w:pStyle w:val="TextoNormalSangraFrancesa"/>
        <w:rPr>
          <w:rStyle w:val="TextoNormalCaracter"/>
        </w:rPr>
      </w:pPr>
      <w:bookmarkStart w:id="1013" w:name="DESCRIPTORALFABETICO274"/>
      <w:r w:rsidRPr="003104DF">
        <w:rPr>
          <w:rStyle w:val="TextoNormalNegritaCaracter"/>
        </w:rPr>
        <w:lastRenderedPageBreak/>
        <w:t>Seguros</w:t>
      </w:r>
      <w:bookmarkEnd w:id="1013"/>
      <w:r w:rsidRPr="003104DF">
        <w:rPr>
          <w:rStyle w:val="TextoNormalCaracter"/>
        </w:rPr>
        <w:t xml:space="preserve">, Sentencias </w:t>
      </w:r>
      <w:hyperlink w:anchor="SENTENCIA_1992_35" w:history="1">
        <w:r w:rsidRPr="003104DF">
          <w:rPr>
            <w:rStyle w:val="TextoNormalCaracter"/>
          </w:rPr>
          <w:t>35/1992</w:t>
        </w:r>
      </w:hyperlink>
      <w:r w:rsidRPr="003104DF">
        <w:rPr>
          <w:rStyle w:val="TextoNormalCaracter"/>
        </w:rPr>
        <w:t xml:space="preserve">, ff. 2, 3; </w:t>
      </w:r>
      <w:hyperlink w:anchor="SENTENCIA_1992_36" w:history="1">
        <w:r w:rsidRPr="003104DF">
          <w:rPr>
            <w:rStyle w:val="TextoNormalCaracter"/>
          </w:rPr>
          <w:t>36/1992</w:t>
        </w:r>
      </w:hyperlink>
      <w:r w:rsidRPr="003104DF">
        <w:rPr>
          <w:rStyle w:val="TextoNormalCaracter"/>
        </w:rPr>
        <w:t>, ff. 1, 2, 3, 4.</w:t>
      </w:r>
    </w:p>
    <w:p w:rsidR="003104DF" w:rsidRPr="003104DF" w:rsidRDefault="003104DF" w:rsidP="003104DF">
      <w:pPr>
        <w:pStyle w:val="TextoNormalSangraFrancesa"/>
        <w:rPr>
          <w:rStyle w:val="TextoNormalCaracter"/>
        </w:rPr>
      </w:pPr>
      <w:r w:rsidRPr="003104DF">
        <w:rPr>
          <w:rStyle w:val="TextoNormalCursivaCaracter"/>
        </w:rPr>
        <w:t xml:space="preserve">    Régimen jurídico, </w:t>
      </w:r>
      <w:r w:rsidRPr="003104DF">
        <w:rPr>
          <w:rStyle w:val="TextoNormalCaracter"/>
        </w:rPr>
        <w:t xml:space="preserve">Sentencia </w:t>
      </w:r>
      <w:hyperlink w:anchor="SENTENCIA_1992_35" w:history="1">
        <w:r w:rsidRPr="003104DF">
          <w:rPr>
            <w:rStyle w:val="TextoNormalCaracter"/>
          </w:rPr>
          <w:t>35/1992</w:t>
        </w:r>
      </w:hyperlink>
      <w:r w:rsidRPr="003104DF">
        <w:rPr>
          <w:rStyle w:val="TextoNormalCaracter"/>
        </w:rPr>
        <w:t>, ff. 1, 2, 3, 4, 5, 6, 7, 8, 9, 10, 11, 12, 13, 14.</w:t>
      </w:r>
    </w:p>
    <w:p w:rsidR="003104DF" w:rsidRPr="003104DF" w:rsidRDefault="003104DF" w:rsidP="003104DF">
      <w:pPr>
        <w:pStyle w:val="TextoNormalSangraFrancesa"/>
        <w:rPr>
          <w:rStyle w:val="TextoNormalNegritaCaracter"/>
        </w:rPr>
      </w:pPr>
      <w:r w:rsidRPr="003104DF">
        <w:rPr>
          <w:rStyle w:val="TextoNormalCursivaCaracter"/>
        </w:rPr>
        <w:t>Seguros privados</w:t>
      </w:r>
      <w:r>
        <w:t xml:space="preserve"> véase </w:t>
      </w:r>
      <w:hyperlink w:anchor="DESCRIPTORALFABETICO274" w:history="1">
        <w:r w:rsidRPr="003104DF">
          <w:rPr>
            <w:rStyle w:val="TextoNormalNegritaCaracter"/>
          </w:rPr>
          <w:t>Seguros</w:t>
        </w:r>
      </w:hyperlink>
    </w:p>
    <w:p w:rsidR="003104DF" w:rsidRPr="003104DF" w:rsidRDefault="003104DF" w:rsidP="003104DF">
      <w:pPr>
        <w:pStyle w:val="TextoNormalSangraFrancesa"/>
        <w:rPr>
          <w:rStyle w:val="TextoNormalCaracter"/>
        </w:rPr>
      </w:pPr>
      <w:bookmarkStart w:id="1014" w:name="DESCRIPTORALFABETICO187"/>
      <w:r w:rsidRPr="003104DF">
        <w:rPr>
          <w:rStyle w:val="TextoNormalNegritaCaracter"/>
        </w:rPr>
        <w:t>Senadores</w:t>
      </w:r>
      <w:bookmarkEnd w:id="1014"/>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15" w:name="DESCRIPTORALFABETICO188"/>
      <w:r w:rsidRPr="003104DF">
        <w:rPr>
          <w:rStyle w:val="TextoNormalNegritaCaracter"/>
        </w:rPr>
        <w:t>Senadores autonómicos</w:t>
      </w:r>
      <w:bookmarkEnd w:id="1015"/>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ff. 1, 2, 3, 4, 5.</w:t>
      </w:r>
    </w:p>
    <w:p w:rsidR="003104DF" w:rsidRPr="003104DF" w:rsidRDefault="003104DF" w:rsidP="003104DF">
      <w:pPr>
        <w:pStyle w:val="TextoNormalSangraFrancesa"/>
        <w:rPr>
          <w:rStyle w:val="TextoNormalNegritaCaracter"/>
        </w:rPr>
      </w:pPr>
      <w:r w:rsidRPr="003104DF">
        <w:rPr>
          <w:rStyle w:val="TextoNormalCursivaCaracter"/>
        </w:rPr>
        <w:t>Senadores representantes de las Comunidades Autónomas</w:t>
      </w:r>
      <w:r>
        <w:t xml:space="preserve"> véase </w:t>
      </w:r>
      <w:hyperlink w:anchor="DESCRIPTORALFABETICO188" w:history="1">
        <w:r w:rsidRPr="003104DF">
          <w:rPr>
            <w:rStyle w:val="TextoNormalNegritaCaracter"/>
          </w:rPr>
          <w:t>Senadores autonómicos</w:t>
        </w:r>
      </w:hyperlink>
    </w:p>
    <w:p w:rsidR="003104DF" w:rsidRPr="003104DF" w:rsidRDefault="003104DF" w:rsidP="003104DF">
      <w:pPr>
        <w:pStyle w:val="TextoNormalSangraFrancesa"/>
        <w:rPr>
          <w:rStyle w:val="TextoNormalCaracter"/>
        </w:rPr>
      </w:pPr>
      <w:bookmarkStart w:id="1016" w:name="DESCRIPTORALFABETICO70"/>
      <w:r w:rsidRPr="003104DF">
        <w:rPr>
          <w:rStyle w:val="TextoNormalNegritaCaracter"/>
        </w:rPr>
        <w:t>Sentencia fundada en Derecho</w:t>
      </w:r>
      <w:bookmarkEnd w:id="1016"/>
      <w:r w:rsidRPr="003104DF">
        <w:rPr>
          <w:rStyle w:val="TextoNormalCaracter"/>
        </w:rPr>
        <w:t xml:space="preserve">, Auto </w:t>
      </w:r>
      <w:hyperlink w:anchor="AUTO_1992_40" w:history="1">
        <w:r w:rsidRPr="003104DF">
          <w:rPr>
            <w:rStyle w:val="TextoNormalCaracter"/>
          </w:rPr>
          <w:t>40/1992</w:t>
        </w:r>
      </w:hyperlink>
      <w:r w:rsidRPr="003104DF">
        <w:rPr>
          <w:rStyle w:val="TextoNormalCaracter"/>
        </w:rPr>
        <w:t>.</w:t>
      </w:r>
    </w:p>
    <w:p w:rsidR="003104DF" w:rsidRPr="003104DF" w:rsidRDefault="003104DF" w:rsidP="003104DF">
      <w:pPr>
        <w:pStyle w:val="TextoNormalSangraFrancesa"/>
        <w:rPr>
          <w:rStyle w:val="TextoNormalCaracter"/>
        </w:rPr>
      </w:pPr>
      <w:r w:rsidRPr="003104DF">
        <w:rPr>
          <w:rStyle w:val="TextoNormalCursivaCaracter"/>
        </w:rPr>
        <w:t xml:space="preserve">    Respetado, </w:t>
      </w:r>
      <w:r w:rsidRPr="003104DF">
        <w:rPr>
          <w:rStyle w:val="TextoNormalCaracter"/>
        </w:rPr>
        <w:t xml:space="preserve">Autos </w:t>
      </w:r>
      <w:hyperlink w:anchor="AUTO_1992_92" w:history="1">
        <w:r w:rsidRPr="003104DF">
          <w:rPr>
            <w:rStyle w:val="TextoNormalCaracter"/>
          </w:rPr>
          <w:t>92/1992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w:t>
      </w:r>
    </w:p>
    <w:p w:rsidR="003104DF" w:rsidRPr="003104DF" w:rsidRDefault="003104DF" w:rsidP="003104DF">
      <w:pPr>
        <w:pStyle w:val="TextoNormalSangraFrancesa"/>
        <w:rPr>
          <w:rStyle w:val="TextoNormalCaracter"/>
        </w:rPr>
      </w:pPr>
      <w:bookmarkStart w:id="1017" w:name="DESCRIPTORALFABETICO156"/>
      <w:r w:rsidRPr="003104DF">
        <w:rPr>
          <w:rStyle w:val="TextoNormalNegritaCaracter"/>
        </w:rPr>
        <w:t>Sentencias del Tribunal Constitucional</w:t>
      </w:r>
      <w:bookmarkEnd w:id="1017"/>
      <w:r w:rsidRPr="003104DF">
        <w:rPr>
          <w:rStyle w:val="TextoNormalCaracter"/>
        </w:rPr>
        <w:t xml:space="preserve">, Auto </w:t>
      </w:r>
      <w:hyperlink w:anchor="AUTO_1992_98" w:history="1">
        <w:r w:rsidRPr="003104DF">
          <w:rPr>
            <w:rStyle w:val="TextoNormalCaracter"/>
          </w:rPr>
          <w:t>98/1992</w:t>
        </w:r>
      </w:hyperlink>
      <w:r w:rsidRPr="003104DF">
        <w:rPr>
          <w:rStyle w:val="TextoNormalCaracter"/>
        </w:rPr>
        <w:t>.</w:t>
      </w:r>
    </w:p>
    <w:p w:rsidR="003104DF" w:rsidRPr="003104DF" w:rsidRDefault="003104DF" w:rsidP="003104DF">
      <w:pPr>
        <w:pStyle w:val="TextoNormalSangraFrancesa"/>
        <w:rPr>
          <w:rStyle w:val="TextoNormalCaracter"/>
        </w:rPr>
      </w:pPr>
      <w:bookmarkStart w:id="1018" w:name="DESCRIPTORALFABETICO211"/>
      <w:r w:rsidRPr="003104DF">
        <w:rPr>
          <w:rStyle w:val="TextoNormalNegritaCaracter"/>
        </w:rPr>
        <w:t>Servicio doméstico</w:t>
      </w:r>
      <w:bookmarkEnd w:id="1018"/>
      <w:r w:rsidRPr="003104DF">
        <w:rPr>
          <w:rStyle w:val="TextoNormalCaracter"/>
        </w:rPr>
        <w:t xml:space="preserve">, Sentencia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Caracter"/>
        </w:rPr>
      </w:pPr>
      <w:bookmarkStart w:id="1019" w:name="DESCRIPTORALFABETICO212"/>
      <w:r w:rsidRPr="003104DF">
        <w:rPr>
          <w:rStyle w:val="TextoNormalNegritaCaracter"/>
        </w:rPr>
        <w:t>Servicio doméstico de parientes</w:t>
      </w:r>
      <w:bookmarkEnd w:id="1019"/>
      <w:r w:rsidRPr="003104DF">
        <w:rPr>
          <w:rStyle w:val="TextoNormalCaracter"/>
        </w:rPr>
        <w:t xml:space="preserve">, Sentencia </w:t>
      </w:r>
      <w:hyperlink w:anchor="SENTENCIA_1992_59" w:history="1">
        <w:r w:rsidRPr="003104DF">
          <w:rPr>
            <w:rStyle w:val="TextoNormalCaracter"/>
          </w:rPr>
          <w:t>59/1992</w:t>
        </w:r>
      </w:hyperlink>
      <w:r w:rsidRPr="003104DF">
        <w:rPr>
          <w:rStyle w:val="TextoNormalCaracter"/>
        </w:rPr>
        <w:t>, f. 4.</w:t>
      </w:r>
    </w:p>
    <w:p w:rsidR="003104DF" w:rsidRPr="003104DF" w:rsidRDefault="003104DF" w:rsidP="003104DF">
      <w:pPr>
        <w:pStyle w:val="TextoNormalSangraFrancesa"/>
        <w:rPr>
          <w:rStyle w:val="TextoNormalCaracter"/>
        </w:rPr>
      </w:pPr>
      <w:bookmarkStart w:id="1020" w:name="DESCRIPTORALFABETICO283"/>
      <w:r w:rsidRPr="003104DF">
        <w:rPr>
          <w:rStyle w:val="TextoNormalNegritaCaracter"/>
        </w:rPr>
        <w:t>Servicios mínimos</w:t>
      </w:r>
      <w:bookmarkEnd w:id="1020"/>
      <w:r w:rsidRPr="003104DF">
        <w:rPr>
          <w:rStyle w:val="TextoNormalCaracter"/>
        </w:rPr>
        <w:t xml:space="preserve">, Sentencia </w:t>
      </w:r>
      <w:hyperlink w:anchor="SENTENCIA_1992_8" w:history="1">
        <w:r w:rsidRPr="003104DF">
          <w:rPr>
            <w:rStyle w:val="TextoNormalCaracter"/>
          </w:rPr>
          <w:t>8/1992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8" w:history="1">
        <w:r w:rsidRPr="003104DF">
          <w:rPr>
            <w:rStyle w:val="TextoNormalCaracter"/>
          </w:rPr>
          <w:t>8/1992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21" w:name="DESCRIPTORALFABETICO18"/>
      <w:r w:rsidRPr="003104DF">
        <w:rPr>
          <w:rStyle w:val="TextoNormalNegritaCaracter"/>
        </w:rPr>
        <w:t>Sistema de financiación</w:t>
      </w:r>
      <w:bookmarkEnd w:id="1021"/>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2.</w:t>
      </w:r>
    </w:p>
    <w:p w:rsidR="003104DF" w:rsidRPr="003104DF" w:rsidRDefault="003104DF" w:rsidP="003104DF">
      <w:pPr>
        <w:pStyle w:val="TextoNormalSangraFrancesa"/>
        <w:rPr>
          <w:rStyle w:val="TextoNormalCaracter"/>
        </w:rPr>
      </w:pPr>
      <w:bookmarkStart w:id="1022" w:name="DESCRIPTORALFABETICO226"/>
      <w:r w:rsidRPr="003104DF">
        <w:rPr>
          <w:rStyle w:val="TextoNormalNegritaCaracter"/>
        </w:rPr>
        <w:t>Sistema educativo</w:t>
      </w:r>
      <w:bookmarkEnd w:id="1022"/>
      <w:r w:rsidRPr="003104DF">
        <w:rPr>
          <w:rStyle w:val="TextoNormalCaracter"/>
        </w:rPr>
        <w:t xml:space="preserve">, Sentencia </w:t>
      </w:r>
      <w:hyperlink w:anchor="SENTENCIA_1992_38" w:history="1">
        <w:r w:rsidRPr="003104DF">
          <w:rPr>
            <w:rStyle w:val="TextoNormalCaracter"/>
          </w:rPr>
          <w:t>38/1992</w:t>
        </w:r>
      </w:hyperlink>
      <w:r w:rsidRPr="003104DF">
        <w:rPr>
          <w:rStyle w:val="TextoNormalCaracter"/>
        </w:rPr>
        <w:t>, ff. 1, 2, 3, 4, 5, 6, 7.</w:t>
      </w:r>
    </w:p>
    <w:p w:rsidR="003104DF" w:rsidRPr="003104DF" w:rsidRDefault="003104DF" w:rsidP="003104DF">
      <w:pPr>
        <w:pStyle w:val="TextoNormalSangraFrancesa"/>
        <w:rPr>
          <w:rStyle w:val="TextoNormalNegritaCaracter"/>
        </w:rPr>
      </w:pPr>
      <w:r w:rsidRPr="003104DF">
        <w:rPr>
          <w:rStyle w:val="TextoNormalCursivaCaracter"/>
        </w:rPr>
        <w:t>Sistema retributivo</w:t>
      </w:r>
      <w:r>
        <w:t xml:space="preserve"> véase </w:t>
      </w:r>
      <w:hyperlink w:anchor="DESCRIPTORALFABETICO241" w:history="1">
        <w:r w:rsidRPr="003104DF">
          <w:rPr>
            <w:rStyle w:val="TextoNormalNegritaCaracter"/>
          </w:rPr>
          <w:t>Retribuciones de empleados públicos</w:t>
        </w:r>
      </w:hyperlink>
    </w:p>
    <w:p w:rsidR="003104DF" w:rsidRPr="003104DF" w:rsidRDefault="003104DF" w:rsidP="003104DF">
      <w:pPr>
        <w:pStyle w:val="TextoNormalSangraFrancesa"/>
        <w:rPr>
          <w:rStyle w:val="TextoNormalCaracter"/>
        </w:rPr>
      </w:pPr>
      <w:bookmarkStart w:id="1023" w:name="DESCRIPTORALFABETICO326"/>
      <w:r w:rsidRPr="003104DF">
        <w:rPr>
          <w:rStyle w:val="TextoNormalNegritaCaracter"/>
        </w:rPr>
        <w:t>Subsanación tardía</w:t>
      </w:r>
      <w:bookmarkEnd w:id="1023"/>
      <w:r w:rsidRPr="003104DF">
        <w:rPr>
          <w:rStyle w:val="TextoNormalCaracter"/>
        </w:rPr>
        <w:t xml:space="preserve">, Sentencia </w:t>
      </w:r>
      <w:hyperlink w:anchor="SENTENCIA_1992_41" w:history="1">
        <w:r w:rsidRPr="003104DF">
          <w:rPr>
            <w:rStyle w:val="TextoNormalCaracter"/>
          </w:rPr>
          <w:t>41/1992</w:t>
        </w:r>
      </w:hyperlink>
      <w:r w:rsidRPr="003104DF">
        <w:rPr>
          <w:rStyle w:val="TextoNormalCaracter"/>
        </w:rPr>
        <w:t>, f. 5.</w:t>
      </w:r>
    </w:p>
    <w:p w:rsidR="003104DF" w:rsidRPr="003104DF" w:rsidRDefault="003104DF" w:rsidP="003104DF">
      <w:pPr>
        <w:pStyle w:val="TextoNormalSangraFrancesa"/>
        <w:rPr>
          <w:rStyle w:val="TextoNormalCaracter"/>
        </w:rPr>
      </w:pPr>
      <w:bookmarkStart w:id="1024" w:name="DESCRIPTORALFABETICO235"/>
      <w:r w:rsidRPr="003104DF">
        <w:rPr>
          <w:rStyle w:val="TextoNormalNegritaCaracter"/>
        </w:rPr>
        <w:t>Subvenciones a partidos políticos</w:t>
      </w:r>
      <w:bookmarkEnd w:id="1024"/>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25" w:name="DESCRIPTORALFABETICO234"/>
      <w:r w:rsidRPr="003104DF">
        <w:rPr>
          <w:rStyle w:val="TextoNormalNegritaCaracter"/>
        </w:rPr>
        <w:t>Subvenciones públicas</w:t>
      </w:r>
      <w:bookmarkEnd w:id="1025"/>
      <w:r w:rsidRPr="003104DF">
        <w:rPr>
          <w:rStyle w:val="TextoNormalCaracter"/>
        </w:rPr>
        <w:t xml:space="preserve">, Sentencias </w:t>
      </w:r>
      <w:hyperlink w:anchor="SENTENCIA_1992_13" w:history="1">
        <w:r w:rsidRPr="003104DF">
          <w:rPr>
            <w:rStyle w:val="TextoNormalCaracter"/>
          </w:rPr>
          <w:t>13/1992</w:t>
        </w:r>
      </w:hyperlink>
      <w:r w:rsidRPr="003104DF">
        <w:rPr>
          <w:rStyle w:val="TextoNormalCaracter"/>
        </w:rPr>
        <w:t xml:space="preserve">, ff. 6, 8, 10; </w:t>
      </w:r>
      <w:hyperlink w:anchor="SENTENCIA_1992_15" w:history="1">
        <w:r w:rsidRPr="003104DF">
          <w:rPr>
            <w:rStyle w:val="TextoNormalCaracter"/>
          </w:rPr>
          <w:t>15/1992</w:t>
        </w:r>
      </w:hyperlink>
      <w:r w:rsidRPr="003104DF">
        <w:rPr>
          <w:rStyle w:val="TextoNormalCaracter"/>
        </w:rPr>
        <w:t>, f. 5.</w:t>
      </w:r>
    </w:p>
    <w:p w:rsidR="003104DF" w:rsidRPr="003104DF" w:rsidRDefault="003104DF" w:rsidP="003104DF">
      <w:pPr>
        <w:pStyle w:val="TextoNormalSangraFrancesa"/>
        <w:rPr>
          <w:rStyle w:val="TextoNormalCaracter"/>
        </w:rPr>
      </w:pPr>
      <w:r w:rsidRPr="003104DF">
        <w:rPr>
          <w:rStyle w:val="TextoNormalCursivaCaracter"/>
        </w:rPr>
        <w:t xml:space="preserve">    Doctrina constitucional,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4.</w:t>
      </w:r>
    </w:p>
    <w:p w:rsidR="003104DF" w:rsidRPr="003104DF" w:rsidRDefault="003104DF" w:rsidP="003104DF">
      <w:pPr>
        <w:pStyle w:val="TextoNormalSangraFrancesa"/>
        <w:rPr>
          <w:rStyle w:val="TextoNormalCaracter"/>
        </w:rPr>
      </w:pPr>
      <w:r w:rsidRPr="003104DF">
        <w:rPr>
          <w:rStyle w:val="TextoNormalCursivaCaracter"/>
        </w:rPr>
        <w:t xml:space="preserve">    Límites, </w:t>
      </w:r>
      <w:r w:rsidRPr="003104DF">
        <w:rPr>
          <w:rStyle w:val="TextoNormalCaracter"/>
        </w:rPr>
        <w:t xml:space="preserve">Sentencia </w:t>
      </w:r>
      <w:hyperlink w:anchor="SENTENCIA_1992_13" w:history="1">
        <w:r w:rsidRPr="003104DF">
          <w:rPr>
            <w:rStyle w:val="TextoNormalCaracter"/>
          </w:rPr>
          <w:t>13/1992</w:t>
        </w:r>
      </w:hyperlink>
      <w:r w:rsidRPr="003104DF">
        <w:rPr>
          <w:rStyle w:val="TextoNormalCaracter"/>
        </w:rPr>
        <w:t>, f. 7.</w:t>
      </w:r>
    </w:p>
    <w:p w:rsidR="003104DF" w:rsidRPr="003104DF" w:rsidRDefault="003104DF" w:rsidP="003104DF">
      <w:pPr>
        <w:pStyle w:val="TextoNormalSangraFrancesa"/>
        <w:rPr>
          <w:rStyle w:val="TextoNormalCaracter"/>
        </w:rPr>
      </w:pPr>
      <w:bookmarkStart w:id="1026" w:name="DESCRIPTORALFABETICO236"/>
      <w:r w:rsidRPr="003104DF">
        <w:rPr>
          <w:rStyle w:val="TextoNormalNegritaCaracter"/>
        </w:rPr>
        <w:t>Subvenciones-dotación</w:t>
      </w:r>
      <w:bookmarkEnd w:id="1026"/>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ff. 6, 7.</w:t>
      </w:r>
    </w:p>
    <w:p w:rsidR="003104DF" w:rsidRPr="003104DF" w:rsidRDefault="003104DF" w:rsidP="003104DF">
      <w:pPr>
        <w:pStyle w:val="TextoNormalSangraFrancesa"/>
        <w:rPr>
          <w:rStyle w:val="TextoNormalCaracter"/>
        </w:rPr>
      </w:pPr>
      <w:bookmarkStart w:id="1027" w:name="DESCRIPTORALFABETICO42"/>
      <w:r w:rsidRPr="003104DF">
        <w:rPr>
          <w:rStyle w:val="TextoNormalNegritaCaracter"/>
        </w:rPr>
        <w:t>Sucesión de tribunales en el tiempo</w:t>
      </w:r>
      <w:bookmarkEnd w:id="1027"/>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1028" w:name="DESCRIPTORALFABETICO221"/>
      <w:r w:rsidRPr="003104DF">
        <w:rPr>
          <w:rStyle w:val="TextoNormalNegritaCaracter"/>
        </w:rPr>
        <w:t>Sucesiones</w:t>
      </w:r>
      <w:bookmarkEnd w:id="1028"/>
      <w:r w:rsidRPr="003104DF">
        <w:rPr>
          <w:rStyle w:val="TextoNormalCaracter"/>
        </w:rPr>
        <w:t xml:space="preserve">, Auto </w:t>
      </w:r>
      <w:hyperlink w:anchor="AUTO_1992_22" w:history="1">
        <w:r w:rsidRPr="003104DF">
          <w:rPr>
            <w:rStyle w:val="TextoNormalCaracter"/>
          </w:rPr>
          <w:t>22/1992</w:t>
        </w:r>
      </w:hyperlink>
      <w:r w:rsidRPr="003104DF">
        <w:rPr>
          <w:rStyle w:val="TextoNormalCaracter"/>
        </w:rPr>
        <w:t>.</w:t>
      </w:r>
    </w:p>
    <w:p w:rsidR="003104DF" w:rsidRPr="003104DF" w:rsidRDefault="003104DF" w:rsidP="003104DF">
      <w:pPr>
        <w:pStyle w:val="TextoNormalSangraFrancesa"/>
        <w:rPr>
          <w:rStyle w:val="TextoNormalCaracter"/>
        </w:rPr>
      </w:pPr>
      <w:bookmarkStart w:id="1029" w:name="DESCRIPTORALFABETICO96"/>
      <w:r w:rsidRPr="003104DF">
        <w:rPr>
          <w:rStyle w:val="TextoNormalNegritaCaracter"/>
        </w:rPr>
        <w:t>Sufragio pasivo</w:t>
      </w:r>
      <w:bookmarkEnd w:id="1029"/>
      <w:r w:rsidRPr="003104DF">
        <w:rPr>
          <w:rStyle w:val="TextoNormalCaracter"/>
        </w:rPr>
        <w:t xml:space="preserve">, Sentencia </w:t>
      </w:r>
      <w:hyperlink w:anchor="SENTENCIA_1992_25" w:history="1">
        <w:r w:rsidRPr="003104DF">
          <w:rPr>
            <w:rStyle w:val="TextoNormalCaracter"/>
          </w:rPr>
          <w:t>25/1992</w:t>
        </w:r>
      </w:hyperlink>
      <w:r w:rsidRPr="003104DF">
        <w:rPr>
          <w:rStyle w:val="TextoNormalCaracter"/>
        </w:rPr>
        <w:t>, f. único.</w:t>
      </w:r>
    </w:p>
    <w:p w:rsidR="003104DF" w:rsidRPr="003104DF" w:rsidRDefault="003104DF" w:rsidP="003104DF">
      <w:pPr>
        <w:pStyle w:val="TextoNormalSangraFrancesa"/>
        <w:rPr>
          <w:rStyle w:val="TextoNormalCaracter"/>
        </w:rPr>
      </w:pPr>
      <w:bookmarkStart w:id="1030" w:name="DESCRIPTORALFABETICO115"/>
      <w:r w:rsidRPr="003104DF">
        <w:rPr>
          <w:rStyle w:val="TextoNormalNegritaCaracter"/>
        </w:rPr>
        <w:t>Suspensión cautelar de sentencias civiles</w:t>
      </w:r>
      <w:bookmarkEnd w:id="1030"/>
      <w:r w:rsidRPr="003104DF">
        <w:rPr>
          <w:rStyle w:val="TextoNormalCaracter"/>
        </w:rPr>
        <w:t xml:space="preserve">, Auto </w:t>
      </w:r>
      <w:hyperlink w:anchor="AUTO_1992_20" w:history="1">
        <w:r w:rsidRPr="003104DF">
          <w:rPr>
            <w:rStyle w:val="TextoNormalCaracter"/>
          </w:rPr>
          <w:t>20/1992</w:t>
        </w:r>
      </w:hyperlink>
      <w:r w:rsidRPr="003104DF">
        <w:rPr>
          <w:rStyle w:val="TextoNormalCaracter"/>
        </w:rPr>
        <w:t>.</w:t>
      </w:r>
    </w:p>
    <w:p w:rsidR="003104DF" w:rsidRPr="003104DF" w:rsidRDefault="003104DF" w:rsidP="003104DF">
      <w:pPr>
        <w:pStyle w:val="TextoNormalSangraFrancesa"/>
        <w:rPr>
          <w:rStyle w:val="TextoNormalCaracter"/>
        </w:rPr>
      </w:pPr>
      <w:bookmarkStart w:id="1031" w:name="DESCRIPTORALFABETICO209"/>
      <w:r w:rsidRPr="003104DF">
        <w:rPr>
          <w:rStyle w:val="TextoNormalNegritaCaracter"/>
        </w:rPr>
        <w:t>Suspensión de actos administrativos</w:t>
      </w:r>
      <w:bookmarkEnd w:id="1031"/>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Suspensión de actos de las corporaciones locales</w:t>
      </w:r>
      <w:r>
        <w:t xml:space="preserve"> véase </w:t>
      </w:r>
      <w:hyperlink w:anchor="DESCRIPTORALFABETICO159" w:history="1">
        <w:r w:rsidRPr="003104DF">
          <w:rPr>
            <w:rStyle w:val="TextoNormalNegritaCaracter"/>
          </w:rPr>
          <w:t>Suspensión de acuerdos municipales</w:t>
        </w:r>
      </w:hyperlink>
    </w:p>
    <w:p w:rsidR="003104DF" w:rsidRPr="003104DF" w:rsidRDefault="003104DF" w:rsidP="003104DF">
      <w:pPr>
        <w:pStyle w:val="TextoNormalSangraFrancesa"/>
        <w:rPr>
          <w:rStyle w:val="TextoNormalNegritaCaracter"/>
        </w:rPr>
      </w:pPr>
      <w:r w:rsidRPr="003104DF">
        <w:rPr>
          <w:rStyle w:val="TextoNormalCursivaCaracter"/>
        </w:rPr>
        <w:t>Suspensión de acuerdos de corporaciones locales</w:t>
      </w:r>
      <w:r>
        <w:t xml:space="preserve"> véase </w:t>
      </w:r>
      <w:hyperlink w:anchor="DESCRIPTORALFABETICO159" w:history="1">
        <w:r w:rsidRPr="003104DF">
          <w:rPr>
            <w:rStyle w:val="TextoNormalNegritaCaracter"/>
          </w:rPr>
          <w:t>Suspensión de acuerdos municipales</w:t>
        </w:r>
      </w:hyperlink>
    </w:p>
    <w:p w:rsidR="003104DF" w:rsidRPr="003104DF" w:rsidRDefault="003104DF" w:rsidP="003104DF">
      <w:pPr>
        <w:pStyle w:val="TextoNormalSangraFrancesa"/>
        <w:rPr>
          <w:rStyle w:val="TextoNormalNegritaCaracter"/>
        </w:rPr>
      </w:pPr>
      <w:r w:rsidRPr="003104DF">
        <w:rPr>
          <w:rStyle w:val="TextoNormalCursivaCaracter"/>
        </w:rPr>
        <w:t>Suspensión de acuerdos de entes locales</w:t>
      </w:r>
      <w:r>
        <w:t xml:space="preserve"> véase </w:t>
      </w:r>
      <w:hyperlink w:anchor="DESCRIPTORALFABETICO159" w:history="1">
        <w:r w:rsidRPr="003104DF">
          <w:rPr>
            <w:rStyle w:val="TextoNormalNegritaCaracter"/>
          </w:rPr>
          <w:t>Suspensión de acuerdos municipales</w:t>
        </w:r>
      </w:hyperlink>
    </w:p>
    <w:p w:rsidR="003104DF" w:rsidRPr="003104DF" w:rsidRDefault="003104DF" w:rsidP="003104DF">
      <w:pPr>
        <w:pStyle w:val="TextoNormalSangraFrancesa"/>
        <w:rPr>
          <w:rStyle w:val="TextoNormalCaracter"/>
        </w:rPr>
      </w:pPr>
      <w:bookmarkStart w:id="1032" w:name="DESCRIPTORALFABETICO159"/>
      <w:r w:rsidRPr="003104DF">
        <w:rPr>
          <w:rStyle w:val="TextoNormalNegritaCaracter"/>
        </w:rPr>
        <w:t>Suspensión de acuerdos municipales</w:t>
      </w:r>
      <w:bookmarkEnd w:id="1032"/>
      <w:r w:rsidRPr="003104DF">
        <w:rPr>
          <w:rStyle w:val="TextoNormalCaracter"/>
        </w:rPr>
        <w:t xml:space="preserve">, Sentencia </w:t>
      </w:r>
      <w:hyperlink w:anchor="SENTENCIA_1992_46" w:history="1">
        <w:r w:rsidRPr="003104DF">
          <w:rPr>
            <w:rStyle w:val="TextoNormalCaracter"/>
          </w:rPr>
          <w:t>46/1992</w:t>
        </w:r>
      </w:hyperlink>
      <w:r w:rsidRPr="003104DF">
        <w:rPr>
          <w:rStyle w:val="TextoNormalCaracter"/>
        </w:rPr>
        <w:t>, ff. 2, 3.</w:t>
      </w:r>
    </w:p>
    <w:p w:rsidR="003104DF" w:rsidRPr="003104DF" w:rsidRDefault="003104DF" w:rsidP="003104DF">
      <w:pPr>
        <w:pStyle w:val="TextoNormalSangraFrancesa"/>
        <w:rPr>
          <w:rStyle w:val="TextoNormalCaracter"/>
        </w:rPr>
      </w:pPr>
      <w:bookmarkStart w:id="1033" w:name="DESCRIPTORALFABETICO258"/>
      <w:r w:rsidRPr="003104DF">
        <w:rPr>
          <w:rStyle w:val="TextoNormalNegritaCaracter"/>
        </w:rPr>
        <w:t>Suspensión de cargo público</w:t>
      </w:r>
      <w:bookmarkEnd w:id="1033"/>
      <w:r w:rsidRPr="003104DF">
        <w:rPr>
          <w:rStyle w:val="TextoNormalCaracter"/>
        </w:rPr>
        <w:t xml:space="preserve">, Sentencia </w:t>
      </w:r>
      <w:hyperlink w:anchor="SENTENCIA_1992_7" w:history="1">
        <w:r w:rsidRPr="003104DF">
          <w:rPr>
            <w:rStyle w:val="TextoNormalCaracter"/>
          </w:rPr>
          <w:t>7/1992</w:t>
        </w:r>
      </w:hyperlink>
      <w:r w:rsidRPr="003104DF">
        <w:rPr>
          <w:rStyle w:val="TextoNormalCaracter"/>
        </w:rPr>
        <w:t>, ff. 1, 2, 3, 4, 5.</w:t>
      </w:r>
    </w:p>
    <w:p w:rsidR="003104DF" w:rsidRPr="003104DF" w:rsidRDefault="003104DF" w:rsidP="003104DF">
      <w:pPr>
        <w:pStyle w:val="TextoNormalSangraFrancesa"/>
        <w:rPr>
          <w:rStyle w:val="TextoNormalCaracter"/>
        </w:rPr>
      </w:pPr>
      <w:bookmarkStart w:id="1034" w:name="DESCRIPTORALFABETICO331"/>
      <w:r w:rsidRPr="003104DF">
        <w:rPr>
          <w:rStyle w:val="TextoNormalNegritaCaracter"/>
        </w:rPr>
        <w:t>Suspensión de ejecución de sentencia</w:t>
      </w:r>
      <w:bookmarkEnd w:id="1034"/>
      <w:r w:rsidRPr="003104DF">
        <w:rPr>
          <w:rStyle w:val="TextoNormalCaracter"/>
        </w:rPr>
        <w:t xml:space="preserve">, Auto </w:t>
      </w:r>
      <w:hyperlink w:anchor="AUTO_1992_37" w:history="1">
        <w:r w:rsidRPr="003104DF">
          <w:rPr>
            <w:rStyle w:val="TextoNormalCaracter"/>
          </w:rPr>
          <w:t>37/1992</w:t>
        </w:r>
      </w:hyperlink>
      <w:r w:rsidRPr="003104DF">
        <w:rPr>
          <w:rStyle w:val="TextoNormalCaracter"/>
        </w:rPr>
        <w:t>.</w:t>
      </w:r>
    </w:p>
    <w:p w:rsidR="003104DF" w:rsidRPr="003104DF" w:rsidRDefault="003104DF" w:rsidP="003104DF">
      <w:pPr>
        <w:pStyle w:val="TextoNormalSangraFrancesa"/>
        <w:rPr>
          <w:rStyle w:val="TextoNormalCaracter"/>
        </w:rPr>
      </w:pPr>
      <w:bookmarkStart w:id="1035" w:name="DESCRIPTORALFABETICO181"/>
      <w:r w:rsidRPr="003104DF">
        <w:rPr>
          <w:rStyle w:val="TextoNormalNegritaCaracter"/>
        </w:rPr>
        <w:t>Suspensión de la asignación mensual al grupo mixto</w:t>
      </w:r>
      <w:bookmarkEnd w:id="1035"/>
      <w:r w:rsidRPr="003104DF">
        <w:rPr>
          <w:rStyle w:val="TextoNormalCaracter"/>
        </w:rPr>
        <w:t xml:space="preserve">, Sentencia </w:t>
      </w:r>
      <w:hyperlink w:anchor="SENTENCIA_1992_15" w:history="1">
        <w:r w:rsidRPr="003104DF">
          <w:rPr>
            <w:rStyle w:val="TextoNormalCaracter"/>
          </w:rPr>
          <w:t>15/1992</w:t>
        </w:r>
      </w:hyperlink>
      <w:r w:rsidRPr="003104DF">
        <w:rPr>
          <w:rStyle w:val="TextoNormalCaracter"/>
        </w:rPr>
        <w:t>, ff. 1, 2, 3, 4, 5, 6, 7.</w:t>
      </w:r>
    </w:p>
    <w:p w:rsidR="003104DF" w:rsidRPr="003104DF" w:rsidRDefault="003104DF" w:rsidP="003104DF">
      <w:pPr>
        <w:pStyle w:val="TextoNormalSangraFrancesa"/>
        <w:rPr>
          <w:rStyle w:val="TextoNormalCaracter"/>
        </w:rPr>
      </w:pPr>
      <w:bookmarkStart w:id="1036" w:name="DESCRIPTORALFABETICO355"/>
      <w:r w:rsidRPr="003104DF">
        <w:rPr>
          <w:rStyle w:val="TextoNormalNegritaCaracter"/>
        </w:rPr>
        <w:t>Suspensión de la vista por incomparecencia de los testigos</w:t>
      </w:r>
      <w:bookmarkEnd w:id="1036"/>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 4.</w:t>
      </w:r>
    </w:p>
    <w:p w:rsidR="003104DF" w:rsidRPr="003104DF" w:rsidRDefault="003104DF" w:rsidP="003104DF">
      <w:pPr>
        <w:pStyle w:val="TextoNormalSangraFrancesa"/>
        <w:rPr>
          <w:rStyle w:val="TextoNormalCaracter"/>
        </w:rPr>
      </w:pPr>
      <w:bookmarkStart w:id="1037" w:name="DESCRIPTORALFABETICO418"/>
      <w:r w:rsidRPr="003104DF">
        <w:rPr>
          <w:rStyle w:val="TextoNormalNegritaCaracter"/>
        </w:rPr>
        <w:t>Suspensión del juicio oral por incomparecencia de testigos</w:t>
      </w:r>
      <w:bookmarkEnd w:id="1037"/>
      <w:r w:rsidRPr="003104DF">
        <w:rPr>
          <w:rStyle w:val="TextoNormalCaracter"/>
        </w:rPr>
        <w:t xml:space="preserve">, Sentencia </w:t>
      </w:r>
      <w:hyperlink w:anchor="SENTENCIA_1992_65" w:history="1">
        <w:r w:rsidRPr="003104DF">
          <w:rPr>
            <w:rStyle w:val="TextoNormalCaracter"/>
          </w:rPr>
          <w:t>65/1992</w:t>
        </w:r>
      </w:hyperlink>
      <w:r w:rsidRPr="003104DF">
        <w:rPr>
          <w:rStyle w:val="TextoNormalCaracter"/>
        </w:rPr>
        <w:t>, f. 4.</w:t>
      </w:r>
    </w:p>
    <w:p w:rsidR="003104DF" w:rsidRPr="003104DF" w:rsidRDefault="003104DF" w:rsidP="003104DF">
      <w:pPr>
        <w:pStyle w:val="TextoNormalSangraFrancesa"/>
        <w:rPr>
          <w:rStyle w:val="TextoNormalNegritaCaracter"/>
        </w:rPr>
      </w:pPr>
      <w:r w:rsidRPr="003104DF">
        <w:rPr>
          <w:rStyle w:val="TextoNormalCursivaCaracter"/>
        </w:rPr>
        <w:t>Suspensión en el ejercicio de cargo público</w:t>
      </w:r>
      <w:r>
        <w:t xml:space="preserve"> véase </w:t>
      </w:r>
      <w:hyperlink w:anchor="DESCRIPTORALFABETICO258" w:history="1">
        <w:r w:rsidRPr="003104DF">
          <w:rPr>
            <w:rStyle w:val="TextoNormalNegritaCaracter"/>
          </w:rPr>
          <w:t>Suspensión de cargo público</w:t>
        </w:r>
      </w:hyperlink>
    </w:p>
    <w:p w:rsidR="003104DF" w:rsidRPr="003104DF" w:rsidRDefault="003104DF" w:rsidP="003104DF">
      <w:pPr>
        <w:pStyle w:val="TextoNormalSangraFrancesa"/>
        <w:rPr>
          <w:rStyle w:val="TextoNormalCaracter"/>
        </w:rPr>
      </w:pPr>
      <w:bookmarkStart w:id="1038" w:name="DESCRIPTORALFABETICO332"/>
      <w:r w:rsidRPr="003104DF">
        <w:rPr>
          <w:rStyle w:val="TextoNormalNegritaCaracter"/>
        </w:rPr>
        <w:t>Sustitución de la condena por su equivalente pecuniario</w:t>
      </w:r>
      <w:bookmarkEnd w:id="1038"/>
      <w:r w:rsidRPr="003104DF">
        <w:rPr>
          <w:rStyle w:val="TextoNormalCaracter"/>
        </w:rPr>
        <w:t xml:space="preserve">, Sentencia </w:t>
      </w:r>
      <w:hyperlink w:anchor="SENTENCIA_1992_61" w:history="1">
        <w:r w:rsidRPr="003104DF">
          <w:rPr>
            <w:rStyle w:val="TextoNormalCaracter"/>
          </w:rPr>
          <w:t>61/1992</w:t>
        </w:r>
      </w:hyperlink>
      <w:r w:rsidRPr="003104DF">
        <w:rPr>
          <w:rStyle w:val="TextoNormalCaracter"/>
        </w:rPr>
        <w:t>, f. 3.</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T</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1039" w:name="DESCRIPTORALFABETICO315"/>
      <w:r w:rsidRPr="003104DF">
        <w:rPr>
          <w:rStyle w:val="TextoNormalNegritaCaracter"/>
        </w:rPr>
        <w:t>Tasación de costas</w:t>
      </w:r>
      <w:bookmarkEnd w:id="1039"/>
      <w:r w:rsidRPr="003104DF">
        <w:rPr>
          <w:rStyle w:val="TextoNormalCaracter"/>
        </w:rPr>
        <w:t xml:space="preserve">, Auto </w:t>
      </w:r>
      <w:hyperlink w:anchor="AUTO_1992_9" w:history="1">
        <w:r w:rsidRPr="003104DF">
          <w:rPr>
            <w:rStyle w:val="TextoNormalCaracter"/>
          </w:rPr>
          <w:t>9/1992</w:t>
        </w:r>
      </w:hyperlink>
      <w:r w:rsidRPr="003104DF">
        <w:rPr>
          <w:rStyle w:val="TextoNormalCaracter"/>
        </w:rPr>
        <w:t>.</w:t>
      </w:r>
    </w:p>
    <w:p w:rsidR="003104DF" w:rsidRPr="003104DF" w:rsidRDefault="003104DF" w:rsidP="003104DF">
      <w:pPr>
        <w:pStyle w:val="TextoNormalSangraFrancesa"/>
        <w:rPr>
          <w:rStyle w:val="TextoNormalNegritaCaracter"/>
        </w:rPr>
      </w:pPr>
      <w:r w:rsidRPr="003104DF">
        <w:rPr>
          <w:rStyle w:val="TextoNormalCursivaCaracter"/>
        </w:rPr>
        <w:lastRenderedPageBreak/>
        <w:t>Tasación de costas procesales</w:t>
      </w:r>
      <w:r>
        <w:t xml:space="preserve"> véase </w:t>
      </w:r>
      <w:hyperlink w:anchor="DESCRIPTORALFABETICO315" w:history="1">
        <w:r w:rsidRPr="003104DF">
          <w:rPr>
            <w:rStyle w:val="TextoNormalNegritaCaracter"/>
          </w:rPr>
          <w:t>Tasación de costas</w:t>
        </w:r>
      </w:hyperlink>
    </w:p>
    <w:p w:rsidR="003104DF" w:rsidRPr="003104DF" w:rsidRDefault="003104DF" w:rsidP="003104DF">
      <w:pPr>
        <w:pStyle w:val="TextoNormalSangraFrancesa"/>
        <w:rPr>
          <w:rStyle w:val="TextoNormalCaracter"/>
        </w:rPr>
      </w:pPr>
      <w:bookmarkStart w:id="1040" w:name="DESCRIPTORALFABETICO328"/>
      <w:r w:rsidRPr="003104DF">
        <w:rPr>
          <w:rStyle w:val="TextoNormalNegritaCaracter"/>
        </w:rPr>
        <w:t>Temeridad procesal</w:t>
      </w:r>
      <w:bookmarkEnd w:id="1040"/>
      <w:r w:rsidRPr="003104DF">
        <w:rPr>
          <w:rStyle w:val="TextoNormalCaracter"/>
        </w:rPr>
        <w:t xml:space="preserve">, Sentencia </w:t>
      </w:r>
      <w:hyperlink w:anchor="SENTENCIA_1992_22" w:history="1">
        <w:r w:rsidRPr="003104DF">
          <w:rPr>
            <w:rStyle w:val="TextoNormalCaracter"/>
          </w:rPr>
          <w:t>22/1992</w:t>
        </w:r>
      </w:hyperlink>
      <w:r w:rsidRPr="003104DF">
        <w:rPr>
          <w:rStyle w:val="TextoNormalCaracter"/>
        </w:rPr>
        <w:t>, f. 4.</w:t>
      </w:r>
    </w:p>
    <w:p w:rsidR="003104DF" w:rsidRPr="003104DF" w:rsidRDefault="003104DF" w:rsidP="003104DF">
      <w:pPr>
        <w:pStyle w:val="TextoNormalSangraFrancesa"/>
        <w:rPr>
          <w:rStyle w:val="TextoNormalCaracter"/>
        </w:rPr>
      </w:pPr>
      <w:bookmarkStart w:id="1041" w:name="DESCRIPTORALFABETICO146"/>
      <w:r w:rsidRPr="003104DF">
        <w:rPr>
          <w:rStyle w:val="TextoNormalNegritaCaracter"/>
        </w:rPr>
        <w:t>Temporaneidad del recurso de amparo</w:t>
      </w:r>
      <w:bookmarkEnd w:id="1041"/>
      <w:r w:rsidRPr="003104DF">
        <w:rPr>
          <w:rStyle w:val="TextoNormalCaracter"/>
        </w:rPr>
        <w:t xml:space="preserve">, Sentencias </w:t>
      </w:r>
      <w:hyperlink w:anchor="SENTENCIA_1992_27" w:history="1">
        <w:r w:rsidRPr="003104DF">
          <w:rPr>
            <w:rStyle w:val="TextoNormalCaracter"/>
          </w:rPr>
          <w:t>27/1992</w:t>
        </w:r>
      </w:hyperlink>
      <w:r w:rsidRPr="003104DF">
        <w:rPr>
          <w:rStyle w:val="TextoNormalCaracter"/>
        </w:rPr>
        <w:t xml:space="preserve">, f. 2; </w:t>
      </w:r>
      <w:hyperlink w:anchor="SENTENCIA_1992_31" w:history="1">
        <w:r w:rsidRPr="003104DF">
          <w:rPr>
            <w:rStyle w:val="TextoNormalCaracter"/>
          </w:rPr>
          <w:t>31/1992</w:t>
        </w:r>
      </w:hyperlink>
      <w:r w:rsidRPr="003104DF">
        <w:rPr>
          <w:rStyle w:val="TextoNormalCaracter"/>
        </w:rPr>
        <w:t>, f. 1.</w:t>
      </w:r>
    </w:p>
    <w:p w:rsidR="003104DF" w:rsidRPr="003104DF" w:rsidRDefault="003104DF" w:rsidP="003104DF">
      <w:pPr>
        <w:pStyle w:val="TextoNormalSangraFrancesa"/>
        <w:rPr>
          <w:rStyle w:val="TextoNormalCaracter"/>
        </w:rPr>
      </w:pPr>
      <w:bookmarkStart w:id="1042" w:name="DESCRIPTORALFABETICO255"/>
      <w:r w:rsidRPr="003104DF">
        <w:rPr>
          <w:rStyle w:val="TextoNormalNegritaCaracter"/>
          <w:i/>
        </w:rPr>
        <w:t>Tempus regit actum</w:t>
      </w:r>
      <w:bookmarkEnd w:id="1042"/>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 5.</w:t>
      </w:r>
    </w:p>
    <w:p w:rsidR="003104DF" w:rsidRPr="003104DF" w:rsidRDefault="003104DF" w:rsidP="003104DF">
      <w:pPr>
        <w:pStyle w:val="TextoNormalSangraFrancesa"/>
        <w:rPr>
          <w:rStyle w:val="TextoNormalCaracter"/>
        </w:rPr>
      </w:pPr>
      <w:bookmarkStart w:id="1043" w:name="DESCRIPTORALFABETICO44"/>
      <w:r w:rsidRPr="003104DF">
        <w:rPr>
          <w:rStyle w:val="TextoNormalNegritaCaracter"/>
        </w:rPr>
        <w:t>Término de comparación inexistente</w:t>
      </w:r>
      <w:bookmarkEnd w:id="1043"/>
      <w:r w:rsidRPr="003104DF">
        <w:rPr>
          <w:rStyle w:val="TextoNormalCaracter"/>
        </w:rPr>
        <w:t xml:space="preserve">, Autos </w:t>
      </w:r>
      <w:hyperlink w:anchor="AUTO_1992_13" w:history="1">
        <w:r w:rsidRPr="003104DF">
          <w:rPr>
            <w:rStyle w:val="TextoNormalCaracter"/>
          </w:rPr>
          <w:t>13/1992</w:t>
        </w:r>
      </w:hyperlink>
      <w:r w:rsidRPr="003104DF">
        <w:rPr>
          <w:rStyle w:val="TextoNormalCaracter"/>
        </w:rPr>
        <w:t xml:space="preserve">; </w:t>
      </w:r>
      <w:hyperlink w:anchor="AUTO_1992_38" w:history="1">
        <w:r w:rsidRPr="003104DF">
          <w:rPr>
            <w:rStyle w:val="TextoNormalCaracter"/>
          </w:rPr>
          <w:t>38/1992</w:t>
        </w:r>
      </w:hyperlink>
      <w:r w:rsidRPr="003104DF">
        <w:rPr>
          <w:rStyle w:val="TextoNormalCaracter"/>
        </w:rPr>
        <w:t>.</w:t>
      </w:r>
    </w:p>
    <w:p w:rsidR="003104DF" w:rsidRPr="003104DF" w:rsidRDefault="003104DF" w:rsidP="003104DF">
      <w:pPr>
        <w:pStyle w:val="TextoNormalSangraFrancesa"/>
        <w:rPr>
          <w:rStyle w:val="TextoNormalCaracter"/>
        </w:rPr>
      </w:pPr>
      <w:bookmarkStart w:id="1044" w:name="DESCRIPTORALFABETICO22"/>
      <w:r w:rsidRPr="003104DF">
        <w:rPr>
          <w:rStyle w:val="TextoNormalNegritaCaracter"/>
        </w:rPr>
        <w:t>Territorialización de partidas presupuestarias</w:t>
      </w:r>
      <w:bookmarkEnd w:id="1044"/>
      <w:r w:rsidRPr="003104DF">
        <w:rPr>
          <w:rStyle w:val="TextoNormalCaracter"/>
        </w:rPr>
        <w:t xml:space="preserve">, Sentencia </w:t>
      </w:r>
      <w:hyperlink w:anchor="SENTENCIA_1992_13" w:history="1">
        <w:r w:rsidRPr="003104DF">
          <w:rPr>
            <w:rStyle w:val="TextoNormalCaracter"/>
          </w:rPr>
          <w:t>13/1992</w:t>
        </w:r>
      </w:hyperlink>
      <w:r w:rsidRPr="003104DF">
        <w:rPr>
          <w:rStyle w:val="TextoNormalCaracter"/>
        </w:rPr>
        <w:t>, f. 9.</w:t>
      </w:r>
    </w:p>
    <w:p w:rsidR="003104DF" w:rsidRPr="003104DF" w:rsidRDefault="003104DF" w:rsidP="003104DF">
      <w:pPr>
        <w:pStyle w:val="TextoNormalSangraFrancesa"/>
        <w:rPr>
          <w:rStyle w:val="TextoNormalCaracter"/>
        </w:rPr>
      </w:pPr>
      <w:bookmarkStart w:id="1045" w:name="DESCRIPTORALFABETICO111"/>
      <w:r w:rsidRPr="003104DF">
        <w:rPr>
          <w:rStyle w:val="TextoNormalNegritaCaracter"/>
        </w:rPr>
        <w:t>Titularidad de la libertad sindical</w:t>
      </w:r>
      <w:bookmarkEnd w:id="1045"/>
      <w:r w:rsidRPr="003104DF">
        <w:rPr>
          <w:rStyle w:val="TextoNormalCaracter"/>
        </w:rPr>
        <w:t xml:space="preserve">, Sentencia </w:t>
      </w:r>
      <w:hyperlink w:anchor="SENTENCIA_1992_52" w:history="1">
        <w:r w:rsidRPr="003104DF">
          <w:rPr>
            <w:rStyle w:val="TextoNormalCaracter"/>
          </w:rPr>
          <w:t>52/1992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46" w:name="DESCRIPTORALFABETICO113"/>
      <w:r w:rsidRPr="003104DF">
        <w:rPr>
          <w:rStyle w:val="TextoNormalNegritaCaracter"/>
        </w:rPr>
        <w:t>Titularidad de los derechos fundamentales</w:t>
      </w:r>
      <w:bookmarkEnd w:id="1046"/>
      <w:r w:rsidRPr="003104DF">
        <w:rPr>
          <w:rStyle w:val="TextoNormalCaracter"/>
        </w:rPr>
        <w:t xml:space="preserve">, Auto </w:t>
      </w:r>
      <w:hyperlink w:anchor="AUTO_1992_72" w:history="1">
        <w:r w:rsidRPr="003104DF">
          <w:rPr>
            <w:rStyle w:val="TextoNormalCaracter"/>
          </w:rPr>
          <w:t>72/1992</w:t>
        </w:r>
      </w:hyperlink>
      <w:r w:rsidRPr="003104DF">
        <w:rPr>
          <w:rStyle w:val="TextoNormalCaracter"/>
        </w:rPr>
        <w:t>.</w:t>
      </w:r>
    </w:p>
    <w:p w:rsidR="003104DF" w:rsidRPr="003104DF" w:rsidRDefault="003104DF" w:rsidP="003104DF">
      <w:pPr>
        <w:pStyle w:val="TextoNormalSangraFrancesa"/>
        <w:rPr>
          <w:rStyle w:val="TextoNormalCaracter"/>
        </w:rPr>
      </w:pPr>
      <w:bookmarkStart w:id="1047" w:name="DESCRIPTORALFABETICO170"/>
      <w:r w:rsidRPr="003104DF">
        <w:rPr>
          <w:rStyle w:val="TextoNormalNegritaCaracter"/>
        </w:rPr>
        <w:t>Titularidad de los órganos judiciales</w:t>
      </w:r>
      <w:bookmarkEnd w:id="1047"/>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 3.</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92" w:history="1">
        <w:r w:rsidRPr="003104DF">
          <w:rPr>
            <w:rStyle w:val="TextoNormalCaracter"/>
          </w:rPr>
          <w:t>92/1992</w:t>
        </w:r>
      </w:hyperlink>
      <w:r w:rsidRPr="003104DF">
        <w:rPr>
          <w:rStyle w:val="TextoNormalCaracter"/>
        </w:rPr>
        <w:t xml:space="preserve">; </w:t>
      </w:r>
      <w:hyperlink w:anchor="AUTO_1992_96" w:history="1">
        <w:r w:rsidRPr="003104DF">
          <w:rPr>
            <w:rStyle w:val="TextoNormalCaracter"/>
          </w:rPr>
          <w:t>96/1992</w:t>
        </w:r>
      </w:hyperlink>
      <w:r w:rsidRPr="003104DF">
        <w:rPr>
          <w:rStyle w:val="TextoNormalCaracter"/>
        </w:rPr>
        <w:t>.</w:t>
      </w:r>
    </w:p>
    <w:p w:rsidR="003104DF" w:rsidRPr="003104DF" w:rsidRDefault="003104DF" w:rsidP="003104DF">
      <w:pPr>
        <w:pStyle w:val="TextoNormalSangraFrancesa"/>
        <w:rPr>
          <w:rStyle w:val="TextoNormalCaracter"/>
        </w:rPr>
      </w:pPr>
      <w:bookmarkStart w:id="1048" w:name="DESCRIPTORALFABETICO8"/>
      <w:r w:rsidRPr="003104DF">
        <w:rPr>
          <w:rStyle w:val="TextoNormalNegritaCaracter"/>
        </w:rPr>
        <w:t>Títulos competenciales</w:t>
      </w:r>
      <w:bookmarkEnd w:id="1048"/>
      <w:r w:rsidRPr="003104DF">
        <w:rPr>
          <w:rStyle w:val="TextoNormalCaracter"/>
        </w:rPr>
        <w:t xml:space="preserve">, Sentencias </w:t>
      </w:r>
      <w:hyperlink w:anchor="SENTENCIA_1992_44" w:history="1">
        <w:r w:rsidRPr="003104DF">
          <w:rPr>
            <w:rStyle w:val="TextoNormalCaracter"/>
          </w:rPr>
          <w:t>44/1992</w:t>
        </w:r>
      </w:hyperlink>
      <w:r w:rsidRPr="003104DF">
        <w:rPr>
          <w:rStyle w:val="TextoNormalCaracter"/>
        </w:rPr>
        <w:t xml:space="preserve">, f. 2; </w:t>
      </w:r>
      <w:hyperlink w:anchor="SENTENCIA_1992_68" w:history="1">
        <w:r w:rsidRPr="003104DF">
          <w:rPr>
            <w:rStyle w:val="TextoNormalCaracter"/>
          </w:rPr>
          <w:t>68/1992</w:t>
        </w:r>
      </w:hyperlink>
      <w:r w:rsidRPr="003104DF">
        <w:rPr>
          <w:rStyle w:val="TextoNormalCaracter"/>
        </w:rPr>
        <w:t>, f. 1, VP.</w:t>
      </w:r>
    </w:p>
    <w:p w:rsidR="003104DF" w:rsidRPr="003104DF" w:rsidRDefault="003104DF" w:rsidP="003104DF">
      <w:pPr>
        <w:pStyle w:val="TextoNormalSangraFrancesa"/>
        <w:rPr>
          <w:rStyle w:val="TextoNormalCaracter"/>
        </w:rPr>
      </w:pPr>
      <w:bookmarkStart w:id="1049" w:name="DESCRIPTORALFABETICO291"/>
      <w:r w:rsidRPr="003104DF">
        <w:rPr>
          <w:rStyle w:val="TextoNormalNegritaCaracter"/>
        </w:rPr>
        <w:t>Trabajadores</w:t>
      </w:r>
      <w:bookmarkEnd w:id="1049"/>
      <w:r w:rsidRPr="003104DF">
        <w:rPr>
          <w:rStyle w:val="TextoNormalCaracter"/>
        </w:rPr>
        <w:t xml:space="preserve">, Sentencia </w:t>
      </w:r>
      <w:hyperlink w:anchor="SENTENCIA_1992_39" w:history="1">
        <w:r w:rsidRPr="003104DF">
          <w:rPr>
            <w:rStyle w:val="TextoNormalCaracter"/>
          </w:rPr>
          <w:t>39/1992</w:t>
        </w:r>
      </w:hyperlink>
      <w:r w:rsidRPr="003104DF">
        <w:rPr>
          <w:rStyle w:val="TextoNormalCaracter"/>
        </w:rPr>
        <w:t>, f. 7.</w:t>
      </w:r>
    </w:p>
    <w:p w:rsidR="003104DF" w:rsidRPr="003104DF" w:rsidRDefault="003104DF" w:rsidP="003104DF">
      <w:pPr>
        <w:pStyle w:val="TextoNormalSangraFrancesa"/>
        <w:rPr>
          <w:rStyle w:val="TextoNormalCaracter"/>
        </w:rPr>
      </w:pPr>
      <w:bookmarkStart w:id="1050" w:name="DESCRIPTORALFABETICO279"/>
      <w:r w:rsidRPr="003104DF">
        <w:rPr>
          <w:rStyle w:val="TextoNormalNegritaCaracter"/>
        </w:rPr>
        <w:t>Trabajo nocturno</w:t>
      </w:r>
      <w:bookmarkEnd w:id="1050"/>
      <w:r w:rsidRPr="003104DF">
        <w:rPr>
          <w:rStyle w:val="TextoNormalCaracter"/>
        </w:rPr>
        <w:t xml:space="preserve">, Sentencia </w:t>
      </w:r>
      <w:hyperlink w:anchor="SENTENCIA_1992_28" w:history="1">
        <w:r w:rsidRPr="003104DF">
          <w:rPr>
            <w:rStyle w:val="TextoNormalCaracter"/>
          </w:rPr>
          <w:t>28/1992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51" w:name="DESCRIPTORALFABETICO339"/>
      <w:r w:rsidRPr="003104DF">
        <w:rPr>
          <w:rStyle w:val="TextoNormalNegritaCaracter"/>
        </w:rPr>
        <w:t>Trámite de audiencia</w:t>
      </w:r>
      <w:bookmarkEnd w:id="1051"/>
      <w:r w:rsidRPr="003104DF">
        <w:rPr>
          <w:rStyle w:val="TextoNormalCaracter"/>
        </w:rPr>
        <w:t xml:space="preserve">, Sentencia </w:t>
      </w:r>
      <w:hyperlink w:anchor="SENTENCIA_1992_56" w:history="1">
        <w:r w:rsidRPr="003104DF">
          <w:rPr>
            <w:rStyle w:val="TextoNormalCaracter"/>
          </w:rPr>
          <w:t>56/1992</w:t>
        </w:r>
      </w:hyperlink>
      <w:r w:rsidRPr="003104DF">
        <w:rPr>
          <w:rStyle w:val="TextoNormalCaracter"/>
        </w:rPr>
        <w:t>, f. 4.</w:t>
      </w:r>
    </w:p>
    <w:p w:rsidR="003104DF" w:rsidRPr="003104DF" w:rsidRDefault="003104DF" w:rsidP="003104DF">
      <w:pPr>
        <w:pStyle w:val="TextoNormalSangraFrancesa"/>
        <w:rPr>
          <w:rStyle w:val="TextoNormalCaracter"/>
        </w:rPr>
      </w:pPr>
      <w:bookmarkStart w:id="1052" w:name="DESCRIPTORALFABETICO228"/>
      <w:r w:rsidRPr="003104DF">
        <w:rPr>
          <w:rStyle w:val="TextoNormalNegritaCaracter"/>
        </w:rPr>
        <w:t>Transporte de energía eléctrica</w:t>
      </w:r>
      <w:bookmarkEnd w:id="1052"/>
      <w:r w:rsidRPr="003104DF">
        <w:rPr>
          <w:rStyle w:val="TextoNormalCaracter"/>
        </w:rPr>
        <w:t xml:space="preserve">, Sentencia </w:t>
      </w:r>
      <w:hyperlink w:anchor="SENTENCIA_1992_67" w:history="1">
        <w:r w:rsidRPr="003104DF">
          <w:rPr>
            <w:rStyle w:val="TextoNormalCaracter"/>
          </w:rPr>
          <w:t>67/1992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1053" w:name="DESCRIPTORALFABETICO45"/>
      <w:r w:rsidRPr="003104DF">
        <w:rPr>
          <w:rStyle w:val="TextoNormalNegritaCaracter"/>
        </w:rPr>
        <w:t>Tratamiento diferenciado de situaciones normativas distintas</w:t>
      </w:r>
      <w:bookmarkEnd w:id="1053"/>
      <w:r w:rsidRPr="003104DF">
        <w:rPr>
          <w:rStyle w:val="TextoNormalCaracter"/>
        </w:rPr>
        <w:t xml:space="preserve">, Sentencia </w:t>
      </w:r>
      <w:hyperlink w:anchor="SENTENCIA_1992_48" w:history="1">
        <w:r w:rsidRPr="003104DF">
          <w:rPr>
            <w:rStyle w:val="TextoNormalCaracter"/>
          </w:rPr>
          <w:t>48/1992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54" w:name="DESCRIPTORALFABETICO46"/>
      <w:r w:rsidRPr="003104DF">
        <w:rPr>
          <w:rStyle w:val="TextoNormalNegritaCaracter"/>
        </w:rPr>
        <w:t>Tratamiento diferenciado en prestaciones de la Seguridad Social</w:t>
      </w:r>
      <w:bookmarkEnd w:id="1054"/>
      <w:r w:rsidRPr="003104DF">
        <w:rPr>
          <w:rStyle w:val="TextoNormalCaracter"/>
        </w:rPr>
        <w:t xml:space="preserve">, Sentencia </w:t>
      </w:r>
      <w:hyperlink w:anchor="SENTENCIA_1992_39" w:history="1">
        <w:r w:rsidRPr="003104DF">
          <w:rPr>
            <w:rStyle w:val="TextoNormalCaracter"/>
          </w:rPr>
          <w:t>39/1992</w:t>
        </w:r>
      </w:hyperlink>
      <w:r w:rsidRPr="003104DF">
        <w:rPr>
          <w:rStyle w:val="TextoNormalCaracter"/>
        </w:rPr>
        <w:t>, f. 8.</w:t>
      </w:r>
    </w:p>
    <w:p w:rsidR="003104DF" w:rsidRPr="003104DF" w:rsidRDefault="003104DF" w:rsidP="003104DF">
      <w:pPr>
        <w:pStyle w:val="TextoNormalSangraFrancesa"/>
        <w:rPr>
          <w:rStyle w:val="TextoNormalCaracter"/>
        </w:rPr>
      </w:pPr>
      <w:bookmarkStart w:id="1055" w:name="DESCRIPTORALFABETICO47"/>
      <w:r w:rsidRPr="003104DF">
        <w:rPr>
          <w:rStyle w:val="TextoNormalNegritaCaracter"/>
        </w:rPr>
        <w:t>Tratamiento legal diferenciado</w:t>
      </w:r>
      <w:bookmarkEnd w:id="1055"/>
      <w:r w:rsidRPr="003104DF">
        <w:rPr>
          <w:rStyle w:val="TextoNormalCaracter"/>
        </w:rPr>
        <w:t xml:space="preserve">, Auto </w:t>
      </w:r>
      <w:hyperlink w:anchor="AUTO_1992_23" w:history="1">
        <w:r w:rsidRPr="003104DF">
          <w:rPr>
            <w:rStyle w:val="TextoNormalCaracter"/>
          </w:rPr>
          <w:t>23/1992</w:t>
        </w:r>
      </w:hyperlink>
      <w:r w:rsidRPr="003104DF">
        <w:rPr>
          <w:rStyle w:val="TextoNormalCaracter"/>
        </w:rPr>
        <w:t>.</w:t>
      </w:r>
    </w:p>
    <w:p w:rsidR="003104DF" w:rsidRPr="003104DF" w:rsidRDefault="003104DF" w:rsidP="003104DF">
      <w:pPr>
        <w:pStyle w:val="TextoNormalSangraFrancesa"/>
        <w:rPr>
          <w:rStyle w:val="TextoNormalCaracter"/>
        </w:rPr>
      </w:pPr>
      <w:bookmarkStart w:id="1056" w:name="DESCRIPTORALFABETICO173"/>
      <w:r w:rsidRPr="003104DF">
        <w:rPr>
          <w:rStyle w:val="TextoNormalNegritaCaracter"/>
        </w:rPr>
        <w:t>Tribunal Central de Trabajo</w:t>
      </w:r>
      <w:bookmarkEnd w:id="1056"/>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 3.</w:t>
      </w:r>
    </w:p>
    <w:p w:rsidR="003104DF" w:rsidRPr="003104DF" w:rsidRDefault="003104DF" w:rsidP="003104DF">
      <w:pPr>
        <w:pStyle w:val="TextoNormalSangraFrancesa"/>
        <w:rPr>
          <w:rStyle w:val="TextoNormalNegritaCaracter"/>
        </w:rPr>
      </w:pPr>
      <w:r w:rsidRPr="003104DF">
        <w:rPr>
          <w:rStyle w:val="TextoNormalCursivaCaracter"/>
        </w:rPr>
        <w:t>Tutela administrativa</w:t>
      </w:r>
      <w:r>
        <w:t xml:space="preserve"> véase </w:t>
      </w:r>
      <w:hyperlink w:anchor="DESCRIPTORALFABETICO162" w:history="1">
        <w:r w:rsidRPr="003104DF">
          <w:rPr>
            <w:rStyle w:val="TextoNormalNegritaCaracter"/>
          </w:rPr>
          <w:t>Control administrativo</w:t>
        </w:r>
      </w:hyperlink>
    </w:p>
    <w:p w:rsidR="003104DF" w:rsidRPr="003104DF" w:rsidRDefault="003104DF" w:rsidP="003104DF">
      <w:pPr>
        <w:pStyle w:val="TextoNormalSangraFrancesa"/>
        <w:rPr>
          <w:rStyle w:val="TextoNormalCaracter"/>
        </w:rPr>
      </w:pPr>
      <w:bookmarkStart w:id="1057" w:name="DESCRIPTORALFABETICO71"/>
      <w:r w:rsidRPr="003104DF">
        <w:rPr>
          <w:rStyle w:val="TextoNormalNegritaCaracter"/>
        </w:rPr>
        <w:t>Tutela judicial cautelar</w:t>
      </w:r>
      <w:bookmarkEnd w:id="1057"/>
      <w:r w:rsidRPr="003104DF">
        <w:rPr>
          <w:rStyle w:val="TextoNormalCaracter"/>
        </w:rPr>
        <w:t xml:space="preserve">, Auto </w:t>
      </w:r>
      <w:hyperlink w:anchor="AUTO_1992_50" w:history="1">
        <w:r w:rsidRPr="003104DF">
          <w:rPr>
            <w:rStyle w:val="TextoNormalCaracter"/>
          </w:rPr>
          <w:t>50/1992</w:t>
        </w:r>
      </w:hyperlink>
      <w:r w:rsidRPr="003104DF">
        <w:rPr>
          <w:rStyle w:val="TextoNormalCaracter"/>
        </w:rPr>
        <w:t>.</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U</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1058" w:name="DESCRIPTORALFABETICO252"/>
      <w:r w:rsidRPr="003104DF">
        <w:rPr>
          <w:rStyle w:val="TextoNormalNegritaCaracter"/>
        </w:rPr>
        <w:t>Unificación de criterios</w:t>
      </w:r>
      <w:bookmarkEnd w:id="1058"/>
      <w:r w:rsidRPr="003104DF">
        <w:rPr>
          <w:rStyle w:val="TextoNormalCaracter"/>
        </w:rPr>
        <w:t xml:space="preserve">, Sentencia </w:t>
      </w:r>
      <w:hyperlink w:anchor="SENTENCIA_1992_58" w:history="1">
        <w:r w:rsidRPr="003104DF">
          <w:rPr>
            <w:rStyle w:val="TextoNormalCaracter"/>
          </w:rPr>
          <w:t>58/1992</w:t>
        </w:r>
      </w:hyperlink>
      <w:r w:rsidRPr="003104DF">
        <w:rPr>
          <w:rStyle w:val="TextoNormalCaracter"/>
        </w:rPr>
        <w:t>, f. 5.</w:t>
      </w:r>
    </w:p>
    <w:p w:rsidR="003104DF" w:rsidRPr="003104DF" w:rsidRDefault="003104DF" w:rsidP="003104DF">
      <w:pPr>
        <w:pStyle w:val="TextoNormalSangraFrancesa"/>
        <w:rPr>
          <w:rStyle w:val="TextoNormalCaracter"/>
        </w:rPr>
      </w:pPr>
      <w:bookmarkStart w:id="1059" w:name="DESCRIPTORALFABETICO182"/>
      <w:r w:rsidRPr="003104DF">
        <w:rPr>
          <w:rStyle w:val="TextoNormalNegritaCaracter"/>
        </w:rPr>
        <w:t>Usos parlamentarios</w:t>
      </w:r>
      <w:bookmarkEnd w:id="1059"/>
      <w:r w:rsidRPr="003104DF">
        <w:rPr>
          <w:rStyle w:val="TextoNormalCaracter"/>
        </w:rPr>
        <w:t xml:space="preserve">, Sentencia </w:t>
      </w:r>
      <w:hyperlink w:anchor="SENTENCIA_1992_4" w:history="1">
        <w:r w:rsidRPr="003104DF">
          <w:rPr>
            <w:rStyle w:val="TextoNormalCaracter"/>
          </w:rPr>
          <w:t>4/1992</w:t>
        </w:r>
      </w:hyperlink>
      <w:r w:rsidRPr="003104DF">
        <w:rPr>
          <w:rStyle w:val="TextoNormalCaracter"/>
        </w:rPr>
        <w:t>, f. 4.</w:t>
      </w:r>
    </w:p>
    <w:p w:rsidR="003104DF" w:rsidRDefault="003104DF" w:rsidP="003104DF">
      <w:pPr>
        <w:pStyle w:val="TextoNormalSangraFrancesa"/>
      </w:pPr>
    </w:p>
    <w:p w:rsidR="003104DF" w:rsidRDefault="003104DF" w:rsidP="003104DF">
      <w:pPr>
        <w:pStyle w:val="TextoNormalSangraFrancesa"/>
      </w:pPr>
    </w:p>
    <w:p w:rsidR="003104DF" w:rsidRDefault="003104DF" w:rsidP="003104DF">
      <w:pPr>
        <w:pStyle w:val="TextoNormalNegritaCentrado"/>
      </w:pPr>
      <w:r>
        <w:t>V</w:t>
      </w:r>
    </w:p>
    <w:p w:rsidR="003104DF" w:rsidRDefault="003104DF" w:rsidP="003104DF">
      <w:pPr>
        <w:pStyle w:val="TextoNormalNegritaCentrado"/>
      </w:pPr>
    </w:p>
    <w:p w:rsidR="003104DF" w:rsidRDefault="003104DF" w:rsidP="003104DF">
      <w:pPr>
        <w:pStyle w:val="TextoNormalNegritaCentrado"/>
      </w:pPr>
    </w:p>
    <w:p w:rsidR="003104DF" w:rsidRDefault="003104DF" w:rsidP="003104DF">
      <w:pPr>
        <w:pStyle w:val="TextoNormalNegritaCentrado"/>
      </w:pPr>
    </w:p>
    <w:p w:rsidR="003104DF" w:rsidRPr="003104DF" w:rsidRDefault="003104DF" w:rsidP="003104DF">
      <w:pPr>
        <w:pStyle w:val="TextoNormalSangraFrancesa"/>
        <w:rPr>
          <w:rStyle w:val="TextoNormalCaracter"/>
        </w:rPr>
      </w:pPr>
      <w:bookmarkStart w:id="1060" w:name="DESCRIPTORALFABETICO354"/>
      <w:r w:rsidRPr="003104DF">
        <w:rPr>
          <w:rStyle w:val="TextoNormalNegritaCaracter"/>
        </w:rPr>
        <w:t>Valor probatorio de diligencias sumariales</w:t>
      </w:r>
      <w:bookmarkEnd w:id="1060"/>
      <w:r w:rsidRPr="003104DF">
        <w:rPr>
          <w:rStyle w:val="TextoNormalCaracter"/>
        </w:rPr>
        <w:t xml:space="preserve">, Sentencia </w:t>
      </w:r>
      <w:hyperlink w:anchor="SENTENCIA_1992_10" w:history="1">
        <w:r w:rsidRPr="003104DF">
          <w:rPr>
            <w:rStyle w:val="TextoNormalCaracter"/>
          </w:rPr>
          <w:t>10/1992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 </w:t>
      </w:r>
      <w:hyperlink w:anchor="AUTO_1992_51" w:history="1">
        <w:r w:rsidRPr="003104DF">
          <w:rPr>
            <w:rStyle w:val="TextoNormalCaracter"/>
          </w:rPr>
          <w:t>51/1992</w:t>
        </w:r>
      </w:hyperlink>
      <w:r w:rsidRPr="003104DF">
        <w:rPr>
          <w:rStyle w:val="TextoNormalCaracter"/>
        </w:rPr>
        <w:t>.</w:t>
      </w:r>
    </w:p>
    <w:p w:rsidR="003104DF" w:rsidRPr="003104DF" w:rsidRDefault="003104DF" w:rsidP="003104DF">
      <w:pPr>
        <w:pStyle w:val="TextoNormalSangraFrancesa"/>
        <w:rPr>
          <w:rStyle w:val="TextoNormalCaracter"/>
        </w:rPr>
      </w:pPr>
      <w:bookmarkStart w:id="1061" w:name="DESCRIPTORALFABETICO353"/>
      <w:r w:rsidRPr="003104DF">
        <w:rPr>
          <w:rStyle w:val="TextoNormalNegritaCaracter"/>
        </w:rPr>
        <w:t>Valoración de la prueba</w:t>
      </w:r>
      <w:bookmarkEnd w:id="1061"/>
      <w:r w:rsidRPr="003104DF">
        <w:rPr>
          <w:rStyle w:val="TextoNormalCaracter"/>
        </w:rPr>
        <w:t xml:space="preserve">, Sentencia </w:t>
      </w:r>
      <w:hyperlink w:anchor="SENTENCIA_1992_24" w:history="1">
        <w:r w:rsidRPr="003104DF">
          <w:rPr>
            <w:rStyle w:val="TextoNormalCaracter"/>
          </w:rPr>
          <w:t>24/1992</w:t>
        </w:r>
      </w:hyperlink>
      <w:r w:rsidRPr="003104DF">
        <w:rPr>
          <w:rStyle w:val="TextoNormalCaracter"/>
        </w:rPr>
        <w:t>, ff. 3, 4.</w:t>
      </w:r>
    </w:p>
    <w:p w:rsidR="003104DF" w:rsidRPr="003104DF" w:rsidRDefault="003104DF" w:rsidP="003104DF">
      <w:pPr>
        <w:pStyle w:val="TextoNormalSangraFrancesa"/>
        <w:rPr>
          <w:rStyle w:val="TextoNormalCaracter"/>
        </w:rPr>
      </w:pPr>
      <w:bookmarkStart w:id="1062" w:name="DESCRIPTORALFABETICO105"/>
      <w:r w:rsidRPr="003104DF">
        <w:rPr>
          <w:rStyle w:val="TextoNormalNegritaCaracter"/>
        </w:rPr>
        <w:t>Veracidad de la información</w:t>
      </w:r>
      <w:bookmarkEnd w:id="1062"/>
      <w:r w:rsidRPr="003104DF">
        <w:rPr>
          <w:rStyle w:val="TextoNormalCaracter"/>
        </w:rPr>
        <w:t xml:space="preserve">, Sentencias </w:t>
      </w:r>
      <w:hyperlink w:anchor="SENTENCIA_1992_20" w:history="1">
        <w:r w:rsidRPr="003104DF">
          <w:rPr>
            <w:rStyle w:val="TextoNormalCaracter"/>
          </w:rPr>
          <w:t>20/1992</w:t>
        </w:r>
      </w:hyperlink>
      <w:r w:rsidRPr="003104DF">
        <w:rPr>
          <w:rStyle w:val="TextoNormalCaracter"/>
        </w:rPr>
        <w:t xml:space="preserve">, f. 2; </w:t>
      </w:r>
      <w:hyperlink w:anchor="SENTENCIA_1992_40" w:history="1">
        <w:r w:rsidRPr="003104DF">
          <w:rPr>
            <w:rStyle w:val="TextoNormalCaracter"/>
          </w:rPr>
          <w:t>40/1992</w:t>
        </w:r>
      </w:hyperlink>
      <w:r w:rsidRPr="003104DF">
        <w:rPr>
          <w:rStyle w:val="TextoNormalCaracter"/>
        </w:rPr>
        <w:t>, f. 2.</w:t>
      </w:r>
    </w:p>
    <w:p w:rsidR="003104DF" w:rsidRPr="003104DF" w:rsidRDefault="003104DF" w:rsidP="003104DF">
      <w:pPr>
        <w:pStyle w:val="TextoNormalSangraFrancesa"/>
        <w:rPr>
          <w:rStyle w:val="TextoNormalCaracter"/>
        </w:rPr>
      </w:pPr>
      <w:r w:rsidRPr="003104DF">
        <w:rPr>
          <w:rStyle w:val="TextoNormalCaracter"/>
        </w:rPr>
        <w:t xml:space="preserve">    Autos </w:t>
      </w:r>
      <w:hyperlink w:anchor="AUTO_1992_5" w:history="1">
        <w:r w:rsidRPr="003104DF">
          <w:rPr>
            <w:rStyle w:val="TextoNormalCaracter"/>
          </w:rPr>
          <w:t>5/1992</w:t>
        </w:r>
      </w:hyperlink>
      <w:r w:rsidRPr="003104DF">
        <w:rPr>
          <w:rStyle w:val="TextoNormalCaracter"/>
        </w:rPr>
        <w:t xml:space="preserve">; </w:t>
      </w:r>
      <w:hyperlink w:anchor="AUTO_1992_70" w:history="1">
        <w:r w:rsidRPr="003104DF">
          <w:rPr>
            <w:rStyle w:val="TextoNormalCaracter"/>
          </w:rPr>
          <w:t>70/1992</w:t>
        </w:r>
      </w:hyperlink>
      <w:r w:rsidRPr="003104DF">
        <w:rPr>
          <w:rStyle w:val="TextoNormalCaracter"/>
        </w:rPr>
        <w:t>.</w:t>
      </w:r>
    </w:p>
    <w:p w:rsidR="003104DF" w:rsidRPr="003104DF" w:rsidRDefault="003104DF" w:rsidP="003104DF">
      <w:pPr>
        <w:pStyle w:val="TextoNormalSangraFrancesa"/>
        <w:rPr>
          <w:rStyle w:val="TextoNormalCaracter"/>
        </w:rPr>
      </w:pPr>
      <w:bookmarkStart w:id="1063" w:name="DESCRIPTORALFABETICO260"/>
      <w:r w:rsidRPr="003104DF">
        <w:rPr>
          <w:rStyle w:val="TextoNormalNegritaCaracter"/>
        </w:rPr>
        <w:t>Vida privada</w:t>
      </w:r>
      <w:bookmarkEnd w:id="1063"/>
      <w:r w:rsidRPr="003104DF">
        <w:rPr>
          <w:rStyle w:val="TextoNormalCaracter"/>
        </w:rPr>
        <w:t xml:space="preserve">, Sentencia </w:t>
      </w:r>
      <w:hyperlink w:anchor="SENTENCIA_1992_20" w:history="1">
        <w:r w:rsidRPr="003104DF">
          <w:rPr>
            <w:rStyle w:val="TextoNormalCaracter"/>
          </w:rPr>
          <w:t>20/1992</w:t>
        </w:r>
      </w:hyperlink>
      <w:r w:rsidRPr="003104DF">
        <w:rPr>
          <w:rStyle w:val="TextoNormalCaracter"/>
        </w:rPr>
        <w:t>, f. 3.</w:t>
      </w:r>
    </w:p>
    <w:p w:rsidR="003104DF" w:rsidRPr="003104DF" w:rsidRDefault="003104DF" w:rsidP="003104DF">
      <w:pPr>
        <w:pStyle w:val="TextoNormalSangraFrancesa"/>
        <w:rPr>
          <w:rStyle w:val="TextoNormalCaracter"/>
        </w:rPr>
      </w:pPr>
      <w:bookmarkStart w:id="1064" w:name="DESCRIPTORALFABETICO346"/>
      <w:r w:rsidRPr="003104DF">
        <w:rPr>
          <w:rStyle w:val="TextoNormalNegritaCaracter"/>
        </w:rPr>
        <w:t>Vinculación del Tribunal Constitucional a los hechos probados</w:t>
      </w:r>
      <w:bookmarkEnd w:id="1064"/>
      <w:r w:rsidRPr="003104DF">
        <w:rPr>
          <w:rStyle w:val="TextoNormalCaracter"/>
        </w:rPr>
        <w:t xml:space="preserve">, Sentencia </w:t>
      </w:r>
      <w:hyperlink w:anchor="SENTENCIA_1992_43" w:history="1">
        <w:r w:rsidRPr="003104DF">
          <w:rPr>
            <w:rStyle w:val="TextoNormalCaracter"/>
          </w:rPr>
          <w:t>43/1992</w:t>
        </w:r>
      </w:hyperlink>
      <w:r w:rsidRPr="003104DF">
        <w:rPr>
          <w:rStyle w:val="TextoNormalCaracter"/>
        </w:rPr>
        <w:t>, ff. 2, 3.</w:t>
      </w:r>
    </w:p>
    <w:p w:rsidR="003104DF" w:rsidRPr="003104DF" w:rsidRDefault="003104DF" w:rsidP="003104DF">
      <w:pPr>
        <w:pStyle w:val="TextoNormalSangraFrancesa"/>
        <w:rPr>
          <w:rStyle w:val="TextoNormalNegritaCaracter"/>
        </w:rPr>
      </w:pPr>
      <w:r w:rsidRPr="003104DF">
        <w:rPr>
          <w:rStyle w:val="TextoNormalCursivaCaracter"/>
        </w:rPr>
        <w:t>Vista oral</w:t>
      </w:r>
      <w:r>
        <w:t xml:space="preserve"> véase </w:t>
      </w:r>
      <w:hyperlink w:anchor="DESCRIPTORALFABETICO417" w:history="1">
        <w:r w:rsidRPr="003104DF">
          <w:rPr>
            <w:rStyle w:val="TextoNormalNegritaCaracter"/>
          </w:rPr>
          <w:t>Juicio oral</w:t>
        </w:r>
      </w:hyperlink>
    </w:p>
    <w:p w:rsidR="003104DF" w:rsidRPr="003104DF" w:rsidRDefault="003104DF" w:rsidP="003104DF">
      <w:pPr>
        <w:pStyle w:val="TextoNormalSangraFrancesa"/>
        <w:rPr>
          <w:rStyle w:val="TextoNormalCaracter"/>
        </w:rPr>
      </w:pPr>
      <w:bookmarkStart w:id="1065" w:name="DESCRIPTORALFABETICO158"/>
      <w:r w:rsidRPr="003104DF">
        <w:rPr>
          <w:rStyle w:val="TextoNormalNegritaCaracter"/>
        </w:rPr>
        <w:t>Voto particular, formulado uno</w:t>
      </w:r>
      <w:bookmarkEnd w:id="1065"/>
      <w:r w:rsidRPr="003104DF">
        <w:rPr>
          <w:rStyle w:val="TextoNormalCaracter"/>
        </w:rPr>
        <w:t xml:space="preserve">, Sentencias </w:t>
      </w:r>
      <w:hyperlink w:anchor="SENTENCIA_1992_14" w:history="1">
        <w:r w:rsidRPr="003104DF">
          <w:rPr>
            <w:rStyle w:val="TextoNormalCaracter"/>
          </w:rPr>
          <w:t>14/1992</w:t>
        </w:r>
      </w:hyperlink>
      <w:r w:rsidRPr="003104DF">
        <w:rPr>
          <w:rStyle w:val="TextoNormalCaracter"/>
        </w:rPr>
        <w:t xml:space="preserve">; </w:t>
      </w:r>
      <w:hyperlink w:anchor="SENTENCIA_1992_26" w:history="1">
        <w:r w:rsidRPr="003104DF">
          <w:rPr>
            <w:rStyle w:val="TextoNormalCaracter"/>
          </w:rPr>
          <w:t>26/1992</w:t>
        </w:r>
      </w:hyperlink>
      <w:r w:rsidRPr="003104DF">
        <w:rPr>
          <w:rStyle w:val="TextoNormalCaracter"/>
        </w:rPr>
        <w:t xml:space="preserve">; </w:t>
      </w:r>
      <w:hyperlink w:anchor="SENTENCIA_1992_35" w:history="1">
        <w:r w:rsidRPr="003104DF">
          <w:rPr>
            <w:rStyle w:val="TextoNormalCaracter"/>
          </w:rPr>
          <w:t>35/1992</w:t>
        </w:r>
      </w:hyperlink>
      <w:r w:rsidRPr="003104DF">
        <w:rPr>
          <w:rStyle w:val="TextoNormalCaracter"/>
        </w:rPr>
        <w:t xml:space="preserve">; </w:t>
      </w:r>
      <w:hyperlink w:anchor="SENTENCIA_1992_68" w:history="1">
        <w:r w:rsidRPr="003104DF">
          <w:rPr>
            <w:rStyle w:val="TextoNormalCaracter"/>
          </w:rPr>
          <w:t>68/1992</w:t>
        </w:r>
      </w:hyperlink>
      <w:r w:rsidRPr="003104DF">
        <w:rPr>
          <w:rStyle w:val="TextoNormalCaracter"/>
        </w:rPr>
        <w:t>.</w:t>
      </w:r>
    </w:p>
    <w:p w:rsidR="003104DF" w:rsidRDefault="003104DF">
      <w:pPr>
        <w:rPr>
          <w:rFonts w:ascii="Times New Roman" w:eastAsia="Times New Roman" w:hAnsi="Times New Roman" w:cs="Times New Roman"/>
          <w:sz w:val="24"/>
          <w:szCs w:val="24"/>
          <w:lang w:eastAsia="es-ES"/>
        </w:rPr>
      </w:pPr>
      <w:r>
        <w:br w:type="page"/>
      </w:r>
    </w:p>
    <w:p w:rsidR="003104DF" w:rsidRDefault="003104DF" w:rsidP="003104D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extoNormalSangraFrancesa"/>
      </w:pPr>
    </w:p>
    <w:p w:rsidR="0057291F" w:rsidRDefault="0057291F" w:rsidP="0057291F">
      <w:pPr>
        <w:pStyle w:val="Ttulondice"/>
      </w:pPr>
      <w:bookmarkStart w:id="1066" w:name="ACRONIMOS"/>
      <w:r>
        <w:t>8. ABREVIATURAS Y ACRÓNIMOS</w:t>
      </w:r>
    </w:p>
    <w:bookmarkEnd w:id="1066"/>
    <w:p w:rsidR="0057291F" w:rsidRDefault="0057291F" w:rsidP="0057291F">
      <w:pPr>
        <w:pStyle w:val="Ttulondice"/>
      </w:pPr>
    </w:p>
    <w:p w:rsidR="0057291F" w:rsidRDefault="0057291F" w:rsidP="0057291F">
      <w:pPr>
        <w:pStyle w:val="Ttulondice"/>
      </w:pPr>
    </w:p>
    <w:p w:rsidR="0057291F" w:rsidRDefault="0057291F" w:rsidP="0057291F">
      <w:pPr>
        <w:pStyle w:val="Ttulondice"/>
      </w:pPr>
    </w:p>
    <w:p w:rsidR="0057291F" w:rsidRDefault="0057291F" w:rsidP="0057291F">
      <w:pPr>
        <w:pStyle w:val="Ttulondice"/>
      </w:pPr>
    </w:p>
    <w:p w:rsidR="0057291F" w:rsidRDefault="0057291F" w:rsidP="0057291F">
      <w:pPr>
        <w:pStyle w:val="TextoAbreviaturas"/>
      </w:pPr>
      <w:r>
        <w:t>ATC</w:t>
      </w:r>
      <w:r>
        <w:tab/>
        <w:t>Auto del Tribunal Constitucional</w:t>
      </w:r>
    </w:p>
    <w:p w:rsidR="0057291F" w:rsidRDefault="0057291F" w:rsidP="0057291F">
      <w:pPr>
        <w:pStyle w:val="TextoAbreviaturas"/>
      </w:pPr>
      <w:r>
        <w:t>AATC</w:t>
      </w:r>
      <w:r>
        <w:tab/>
        <w:t>Autos del Tribunal Constitucional</w:t>
      </w:r>
    </w:p>
    <w:p w:rsidR="0057291F" w:rsidRDefault="0057291F" w:rsidP="0057291F">
      <w:pPr>
        <w:pStyle w:val="TextoAbreviaturas"/>
      </w:pPr>
      <w:r>
        <w:t>ATS</w:t>
      </w:r>
      <w:r>
        <w:tab/>
        <w:t>Auto del Tribunal Supremo</w:t>
      </w:r>
    </w:p>
    <w:p w:rsidR="0057291F" w:rsidRDefault="0057291F" w:rsidP="0057291F">
      <w:pPr>
        <w:pStyle w:val="TextoAbreviaturas"/>
      </w:pPr>
      <w:r>
        <w:t>BOE</w:t>
      </w:r>
      <w:r>
        <w:tab/>
        <w:t>Boletín Oficial del Estado</w:t>
      </w:r>
    </w:p>
    <w:p w:rsidR="0057291F" w:rsidRDefault="0057291F" w:rsidP="0057291F">
      <w:pPr>
        <w:pStyle w:val="TextoAbreviaturas"/>
      </w:pPr>
      <w:r>
        <w:t>CC</w:t>
      </w:r>
      <w:r>
        <w:tab/>
        <w:t>Código civil</w:t>
      </w:r>
    </w:p>
    <w:p w:rsidR="0057291F" w:rsidRDefault="0057291F" w:rsidP="0057291F">
      <w:pPr>
        <w:pStyle w:val="TextoAbreviaturas"/>
      </w:pPr>
      <w:r>
        <w:t>CCOO</w:t>
      </w:r>
      <w:r>
        <w:tab/>
        <w:t>Comisiones Obreras</w:t>
      </w:r>
    </w:p>
    <w:p w:rsidR="0057291F" w:rsidRDefault="0057291F" w:rsidP="0057291F">
      <w:pPr>
        <w:pStyle w:val="TextoAbreviaturas"/>
      </w:pPr>
      <w:r>
        <w:t>CE</w:t>
      </w:r>
      <w:r>
        <w:tab/>
        <w:t>Constitución española</w:t>
      </w:r>
    </w:p>
    <w:p w:rsidR="0057291F" w:rsidRDefault="0057291F" w:rsidP="0057291F">
      <w:pPr>
        <w:pStyle w:val="TextoAbreviaturas"/>
      </w:pPr>
      <w:r>
        <w:t>CEE</w:t>
      </w:r>
      <w:r>
        <w:tab/>
        <w:t>Comunidad Económica Europea</w:t>
      </w:r>
    </w:p>
    <w:p w:rsidR="0057291F" w:rsidRDefault="0057291F" w:rsidP="0057291F">
      <w:pPr>
        <w:pStyle w:val="TextoAbreviaturas"/>
      </w:pPr>
      <w:r>
        <w:t>CEOE</w:t>
      </w:r>
      <w:r>
        <w:tab/>
        <w:t>Confederación española de organizaciones empresariales</w:t>
      </w:r>
    </w:p>
    <w:p w:rsidR="0057291F" w:rsidRDefault="0057291F" w:rsidP="0057291F">
      <w:pPr>
        <w:pStyle w:val="TextoAbreviaturas"/>
      </w:pPr>
      <w:r>
        <w:t>CEPYME</w:t>
      </w:r>
      <w:r>
        <w:tab/>
        <w:t>Confederación española de la pequeña y mediana empresa</w:t>
      </w:r>
    </w:p>
    <w:p w:rsidR="0057291F" w:rsidRDefault="0057291F" w:rsidP="0057291F">
      <w:pPr>
        <w:pStyle w:val="TextoAbreviaturas"/>
      </w:pPr>
      <w:r>
        <w:t>CP</w:t>
      </w:r>
      <w:r>
        <w:tab/>
        <w:t>Código penal</w:t>
      </w:r>
    </w:p>
    <w:p w:rsidR="0057291F" w:rsidRDefault="0057291F" w:rsidP="0057291F">
      <w:pPr>
        <w:pStyle w:val="TextoAbreviaturas"/>
      </w:pPr>
      <w:r>
        <w:t>DOG</w:t>
      </w:r>
      <w:r>
        <w:tab/>
        <w:t>Diario Oficial de Galicia</w:t>
      </w:r>
    </w:p>
    <w:p w:rsidR="0057291F" w:rsidRDefault="0057291F" w:rsidP="0057291F">
      <w:pPr>
        <w:pStyle w:val="TextoAbreviaturas"/>
      </w:pPr>
      <w:r>
        <w:t>DOGC</w:t>
      </w:r>
      <w:r>
        <w:tab/>
        <w:t>Diario Oficial de la Generalidad de Cataluña</w:t>
      </w:r>
    </w:p>
    <w:p w:rsidR="0057291F" w:rsidRDefault="0057291F" w:rsidP="0057291F">
      <w:pPr>
        <w:pStyle w:val="TextoAbreviaturas"/>
      </w:pPr>
      <w:r>
        <w:t>EAC</w:t>
      </w:r>
      <w:r>
        <w:tab/>
        <w:t>Estatuto de Autonomía de Cataluña</w:t>
      </w:r>
    </w:p>
    <w:p w:rsidR="0057291F" w:rsidRDefault="0057291F" w:rsidP="0057291F">
      <w:pPr>
        <w:pStyle w:val="TextoAbreviaturas"/>
      </w:pPr>
      <w:r>
        <w:t>EAG</w:t>
      </w:r>
      <w:r>
        <w:tab/>
        <w:t>Estatuto de Autonomía para Galicia</w:t>
      </w:r>
    </w:p>
    <w:p w:rsidR="0057291F" w:rsidRDefault="0057291F" w:rsidP="0057291F">
      <w:pPr>
        <w:pStyle w:val="TextoAbreviaturas"/>
      </w:pPr>
      <w:r>
        <w:t>ELA-STV</w:t>
      </w:r>
      <w:r>
        <w:tab/>
        <w:t>Eusko Langileen Alkartasuna-Solidaridad de Trabajadores Vascos</w:t>
      </w:r>
    </w:p>
    <w:p w:rsidR="0057291F" w:rsidRDefault="0057291F" w:rsidP="0057291F">
      <w:pPr>
        <w:pStyle w:val="TextoAbreviaturas"/>
      </w:pPr>
      <w:r>
        <w:t>ESO</w:t>
      </w:r>
      <w:r>
        <w:tab/>
        <w:t>Enseñanza Secundaria Obligatoria</w:t>
      </w:r>
    </w:p>
    <w:p w:rsidR="0057291F" w:rsidRDefault="0057291F" w:rsidP="0057291F">
      <w:pPr>
        <w:pStyle w:val="TextoAbreviaturas"/>
      </w:pPr>
      <w:r>
        <w:t>FEOGA</w:t>
      </w:r>
      <w:r>
        <w:tab/>
        <w:t>Fondo Europeo de Orientación y de Garantía Agrícola</w:t>
      </w:r>
    </w:p>
    <w:p w:rsidR="0057291F" w:rsidRDefault="0057291F" w:rsidP="0057291F">
      <w:pPr>
        <w:pStyle w:val="TextoAbreviaturas"/>
      </w:pPr>
      <w:r>
        <w:t>FJ</w:t>
      </w:r>
      <w:r>
        <w:tab/>
        <w:t>Fundamento jurídico</w:t>
      </w:r>
    </w:p>
    <w:p w:rsidR="0057291F" w:rsidRDefault="0057291F" w:rsidP="0057291F">
      <w:pPr>
        <w:pStyle w:val="TextoAbreviaturas"/>
      </w:pPr>
      <w:r>
        <w:t>FOGASA</w:t>
      </w:r>
      <w:r>
        <w:tab/>
        <w:t>Fondo de Garantía Salarial</w:t>
      </w:r>
    </w:p>
    <w:p w:rsidR="0057291F" w:rsidRDefault="0057291F" w:rsidP="0057291F">
      <w:pPr>
        <w:pStyle w:val="TextoAbreviaturas"/>
      </w:pPr>
      <w:r>
        <w:t>FORPA</w:t>
      </w:r>
      <w:r>
        <w:tab/>
        <w:t>Fondo de Ordenación y Regulación de Producciones y Precios Agrarios</w:t>
      </w:r>
    </w:p>
    <w:p w:rsidR="0057291F" w:rsidRDefault="0057291F" w:rsidP="0057291F">
      <w:pPr>
        <w:pStyle w:val="TextoAbreviaturas"/>
      </w:pPr>
      <w:r>
        <w:t>INSALUD</w:t>
      </w:r>
      <w:r>
        <w:tab/>
        <w:t>Instituto Nacional de la Salud</w:t>
      </w:r>
    </w:p>
    <w:p w:rsidR="0057291F" w:rsidRDefault="0057291F" w:rsidP="0057291F">
      <w:pPr>
        <w:pStyle w:val="TextoAbreviaturas"/>
      </w:pPr>
      <w:r>
        <w:t>INSS</w:t>
      </w:r>
      <w:r>
        <w:tab/>
        <w:t>Instituto Nacional de la Seguridad Social</w:t>
      </w:r>
    </w:p>
    <w:p w:rsidR="0057291F" w:rsidRDefault="0057291F" w:rsidP="0057291F">
      <w:pPr>
        <w:pStyle w:val="TextoAbreviaturas"/>
      </w:pPr>
      <w:r>
        <w:t>IRPF</w:t>
      </w:r>
      <w:r>
        <w:tab/>
        <w:t>Impuesto sobre la renta de las personas físicas</w:t>
      </w:r>
    </w:p>
    <w:p w:rsidR="0057291F" w:rsidRDefault="0057291F" w:rsidP="0057291F">
      <w:pPr>
        <w:pStyle w:val="TextoAbreviaturas"/>
      </w:pPr>
      <w:r>
        <w:t>IRYDA</w:t>
      </w:r>
      <w:r>
        <w:tab/>
        <w:t>Instituto para la reforma y desarrollo agrario</w:t>
      </w:r>
    </w:p>
    <w:p w:rsidR="0057291F" w:rsidRDefault="0057291F" w:rsidP="0057291F">
      <w:pPr>
        <w:pStyle w:val="TextoAbreviaturas"/>
      </w:pPr>
      <w:r>
        <w:t>LAU</w:t>
      </w:r>
      <w:r>
        <w:tab/>
        <w:t>Ley de arrendamientos urbanos</w:t>
      </w:r>
    </w:p>
    <w:p w:rsidR="0057291F" w:rsidRDefault="0057291F" w:rsidP="0057291F">
      <w:pPr>
        <w:pStyle w:val="TextoAbreviaturas"/>
      </w:pPr>
      <w:r>
        <w:t>LBRL</w:t>
      </w:r>
      <w:r>
        <w:tab/>
        <w:t>Ley reguladora de las bases de régimen local</w:t>
      </w:r>
    </w:p>
    <w:p w:rsidR="0057291F" w:rsidRDefault="0057291F" w:rsidP="0057291F">
      <w:pPr>
        <w:pStyle w:val="TextoAbreviaturas"/>
      </w:pPr>
      <w:r>
        <w:t>LCU</w:t>
      </w:r>
      <w:r>
        <w:tab/>
        <w:t>Ley general para la defensa de los consumidores y usuarios</w:t>
      </w:r>
    </w:p>
    <w:p w:rsidR="0057291F" w:rsidRDefault="0057291F" w:rsidP="0057291F">
      <w:pPr>
        <w:pStyle w:val="TextoAbreviaturas"/>
      </w:pPr>
      <w:r>
        <w:t>LEC</w:t>
      </w:r>
      <w:r>
        <w:tab/>
        <w:t>Ley de enjuiciamiento civil</w:t>
      </w:r>
    </w:p>
    <w:p w:rsidR="0057291F" w:rsidRDefault="0057291F" w:rsidP="0057291F">
      <w:pPr>
        <w:pStyle w:val="TextoAbreviaturas"/>
      </w:pPr>
      <w:r>
        <w:t>LECrim</w:t>
      </w:r>
      <w:r>
        <w:tab/>
        <w:t>Ley de enjuiciamiento criminal</w:t>
      </w:r>
    </w:p>
    <w:p w:rsidR="0057291F" w:rsidRDefault="0057291F" w:rsidP="0057291F">
      <w:pPr>
        <w:pStyle w:val="TextoAbreviaturas"/>
      </w:pPr>
      <w:r>
        <w:t>LET</w:t>
      </w:r>
      <w:r>
        <w:tab/>
        <w:t>Ley del estatuto de los trabajadores</w:t>
      </w:r>
    </w:p>
    <w:p w:rsidR="0057291F" w:rsidRDefault="0057291F" w:rsidP="0057291F">
      <w:pPr>
        <w:pStyle w:val="TextoAbreviaturas"/>
      </w:pPr>
      <w:r>
        <w:t>LGP</w:t>
      </w:r>
      <w:r>
        <w:tab/>
        <w:t>Ley general presupuestaria</w:t>
      </w:r>
    </w:p>
    <w:p w:rsidR="0057291F" w:rsidRDefault="0057291F" w:rsidP="0057291F">
      <w:pPr>
        <w:pStyle w:val="TextoAbreviaturas"/>
      </w:pPr>
      <w:r>
        <w:lastRenderedPageBreak/>
        <w:t>LGSS</w:t>
      </w:r>
      <w:r>
        <w:tab/>
        <w:t>Ley general de la Seguridad Social</w:t>
      </w:r>
    </w:p>
    <w:p w:rsidR="0057291F" w:rsidRDefault="0057291F" w:rsidP="0057291F">
      <w:pPr>
        <w:pStyle w:val="TextoAbreviaturas"/>
      </w:pPr>
      <w:r>
        <w:t>LGT</w:t>
      </w:r>
      <w:r>
        <w:tab/>
        <w:t>Ley general tributaria</w:t>
      </w:r>
    </w:p>
    <w:p w:rsidR="0057291F" w:rsidRDefault="0057291F" w:rsidP="0057291F">
      <w:pPr>
        <w:pStyle w:val="TextoAbreviaturas"/>
      </w:pPr>
      <w:r>
        <w:t>LH</w:t>
      </w:r>
      <w:r>
        <w:tab/>
        <w:t>Ley hipotecaria</w:t>
      </w:r>
    </w:p>
    <w:p w:rsidR="0057291F" w:rsidRDefault="0057291F" w:rsidP="0057291F">
      <w:pPr>
        <w:pStyle w:val="TextoAbreviaturas"/>
      </w:pPr>
      <w:r>
        <w:t>LJCA</w:t>
      </w:r>
      <w:r>
        <w:tab/>
        <w:t>Ley reguladora de la jurisdicción contencioso-administrativa</w:t>
      </w:r>
    </w:p>
    <w:p w:rsidR="0057291F" w:rsidRDefault="0057291F" w:rsidP="0057291F">
      <w:pPr>
        <w:pStyle w:val="TextoAbreviaturas"/>
      </w:pPr>
      <w:r>
        <w:t>LODE</w:t>
      </w:r>
      <w:r>
        <w:tab/>
        <w:t>Ley Orgánica del derecho a la educación</w:t>
      </w:r>
    </w:p>
    <w:p w:rsidR="0057291F" w:rsidRDefault="0057291F" w:rsidP="0057291F">
      <w:pPr>
        <w:pStyle w:val="TextoAbreviaturas"/>
      </w:pPr>
      <w:r>
        <w:t>LOFCA</w:t>
      </w:r>
      <w:r>
        <w:tab/>
        <w:t>Ley Orgánica de financiación de las Comunidades Autónomas</w:t>
      </w:r>
    </w:p>
    <w:p w:rsidR="0057291F" w:rsidRDefault="0057291F" w:rsidP="0057291F">
      <w:pPr>
        <w:pStyle w:val="TextoAbreviaturas"/>
      </w:pPr>
      <w:r>
        <w:t>LOGP</w:t>
      </w:r>
      <w:r>
        <w:tab/>
        <w:t>Ley Orgánica general penitenciaria</w:t>
      </w:r>
    </w:p>
    <w:p w:rsidR="0057291F" w:rsidRDefault="0057291F" w:rsidP="0057291F">
      <w:pPr>
        <w:pStyle w:val="TextoAbreviaturas"/>
      </w:pPr>
      <w:r>
        <w:t>LOGSE</w:t>
      </w:r>
      <w:r>
        <w:tab/>
        <w:t>Ley Orgánica de ordenación general del sistema educativo</w:t>
      </w:r>
    </w:p>
    <w:p w:rsidR="0057291F" w:rsidRDefault="0057291F" w:rsidP="0057291F">
      <w:pPr>
        <w:pStyle w:val="TextoAbreviaturas"/>
      </w:pPr>
      <w:r>
        <w:t>LOLS</w:t>
      </w:r>
      <w:r>
        <w:tab/>
        <w:t>Ley Orgánica de libertad sindical</w:t>
      </w:r>
    </w:p>
    <w:p w:rsidR="0057291F" w:rsidRDefault="0057291F" w:rsidP="0057291F">
      <w:pPr>
        <w:pStyle w:val="TextoAbreviaturas"/>
      </w:pPr>
      <w:r>
        <w:t>LOP</w:t>
      </w:r>
      <w:r>
        <w:tab/>
        <w:t>Ley de orden público</w:t>
      </w:r>
    </w:p>
    <w:p w:rsidR="0057291F" w:rsidRDefault="0057291F" w:rsidP="0057291F">
      <w:pPr>
        <w:pStyle w:val="TextoAbreviaturas"/>
      </w:pPr>
      <w:r>
        <w:t>LOPJ</w:t>
      </w:r>
      <w:r>
        <w:tab/>
        <w:t>Ley Orgánica del Poder Judicial</w:t>
      </w:r>
    </w:p>
    <w:p w:rsidR="0057291F" w:rsidRDefault="0057291F" w:rsidP="0057291F">
      <w:pPr>
        <w:pStyle w:val="TextoAbreviaturas"/>
      </w:pPr>
      <w:r>
        <w:t>LORAFNA</w:t>
      </w:r>
      <w:r>
        <w:tab/>
        <w:t>Ley Orgánica de reintegración y amejoramiento del régimen foral de Navarra</w:t>
      </w:r>
    </w:p>
    <w:p w:rsidR="0057291F" w:rsidRDefault="0057291F" w:rsidP="0057291F">
      <w:pPr>
        <w:pStyle w:val="TextoAbreviaturas"/>
      </w:pPr>
      <w:r>
        <w:t>LOREG</w:t>
      </w:r>
      <w:r>
        <w:tab/>
        <w:t>Ley Orgánica del régimen electoral general</w:t>
      </w:r>
    </w:p>
    <w:p w:rsidR="0057291F" w:rsidRDefault="0057291F" w:rsidP="0057291F">
      <w:pPr>
        <w:pStyle w:val="TextoAbreviaturas"/>
      </w:pPr>
      <w:r>
        <w:t>LOTC</w:t>
      </w:r>
      <w:r>
        <w:tab/>
        <w:t>Ley Orgánica del Tribunal Constitucional</w:t>
      </w:r>
    </w:p>
    <w:p w:rsidR="0057291F" w:rsidRDefault="0057291F" w:rsidP="0057291F">
      <w:pPr>
        <w:pStyle w:val="TextoAbreviaturas"/>
      </w:pPr>
      <w:r>
        <w:t>LPA</w:t>
      </w:r>
      <w:r>
        <w:tab/>
        <w:t>Ley de procedimiento administrativo</w:t>
      </w:r>
    </w:p>
    <w:p w:rsidR="0057291F" w:rsidRDefault="0057291F" w:rsidP="0057291F">
      <w:pPr>
        <w:pStyle w:val="TextoAbreviaturas"/>
      </w:pPr>
      <w:r>
        <w:t>LPC</w:t>
      </w:r>
      <w:r>
        <w:tab/>
        <w:t>Ley de régimen jurídico de las Administraciones públicas y del procedimiento administrativo común</w:t>
      </w:r>
    </w:p>
    <w:p w:rsidR="0057291F" w:rsidRDefault="0057291F" w:rsidP="0057291F">
      <w:pPr>
        <w:pStyle w:val="TextoAbreviaturas"/>
      </w:pPr>
      <w:r>
        <w:t>LPJDF</w:t>
      </w:r>
      <w:r>
        <w:tab/>
        <w:t>Ley de protección jurisdiccional de los derechos fundamentales de la persona.</w:t>
      </w:r>
    </w:p>
    <w:p w:rsidR="0057291F" w:rsidRDefault="0057291F" w:rsidP="0057291F">
      <w:pPr>
        <w:pStyle w:val="TextoAbreviaturas"/>
      </w:pPr>
      <w:r>
        <w:t>LPL</w:t>
      </w:r>
      <w:r>
        <w:tab/>
        <w:t>Ley de procedimiento laboral</w:t>
      </w:r>
    </w:p>
    <w:p w:rsidR="0057291F" w:rsidRDefault="0057291F" w:rsidP="0057291F">
      <w:pPr>
        <w:pStyle w:val="TextoAbreviaturas"/>
      </w:pPr>
      <w:r>
        <w:t>MAPA</w:t>
      </w:r>
      <w:r>
        <w:tab/>
        <w:t>Ministerio de Agricultura, Pesca y Alimentación</w:t>
      </w:r>
    </w:p>
    <w:p w:rsidR="0057291F" w:rsidRDefault="0057291F" w:rsidP="0057291F">
      <w:pPr>
        <w:pStyle w:val="TextoAbreviaturas"/>
      </w:pPr>
      <w:r>
        <w:t>MUFACE</w:t>
      </w:r>
      <w:r>
        <w:tab/>
        <w:t>Mutualidad de Funcionarios Civiles del Estado</w:t>
      </w:r>
    </w:p>
    <w:p w:rsidR="0057291F" w:rsidRDefault="0057291F" w:rsidP="0057291F">
      <w:pPr>
        <w:pStyle w:val="TextoAbreviaturas"/>
      </w:pPr>
      <w:r>
        <w:t>MUNPAL</w:t>
      </w:r>
      <w:r>
        <w:tab/>
        <w:t>Mutualidad Nacional de Previsión de la Administración Local</w:t>
      </w:r>
    </w:p>
    <w:p w:rsidR="0057291F" w:rsidRDefault="0057291F" w:rsidP="0057291F">
      <w:pPr>
        <w:pStyle w:val="TextoAbreviaturas"/>
      </w:pPr>
      <w:r>
        <w:t>OIT</w:t>
      </w:r>
      <w:r>
        <w:tab/>
        <w:t>Organización Internacional del Trabajo</w:t>
      </w:r>
    </w:p>
    <w:p w:rsidR="0057291F" w:rsidRDefault="0057291F" w:rsidP="0057291F">
      <w:pPr>
        <w:pStyle w:val="TextoAbreviaturas"/>
      </w:pPr>
      <w:r>
        <w:t>PP</w:t>
      </w:r>
      <w:r>
        <w:tab/>
        <w:t>Partido Popular</w:t>
      </w:r>
    </w:p>
    <w:p w:rsidR="0057291F" w:rsidRDefault="0057291F" w:rsidP="0057291F">
      <w:pPr>
        <w:pStyle w:val="TextoAbreviaturas"/>
      </w:pPr>
      <w:r>
        <w:t>PSOE</w:t>
      </w:r>
      <w:r>
        <w:tab/>
        <w:t>Partido Socialista Obrero Español</w:t>
      </w:r>
    </w:p>
    <w:p w:rsidR="0057291F" w:rsidRDefault="0057291F" w:rsidP="0057291F">
      <w:pPr>
        <w:pStyle w:val="TextoAbreviaturas"/>
      </w:pPr>
      <w:r>
        <w:t>RBEL</w:t>
      </w:r>
      <w:r>
        <w:tab/>
        <w:t>Reglamento de bienes de las entidades locales</w:t>
      </w:r>
    </w:p>
    <w:p w:rsidR="0057291F" w:rsidRDefault="0057291F" w:rsidP="0057291F">
      <w:pPr>
        <w:pStyle w:val="TextoAbreviaturas"/>
      </w:pPr>
      <w:r>
        <w:t>RENFE</w:t>
      </w:r>
      <w:r>
        <w:tab/>
        <w:t>Red Nacional de los Ferrocarriles Españoles</w:t>
      </w:r>
    </w:p>
    <w:p w:rsidR="0057291F" w:rsidRDefault="0057291F" w:rsidP="0057291F">
      <w:pPr>
        <w:pStyle w:val="TextoAbreviaturas"/>
      </w:pPr>
      <w:r>
        <w:t>RH</w:t>
      </w:r>
      <w:r>
        <w:tab/>
        <w:t>Reglamento hipotecario</w:t>
      </w:r>
    </w:p>
    <w:p w:rsidR="0057291F" w:rsidRDefault="0057291F" w:rsidP="0057291F">
      <w:pPr>
        <w:pStyle w:val="TextoAbreviaturas"/>
      </w:pPr>
      <w:r>
        <w:t>RP</w:t>
      </w:r>
      <w:r>
        <w:tab/>
        <w:t>Reglamento penitenciario</w:t>
      </w:r>
    </w:p>
    <w:p w:rsidR="0057291F" w:rsidRDefault="0057291F" w:rsidP="0057291F">
      <w:pPr>
        <w:pStyle w:val="TextoAbreviaturas"/>
      </w:pPr>
      <w:r>
        <w:t>SOVI</w:t>
      </w:r>
      <w:r>
        <w:tab/>
        <w:t>Seguro obligatorio de vejez e invalidez</w:t>
      </w:r>
    </w:p>
    <w:p w:rsidR="0057291F" w:rsidRDefault="0057291F" w:rsidP="0057291F">
      <w:pPr>
        <w:pStyle w:val="TextoAbreviaturas"/>
      </w:pPr>
      <w:r>
        <w:t>STC</w:t>
      </w:r>
      <w:r>
        <w:tab/>
        <w:t>Sentencia del Tribunal Constitucional</w:t>
      </w:r>
    </w:p>
    <w:p w:rsidR="0057291F" w:rsidRDefault="0057291F" w:rsidP="0057291F">
      <w:pPr>
        <w:pStyle w:val="TextoAbreviaturas"/>
      </w:pPr>
      <w:r>
        <w:t>SSTC</w:t>
      </w:r>
      <w:r>
        <w:tab/>
        <w:t>Sentencias del Tribunal Constitucional</w:t>
      </w:r>
    </w:p>
    <w:p w:rsidR="0057291F" w:rsidRDefault="0057291F" w:rsidP="0057291F">
      <w:pPr>
        <w:pStyle w:val="TextoAbreviaturas"/>
      </w:pPr>
      <w:r>
        <w:t>STEDH</w:t>
      </w:r>
      <w:r>
        <w:tab/>
        <w:t>Sentencia del Tribunal Europeo de Derechos Humanos</w:t>
      </w:r>
    </w:p>
    <w:p w:rsidR="0057291F" w:rsidRDefault="0057291F" w:rsidP="0057291F">
      <w:pPr>
        <w:pStyle w:val="TextoAbreviaturas"/>
      </w:pPr>
      <w:r>
        <w:t>STS</w:t>
      </w:r>
      <w:r>
        <w:tab/>
        <w:t>Sentencia del Tribunal Supremo</w:t>
      </w:r>
    </w:p>
    <w:p w:rsidR="0057291F" w:rsidRDefault="0057291F" w:rsidP="0057291F">
      <w:pPr>
        <w:pStyle w:val="TextoAbreviaturas"/>
      </w:pPr>
      <w:r>
        <w:t>SSTS</w:t>
      </w:r>
      <w:r>
        <w:tab/>
        <w:t>Sentencias del Tribunal Supremo</w:t>
      </w:r>
    </w:p>
    <w:p w:rsidR="0057291F" w:rsidRDefault="0057291F" w:rsidP="0057291F">
      <w:pPr>
        <w:pStyle w:val="TextoAbreviaturas"/>
      </w:pPr>
      <w:r>
        <w:t>TGSS</w:t>
      </w:r>
      <w:r>
        <w:tab/>
        <w:t>Tesorería General de la Seguridad Social</w:t>
      </w:r>
    </w:p>
    <w:p w:rsidR="0057291F" w:rsidRDefault="0057291F" w:rsidP="0057291F">
      <w:pPr>
        <w:pStyle w:val="TextoAbreviaturas"/>
      </w:pPr>
      <w:r>
        <w:t>UGT</w:t>
      </w:r>
      <w:r>
        <w:tab/>
        <w:t>Unión General de Trabajadores</w:t>
      </w:r>
    </w:p>
    <w:p w:rsidR="0057291F" w:rsidRDefault="0057291F" w:rsidP="0057291F">
      <w:pPr>
        <w:pStyle w:val="TextoAbreviaturas"/>
      </w:pPr>
    </w:p>
    <w:sectPr w:rsidR="0057291F" w:rsidSect="001751D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D44" w:rsidRDefault="00A12D44" w:rsidP="00FE0907">
      <w:pPr>
        <w:spacing w:after="0" w:line="240" w:lineRule="auto"/>
      </w:pPr>
      <w:r>
        <w:separator/>
      </w:r>
    </w:p>
  </w:endnote>
  <w:endnote w:type="continuationSeparator" w:id="0">
    <w:p w:rsidR="00A12D44" w:rsidRDefault="00A12D44" w:rsidP="00FE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1D3" w:rsidRDefault="001751D3" w:rsidP="001751D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964F1">
      <w:rPr>
        <w:rStyle w:val="Nmerodepgina"/>
        <w:noProof/>
      </w:rPr>
      <w:t>1155</w:t>
    </w:r>
    <w:r>
      <w:rPr>
        <w:rStyle w:val="Nmerodepgina"/>
      </w:rPr>
      <w:fldChar w:fldCharType="end"/>
    </w:r>
  </w:p>
  <w:p w:rsidR="00A12D44" w:rsidRDefault="00A12D44" w:rsidP="001751D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1D3" w:rsidRDefault="001751D3" w:rsidP="001751D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964F1">
      <w:rPr>
        <w:rStyle w:val="Nmerodepgina"/>
        <w:noProof/>
      </w:rPr>
      <w:t>1156</w:t>
    </w:r>
    <w:r>
      <w:rPr>
        <w:rStyle w:val="Nmerodepgina"/>
      </w:rPr>
      <w:fldChar w:fldCharType="end"/>
    </w:r>
  </w:p>
  <w:p w:rsidR="00A12D44" w:rsidRDefault="00A12D44" w:rsidP="001751D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D44" w:rsidRDefault="00A12D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D44" w:rsidRDefault="00A12D44" w:rsidP="00FE0907">
      <w:pPr>
        <w:spacing w:after="0" w:line="240" w:lineRule="auto"/>
      </w:pPr>
      <w:r>
        <w:separator/>
      </w:r>
    </w:p>
  </w:footnote>
  <w:footnote w:type="continuationSeparator" w:id="0">
    <w:p w:rsidR="00A12D44" w:rsidRDefault="00A12D44" w:rsidP="00FE0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D44" w:rsidRDefault="00A12D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D44" w:rsidRDefault="001751D3" w:rsidP="001751D3">
    <w:pPr>
      <w:pStyle w:val="Cabecera"/>
    </w:pPr>
    <w:r>
      <w:t>JURISPRUDENCIA CONSTITUCIONAL - Tomo: enero a abril 1992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D44" w:rsidRDefault="00A12D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E16"/>
    <w:rsid w:val="0009550B"/>
    <w:rsid w:val="000D65D0"/>
    <w:rsid w:val="000F7E09"/>
    <w:rsid w:val="001751D3"/>
    <w:rsid w:val="001B0199"/>
    <w:rsid w:val="002964F1"/>
    <w:rsid w:val="002D0A82"/>
    <w:rsid w:val="003104DF"/>
    <w:rsid w:val="003B5A26"/>
    <w:rsid w:val="00515475"/>
    <w:rsid w:val="0057291F"/>
    <w:rsid w:val="005841EA"/>
    <w:rsid w:val="00726396"/>
    <w:rsid w:val="00727FC3"/>
    <w:rsid w:val="007C6D16"/>
    <w:rsid w:val="00805C4E"/>
    <w:rsid w:val="00815992"/>
    <w:rsid w:val="0083314D"/>
    <w:rsid w:val="00857E16"/>
    <w:rsid w:val="00965C0C"/>
    <w:rsid w:val="009B4005"/>
    <w:rsid w:val="00A12D44"/>
    <w:rsid w:val="00A21C5A"/>
    <w:rsid w:val="00AA3AB7"/>
    <w:rsid w:val="00AF3C77"/>
    <w:rsid w:val="00BC05F4"/>
    <w:rsid w:val="00BC2C06"/>
    <w:rsid w:val="00BE1113"/>
    <w:rsid w:val="00CC1839"/>
    <w:rsid w:val="00DE3673"/>
    <w:rsid w:val="00EB49B4"/>
    <w:rsid w:val="00FE09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1C53DD1-A255-4CFA-9D61-EE6267B8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E16"/>
  </w:style>
  <w:style w:type="paragraph" w:styleId="Ttulo1">
    <w:name w:val="heading 1"/>
    <w:basedOn w:val="Normal"/>
    <w:next w:val="Normal"/>
    <w:link w:val="Ttulo1Car"/>
    <w:uiPriority w:val="9"/>
    <w:rsid w:val="00857E16"/>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857E16"/>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857E16"/>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857E1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57E1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57E1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7E16"/>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57E16"/>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857E16"/>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857E1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57E1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57E1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57E16"/>
    <w:pPr>
      <w:spacing w:after="0" w:line="240" w:lineRule="auto"/>
    </w:pPr>
  </w:style>
  <w:style w:type="paragraph" w:styleId="Textocomentario">
    <w:name w:val="annotation text"/>
    <w:basedOn w:val="Normal"/>
    <w:link w:val="TextocomentarioCar"/>
    <w:uiPriority w:val="99"/>
    <w:semiHidden/>
    <w:rsid w:val="00857E1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57E1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57E1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57E1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57E1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57E1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57E16"/>
    <w:rPr>
      <w:rFonts w:ascii="Times New Roman" w:hAnsi="Times New Roman"/>
      <w:i w:val="0"/>
      <w:sz w:val="24"/>
    </w:rPr>
  </w:style>
  <w:style w:type="character" w:customStyle="1" w:styleId="TtuloBOECar">
    <w:name w:val="Título BOE Car"/>
    <w:basedOn w:val="Fuentedeprrafopredeter"/>
    <w:link w:val="TtuloBOE"/>
    <w:rsid w:val="00857E1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57E16"/>
    <w:rPr>
      <w:rFonts w:ascii="Times New Roman" w:hAnsi="Times New Roman"/>
      <w:i/>
      <w:sz w:val="24"/>
    </w:rPr>
  </w:style>
  <w:style w:type="paragraph" w:customStyle="1" w:styleId="Extracto">
    <w:name w:val="Extracto"/>
    <w:basedOn w:val="Normal"/>
    <w:link w:val="ExtractoCar"/>
    <w:qFormat/>
    <w:rsid w:val="00857E1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57E1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57E1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57E1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57E1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57E1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57E1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57E1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57E1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57E1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57E1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57E16"/>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857E1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57E1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57E16"/>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857E1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57E1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57E1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57E1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57E1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57E1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57E1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57E1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57E1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57E1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57E1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57E1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57E1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57E1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57E1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57E1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57E1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57E16"/>
  </w:style>
  <w:style w:type="paragraph" w:customStyle="1" w:styleId="SntesisAnaltica">
    <w:name w:val="Síntesis Analítica"/>
    <w:basedOn w:val="ParrafoNormal"/>
    <w:link w:val="SntesisAnalticaCar"/>
    <w:qFormat/>
    <w:rsid w:val="00857E16"/>
    <w:rPr>
      <w:i/>
    </w:rPr>
  </w:style>
  <w:style w:type="character" w:customStyle="1" w:styleId="ParrafoNormalCar">
    <w:name w:val="Parrafo Normal Car"/>
    <w:basedOn w:val="Fuentedeprrafopredeter"/>
    <w:link w:val="ParrafoNormal"/>
    <w:rsid w:val="00857E1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57E1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57E1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57E1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57E1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57E1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57E1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57E1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57E16"/>
    <w:rPr>
      <w:rFonts w:ascii="Tahoma" w:eastAsia="Times New Roman" w:hAnsi="Tahoma" w:cs="Tahoma"/>
      <w:sz w:val="16"/>
      <w:szCs w:val="16"/>
      <w:lang w:eastAsia="es-ES"/>
    </w:rPr>
  </w:style>
  <w:style w:type="paragraph" w:customStyle="1" w:styleId="Portada1">
    <w:name w:val="Portada 1"/>
    <w:basedOn w:val="Normal"/>
    <w:link w:val="Portada1Car"/>
    <w:qFormat/>
    <w:rsid w:val="00857E1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57E1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57E1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57E1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57E1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57E1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57E1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57E16"/>
    <w:rPr>
      <w:rFonts w:ascii="Times New Roman" w:hAnsi="Times New Roman"/>
      <w:sz w:val="24"/>
    </w:rPr>
  </w:style>
  <w:style w:type="paragraph" w:customStyle="1" w:styleId="Prueba">
    <w:name w:val="Prueba"/>
    <w:basedOn w:val="Normal"/>
    <w:link w:val="PruebaCar"/>
    <w:qFormat/>
    <w:rsid w:val="00857E1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57E16"/>
    <w:rPr>
      <w:rFonts w:ascii="Times New Roman" w:hAnsi="Times New Roman" w:cs="Times New Roman"/>
      <w:sz w:val="24"/>
      <w:szCs w:val="24"/>
    </w:rPr>
  </w:style>
  <w:style w:type="paragraph" w:customStyle="1" w:styleId="Paginas">
    <w:name w:val="Paginas"/>
    <w:basedOn w:val="Prueba"/>
    <w:link w:val="PaginasCar"/>
    <w:qFormat/>
    <w:rsid w:val="00857E16"/>
  </w:style>
  <w:style w:type="character" w:customStyle="1" w:styleId="PaginasCar">
    <w:name w:val="Paginas Car"/>
    <w:basedOn w:val="PruebaCar"/>
    <w:link w:val="Paginas"/>
    <w:rsid w:val="00857E1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57E16"/>
    <w:pPr>
      <w:ind w:left="568" w:hanging="284"/>
    </w:pPr>
  </w:style>
  <w:style w:type="paragraph" w:customStyle="1" w:styleId="SangriaIzquierdaArticulo">
    <w:name w:val="Sangria Izquierda Articulo"/>
    <w:basedOn w:val="SangriaFrancesaArticulo"/>
    <w:link w:val="SangriaIzquierdaArticuloCar"/>
    <w:qFormat/>
    <w:rsid w:val="00857E16"/>
    <w:pPr>
      <w:ind w:firstLine="0"/>
    </w:pPr>
  </w:style>
  <w:style w:type="character" w:customStyle="1" w:styleId="SangriaFrancesaArticuloCar">
    <w:name w:val="Sangria Francesa Articulo Car"/>
    <w:basedOn w:val="ParrafoNormalCar"/>
    <w:link w:val="SangriaFrancesaArticulo"/>
    <w:rsid w:val="00857E1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57E1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57E16"/>
    <w:pPr>
      <w:tabs>
        <w:tab w:val="left" w:pos="1134"/>
      </w:tabs>
      <w:ind w:left="-567"/>
    </w:pPr>
  </w:style>
  <w:style w:type="character" w:customStyle="1" w:styleId="DescriptoresJerarquicoNegritaCar">
    <w:name w:val="Descriptores Jerarquico Negrita Car"/>
    <w:basedOn w:val="TextoNormalNegritaCar"/>
    <w:link w:val="DescriptoresJerarquicoNegrita"/>
    <w:rsid w:val="00857E1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57E1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57E16"/>
    <w:rPr>
      <w:rFonts w:ascii="Times New Roman" w:hAnsi="Times New Roman"/>
      <w:b/>
      <w:i/>
      <w:sz w:val="24"/>
    </w:rPr>
  </w:style>
  <w:style w:type="paragraph" w:customStyle="1" w:styleId="EntradandiceSumario">
    <w:name w:val="Entrada Índice Sumario"/>
    <w:basedOn w:val="EntradandiceSentencia"/>
    <w:qFormat/>
    <w:rsid w:val="00857E16"/>
    <w:pPr>
      <w:tabs>
        <w:tab w:val="clear" w:pos="8080"/>
        <w:tab w:val="right" w:leader="dot" w:pos="7371"/>
      </w:tabs>
      <w:spacing w:line="260" w:lineRule="exact"/>
      <w:ind w:right="0"/>
    </w:pPr>
  </w:style>
  <w:style w:type="paragraph" w:customStyle="1" w:styleId="FechasPortadaGaceta">
    <w:name w:val="Fechas Portada Gaceta"/>
    <w:basedOn w:val="Normal"/>
    <w:qFormat/>
    <w:rsid w:val="00857E1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57E1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57E1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57E1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57E16"/>
    <w:rPr>
      <w:rFonts w:ascii="Times New Roman" w:hAnsi="Times New Roman"/>
      <w:i w:val="0"/>
      <w:color w:val="A7599E"/>
      <w:sz w:val="24"/>
    </w:rPr>
  </w:style>
  <w:style w:type="paragraph" w:customStyle="1" w:styleId="CabeceraGaceta">
    <w:name w:val="Cabecera Gaceta"/>
    <w:next w:val="Normal"/>
    <w:link w:val="CabeceraGacetaCar"/>
    <w:qFormat/>
    <w:rsid w:val="00857E16"/>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57E1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57E16"/>
    <w:pPr>
      <w:spacing w:after="1800"/>
    </w:pPr>
  </w:style>
  <w:style w:type="character" w:styleId="nfasis">
    <w:name w:val="Emphasis"/>
    <w:basedOn w:val="Fuentedeprrafopredeter"/>
    <w:uiPriority w:val="20"/>
    <w:qFormat/>
    <w:rsid w:val="00857E16"/>
    <w:rPr>
      <w:i/>
      <w:iCs/>
    </w:rPr>
  </w:style>
  <w:style w:type="character" w:styleId="Hipervnculo">
    <w:name w:val="Hyperlink"/>
    <w:basedOn w:val="Fuentedeprrafopredeter"/>
    <w:uiPriority w:val="99"/>
    <w:unhideWhenUsed/>
    <w:rsid w:val="00857E16"/>
    <w:rPr>
      <w:b w:val="0"/>
      <w:color w:val="000000" w:themeColor="text1"/>
      <w:u w:val="none"/>
    </w:rPr>
  </w:style>
  <w:style w:type="paragraph" w:customStyle="1" w:styleId="SntesisDescriptivaConSeparacion">
    <w:name w:val="Síntesis Descriptiva Con Separacion"/>
    <w:basedOn w:val="SntesisDescriptiva"/>
    <w:qFormat/>
    <w:rsid w:val="00857E16"/>
    <w:pPr>
      <w:spacing w:after="600"/>
    </w:pPr>
  </w:style>
  <w:style w:type="paragraph" w:customStyle="1" w:styleId="SntesisAnalticaConSeparacin">
    <w:name w:val="Síntesis Analítica Con Separación"/>
    <w:basedOn w:val="SntesisAnaltica"/>
    <w:qFormat/>
    <w:rsid w:val="00857E16"/>
    <w:pPr>
      <w:spacing w:after="600"/>
    </w:pPr>
  </w:style>
  <w:style w:type="paragraph" w:customStyle="1" w:styleId="TtuloListado">
    <w:name w:val="Título Listado"/>
    <w:basedOn w:val="TextoNormal"/>
    <w:qFormat/>
    <w:rsid w:val="00857E16"/>
    <w:pPr>
      <w:spacing w:line="360" w:lineRule="auto"/>
      <w:jc w:val="center"/>
    </w:pPr>
    <w:rPr>
      <w:b/>
      <w:u w:val="single"/>
    </w:rPr>
  </w:style>
  <w:style w:type="paragraph" w:customStyle="1" w:styleId="TextoNormalCentradoCursiva">
    <w:name w:val="Texto Normal Centrado Cursiva"/>
    <w:basedOn w:val="TextoNormalCentrado"/>
    <w:qFormat/>
    <w:rsid w:val="00857E16"/>
    <w:rPr>
      <w:i/>
    </w:rPr>
  </w:style>
  <w:style w:type="paragraph" w:customStyle="1" w:styleId="TextoConBorde">
    <w:name w:val="Texto Con Borde"/>
    <w:qFormat/>
    <w:rsid w:val="00857E16"/>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57E16"/>
    <w:rPr>
      <w:sz w:val="148"/>
    </w:rPr>
  </w:style>
  <w:style w:type="paragraph" w:customStyle="1" w:styleId="TextoNormalNegritaCentradoSubrayado">
    <w:name w:val="Texto Normal Negrita Centrado Subrayado"/>
    <w:basedOn w:val="TextoNormalNegritaCentrado"/>
    <w:qFormat/>
    <w:rsid w:val="00857E16"/>
    <w:rPr>
      <w:sz w:val="28"/>
      <w:u w:val="single"/>
    </w:rPr>
  </w:style>
  <w:style w:type="paragraph" w:customStyle="1" w:styleId="TextoIndiceNivel2">
    <w:name w:val="TextoIndice Nivel2"/>
    <w:basedOn w:val="TextoNormalNegritaCentrado"/>
    <w:qFormat/>
    <w:rsid w:val="00857E16"/>
    <w:rPr>
      <w:sz w:val="36"/>
    </w:rPr>
  </w:style>
  <w:style w:type="character" w:customStyle="1" w:styleId="TextoNormalNegritaCentradoSombreado">
    <w:name w:val="Texto Normal Negrita Centrado Sombreado"/>
    <w:basedOn w:val="TextoNormalNegritaCaracter"/>
    <w:uiPriority w:val="1"/>
    <w:qFormat/>
    <w:rsid w:val="00857E16"/>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857E16"/>
    <w:rPr>
      <w:sz w:val="26"/>
    </w:rPr>
  </w:style>
  <w:style w:type="character" w:customStyle="1" w:styleId="ndiceJerrquicoDescriptor">
    <w:name w:val="Índice Jerárquico Descriptor"/>
    <w:basedOn w:val="TextoNormalCar"/>
    <w:uiPriority w:val="1"/>
    <w:qFormat/>
    <w:rsid w:val="00857E1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57E1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57E16"/>
    <w:pPr>
      <w:ind w:left="0"/>
    </w:pPr>
    <w:rPr>
      <w:sz w:val="28"/>
    </w:rPr>
  </w:style>
  <w:style w:type="character" w:styleId="Hipervnculovisitado">
    <w:name w:val="FollowedHyperlink"/>
    <w:basedOn w:val="Fuentedeprrafopredeter"/>
    <w:uiPriority w:val="99"/>
    <w:semiHidden/>
    <w:unhideWhenUsed/>
    <w:rsid w:val="00857E16"/>
    <w:rPr>
      <w:color w:val="auto"/>
      <w:u w:val="none"/>
    </w:rPr>
  </w:style>
  <w:style w:type="paragraph" w:customStyle="1" w:styleId="EntradandiceSumarioNivel2">
    <w:name w:val="Entrada Índice Sumario Nivel2"/>
    <w:basedOn w:val="EntradandiceSumario"/>
    <w:qFormat/>
    <w:rsid w:val="00857E16"/>
    <w:pPr>
      <w:spacing w:line="240" w:lineRule="exact"/>
      <w:ind w:firstLine="113"/>
    </w:pPr>
    <w:rPr>
      <w:sz w:val="23"/>
    </w:rPr>
  </w:style>
  <w:style w:type="paragraph" w:customStyle="1" w:styleId="TtuloSumariondices">
    <w:name w:val="Título Sumario Índices"/>
    <w:basedOn w:val="TextoNormal"/>
    <w:qFormat/>
    <w:rsid w:val="00857E16"/>
    <w:pPr>
      <w:ind w:firstLine="0"/>
      <w:jc w:val="center"/>
    </w:pPr>
    <w:rPr>
      <w:sz w:val="32"/>
    </w:rPr>
  </w:style>
  <w:style w:type="paragraph" w:styleId="Cierre">
    <w:name w:val="Closing"/>
    <w:basedOn w:val="Normal"/>
    <w:link w:val="CierreCar"/>
    <w:uiPriority w:val="99"/>
    <w:unhideWhenUsed/>
    <w:rsid w:val="00857E16"/>
    <w:pPr>
      <w:spacing w:after="0" w:line="240" w:lineRule="auto"/>
      <w:ind w:left="4252"/>
    </w:pPr>
  </w:style>
  <w:style w:type="character" w:customStyle="1" w:styleId="CierreCar">
    <w:name w:val="Cierre Car"/>
    <w:basedOn w:val="Fuentedeprrafopredeter"/>
    <w:link w:val="Cierre"/>
    <w:uiPriority w:val="99"/>
    <w:rsid w:val="00857E16"/>
  </w:style>
  <w:style w:type="paragraph" w:styleId="Cita">
    <w:name w:val="Quote"/>
    <w:basedOn w:val="Normal"/>
    <w:next w:val="Normal"/>
    <w:link w:val="CitaCar"/>
    <w:uiPriority w:val="29"/>
    <w:qFormat/>
    <w:rsid w:val="00857E1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57E16"/>
    <w:rPr>
      <w:i/>
      <w:iCs/>
      <w:color w:val="404040" w:themeColor="text1" w:themeTint="BF"/>
    </w:rPr>
  </w:style>
  <w:style w:type="paragraph" w:customStyle="1" w:styleId="Cabecera">
    <w:name w:val="Cabecera"/>
    <w:link w:val="CabeceraCar"/>
    <w:qFormat/>
    <w:rsid w:val="00857E16"/>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857E1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57E1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57E1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57E16"/>
    <w:rPr>
      <w:rFonts w:ascii="Times New Roman" w:hAnsi="Times New Roman"/>
      <w:b/>
      <w:color w:val="538135"/>
      <w:sz w:val="32"/>
    </w:rPr>
  </w:style>
  <w:style w:type="paragraph" w:styleId="Encabezado">
    <w:name w:val="header"/>
    <w:basedOn w:val="Normal"/>
    <w:link w:val="EncabezadoCar"/>
    <w:uiPriority w:val="99"/>
    <w:unhideWhenUsed/>
    <w:rsid w:val="00FE09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0907"/>
  </w:style>
  <w:style w:type="paragraph" w:styleId="Piedepgina">
    <w:name w:val="footer"/>
    <w:basedOn w:val="Normal"/>
    <w:link w:val="PiedepginaCar"/>
    <w:uiPriority w:val="99"/>
    <w:unhideWhenUsed/>
    <w:rsid w:val="00FE09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0907"/>
  </w:style>
  <w:style w:type="character" w:styleId="Nmerodepgina">
    <w:name w:val="page number"/>
    <w:basedOn w:val="Fuentedeprrafopredeter"/>
    <w:uiPriority w:val="99"/>
    <w:semiHidden/>
    <w:unhideWhenUsed/>
    <w:rsid w:val="00175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549627</Words>
  <Characters>3022952</Characters>
  <Application>Microsoft Office Word</Application>
  <DocSecurity>0</DocSecurity>
  <Lines>25191</Lines>
  <Paragraphs>7130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2019-03-08T09:36:00Z</cp:lastPrinted>
  <dcterms:created xsi:type="dcterms:W3CDTF">2017-03-29T09:51:00Z</dcterms:created>
  <dcterms:modified xsi:type="dcterms:W3CDTF">2019-03-08T09:36:00Z</dcterms:modified>
</cp:coreProperties>
</file>